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2" Type="http://schemas.openxmlformats.org/officeDocument/2006/relationships/extended-properties" Target="docProps/app.xml" /><Relationship Id="rId1" Type="http://schemas.openxmlformats.org/package/2006/relationships/metadata/core-properties" Target="docProps/core.xml" /><Relationship Id="rId0" Type="http://schemas.openxmlformats.org/officeDocument/2006/relationships/officeDocument" Target="word/document.xml" /></Relationships>
</file>

<file path=word/document.xml><?xml version="1.0" encoding="utf-8"?>
<w:document xmlns:wps="http://schemas.microsoft.com/office/word/2010/wordprocessingShape" xmlns:wpc="http://schemas.microsoft.com/office/word/2010/wordprocessingCanvas" xmlns:r="http://schemas.openxmlformats.org/officeDocument/2006/relationships" xmlns:o="urn:schemas-microsoft-com:office:office" xmlns:m="http://schemas.openxmlformats.org/officeDocument/2006/math" xmlns:wpi="http://schemas.microsoft.com/office/word/2010/wordprocessingInk" xmlns:w10="urn:schemas-microsoft-com:office:word" xmlns:cx="http://schemas.microsoft.com/office/drawing/2014/chartex" xmlns:w14="http://schemas.microsoft.com/office/word/2010/wordml" xmlns:cx1="http://schemas.microsoft.com/office/drawing/2015/9/8/chartex" xmlns:wne="http://schemas.microsoft.com/office/word/2006/wordml" xmlns:w15="http://schemas.microsoft.com/office/word/2012/wordml" xmlns:mc="http://schemas.openxmlformats.org/markup-compatibility/2006" xmlns:v="urn:schemas-microsoft-com:vml" xmlns:wp14="http://schemas.microsoft.com/office/word/2010/wordprocessingDrawing" xmlns:wpg="http://schemas.microsoft.com/office/word/2010/wordprocessingGroup" xmlns:wp="http://schemas.openxmlformats.org/drawingml/2006/wordprocessingDrawing" xmlns:w16se="http://schemas.microsoft.com/office/word/2015/wordml/symex" xmlns:w="http://schemas.openxmlformats.org/wordprocessingml/2006/main" mc:Ignorable="w14 w15 w16se wp14">
  <w:body>
    <w:p>
      <w:pPr>
        <w:pStyle w:val="Normal"/>
        <w:jc w:val="center"/>
        <w:rPr>
          <w:sz w:val="48"/>
          <w:lang w:val="en-US" w:eastAsia="zh-CN"/>
          <w:szCs w:val="48"/>
          <w:rFonts w:ascii="宋体" w:hAnsi="宋体" w:hint="eastAsia"/>
        </w:rPr>
      </w:pPr>
      <w:r>
        <w:rPr>
          <w:sz w:val="48"/>
          <w:lang w:val="en-US" w:eastAsia="zh-CN"/>
          <w:szCs w:val="48"/>
          <w:rFonts w:ascii="宋体" w:hAnsi="宋体" w:hint="eastAsia"/>
        </w:rPr>
        <w:t xml:space="preserve">恒州镇</w:t>
      </w:r>
      <w:r>
        <w:rPr>
          <w:sz w:val="48"/>
          <w:lang w:val="en-US" w:eastAsia="zh-CN"/>
          <w:szCs w:val="48"/>
          <w:rFonts w:ascii="宋体" w:hAnsi="宋体" w:eastAsia="宋体" w:hint="eastAsia"/>
        </w:rPr>
        <w:t xml:space="preserve">2025年</w:t>
      </w:r>
      <w:r>
        <w:rPr>
          <w:sz w:val="48"/>
          <w:lang w:val="en-US" w:eastAsia="zh-CN"/>
          <w:szCs w:val="48"/>
          <w:rFonts w:ascii="宋体" w:hAnsi="宋体" w:eastAsia="宋体" w:hint="eastAsia"/>
        </w:rPr>
      </w:r>
    </w:p>
    <w:p>
      <w:pPr>
        <w:pStyle w:val="Normal"/>
        <w:jc w:val="center"/>
        <w:rPr>
          <w:sz w:val="48"/>
          <w:lang w:val="en-US" w:eastAsia="zh-CN"/>
          <w:szCs w:val="48"/>
          <w:rFonts w:ascii="宋体" w:hAnsi="宋体" w:eastAsia="宋体" w:hint="eastAsia"/>
        </w:rPr>
      </w:pPr>
      <w:r>
        <w:rPr>
          <w:sz w:val="48"/>
          <w:lang w:val="en-US" w:eastAsia="zh-CN"/>
          <w:szCs w:val="48"/>
          <w:rFonts w:ascii="宋体" w:hAnsi="宋体" w:eastAsia="宋体" w:hint="eastAsia"/>
        </w:rPr>
        <w:t xml:space="preserve">涉企行政执法检查计划</w:t>
      </w:r>
      <w:r>
        <w:rPr>
          <w:sz w:val="48"/>
          <w:lang w:val="en-US" w:eastAsia="zh-CN"/>
          <w:szCs w:val="48"/>
          <w:rFonts w:ascii="宋体" w:hAnsi="宋体" w:eastAsia="宋体" w:hint="eastAsia"/>
        </w:rPr>
      </w:r>
    </w:p>
    <w:p>
      <w:pPr>
        <w:pStyle w:val="Normal"/>
        <w:rPr>
          <w:lang w:val="en-US" w:eastAsia="zh-CN"/>
          <w:rFonts w:hint="eastAsia"/>
        </w:rPr>
      </w:pPr>
      <w:r>
        <w:rPr>
          <w:lang w:val="en-US" w:eastAsia="zh-CN"/>
          <w:rFonts w:hint="eastAsia"/>
        </w:rPr>
      </w:r>
    </w:p>
    <w:p>
      <w:pPr>
        <w:pStyle w:val="Normal"/>
        <w:ind w:firstLine="640" w:firstLineChars="200"/>
        <w:rPr>
          <w:sz w:val="32"/>
          <w:lang w:val="en-US" w:eastAsia="zh-CN"/>
          <w:szCs w:val="32"/>
          <w:rFonts w:ascii="仿宋" w:hAnsi="仿宋" w:eastAsia="仿宋" w:hint="eastAsia"/>
        </w:rPr>
      </w:pPr>
      <w:r>
        <w:rPr>
          <w:sz w:val="32"/>
          <w:lang w:val="en-US" w:eastAsia="zh-CN"/>
          <w:szCs w:val="32"/>
          <w:rFonts w:ascii="仿宋" w:hAnsi="仿宋" w:eastAsia="仿宋" w:hint="eastAsia"/>
        </w:rPr>
        <w:t xml:space="preserve">为持续优化法治化营商环境、提升行政执法质量，进一步规范公正文明执法，切实维护群众合法权益，现结合我镇工作实际，特制度2025年涉企行政执法检查计划。</w:t>
      </w:r>
      <w:r>
        <w:rPr>
          <w:sz w:val="32"/>
          <w:lang w:val="en-US" w:eastAsia="zh-CN"/>
          <w:szCs w:val="32"/>
          <w:rFonts w:ascii="仿宋" w:hAnsi="仿宋" w:eastAsia="仿宋" w:hint="eastAsia"/>
        </w:rPr>
      </w:r>
    </w:p>
    <w:p>
      <w:pPr>
        <w:pStyle w:val="Normal"/>
        <w:numPr>
          <w:ilvl w:val="0"/>
          <w:numId w:val="0"/>
        </w:numPr>
        <w:ind w:firstLine="640" w:firstLineChars="200"/>
        <w:rPr>
          <w:sz w:val="32"/>
          <w:lang w:val="en-US" w:eastAsia="zh-CN"/>
          <w:szCs w:val="32"/>
          <w:rFonts w:ascii="仿宋" w:hAnsi="仿宋" w:eastAsia="仿宋" w:hint="eastAsia"/>
        </w:rPr>
      </w:pPr>
      <w:r>
        <w:rPr>
          <w:sz w:val="32"/>
          <w:lang w:val="en-US" w:eastAsia="zh-CN"/>
          <w:szCs w:val="32"/>
          <w:rFonts w:ascii="仿宋" w:hAnsi="仿宋" w:eastAsia="仿宋" w:hint="eastAsia"/>
        </w:rPr>
        <w:t xml:space="preserve">一、执法主体</w:t>
      </w:r>
      <w:r>
        <w:rPr>
          <w:sz w:val="32"/>
          <w:lang w:val="en-US" w:eastAsia="zh-CN"/>
          <w:szCs w:val="32"/>
          <w:rFonts w:ascii="仿宋" w:hAnsi="仿宋" w:eastAsia="仿宋" w:hint="eastAsia"/>
        </w:rPr>
      </w:r>
    </w:p>
    <w:p>
      <w:pPr>
        <w:pStyle w:val="Normal"/>
        <w:numPr>
          <w:ilvl w:val="0"/>
          <w:numId w:val="1"/>
        </w:numPr>
        <w:ind w:firstLine="0" w:firstLineChars="0" w:left="640" w:leftChars="0"/>
        <w:rPr>
          <w:sz w:val="32"/>
          <w:lang w:val="en-US" w:eastAsia="zh-CN"/>
          <w:szCs w:val="32"/>
          <w:rFonts w:ascii="仿宋" w:hAnsi="仿宋" w:eastAsia="仿宋" w:hint="eastAsia"/>
        </w:rPr>
      </w:pPr>
      <w:r>
        <w:rPr>
          <w:sz w:val="32"/>
          <w:lang w:val="en-US" w:eastAsia="zh-CN"/>
          <w:szCs w:val="32"/>
          <w:rFonts w:ascii="仿宋" w:hAnsi="仿宋" w:eastAsia="仿宋" w:hint="eastAsia"/>
        </w:rPr>
        <w:t xml:space="preserve">执法机关：恒州镇人民政府</w:t>
      </w:r>
      <w:r>
        <w:rPr>
          <w:sz w:val="32"/>
          <w:lang w:val="en-US" w:eastAsia="zh-CN"/>
          <w:szCs w:val="32"/>
          <w:rFonts w:ascii="仿宋" w:hAnsi="仿宋" w:eastAsia="仿宋" w:hint="eastAsia"/>
        </w:rPr>
      </w:r>
    </w:p>
    <w:p>
      <w:pPr>
        <w:pStyle w:val="Normal"/>
        <w:numPr>
          <w:ilvl w:val="0"/>
          <w:numId w:val="1"/>
        </w:numPr>
        <w:ind w:firstLine="0" w:firstLineChars="0" w:left="640" w:leftChars="0"/>
        <w:rPr>
          <w:sz w:val="32"/>
          <w:lang w:val="en-US" w:eastAsia="zh-CN"/>
          <w:szCs w:val="32"/>
          <w:rFonts w:ascii="仿宋" w:hAnsi="仿宋" w:eastAsia="仿宋" w:hint="eastAsia"/>
        </w:rPr>
      </w:pPr>
      <w:r>
        <w:rPr>
          <w:sz w:val="32"/>
          <w:lang w:val="en-US" w:eastAsia="zh-CN"/>
          <w:szCs w:val="32"/>
          <w:rFonts w:ascii="仿宋" w:hAnsi="仿宋" w:eastAsia="仿宋" w:hint="eastAsia"/>
        </w:rPr>
        <w:t xml:space="preserve">实施机构：恒州镇综合行政执法大队</w:t>
      </w:r>
      <w:r>
        <w:rPr>
          <w:sz w:val="32"/>
          <w:lang w:val="en-US" w:eastAsia="zh-CN"/>
          <w:szCs w:val="32"/>
          <w:rFonts w:ascii="仿宋" w:hAnsi="仿宋" w:eastAsia="仿宋"/>
        </w:rPr>
      </w:r>
    </w:p>
    <w:p>
      <w:pPr>
        <w:pStyle w:val="Normal"/>
        <w:numPr>
          <w:ilvl w:val="0"/>
          <w:numId w:val="0"/>
        </w:numPr>
        <w:ind w:firstLine="320" w:firstLineChars="100" w:leftChars="200"/>
        <w:rPr>
          <w:sz w:val="32"/>
          <w:lang w:val="en-US" w:eastAsia="zh-CN"/>
          <w:szCs w:val="32"/>
          <w:rFonts w:ascii="仿宋" w:hAnsi="仿宋" w:eastAsia="仿宋" w:hint="eastAsia"/>
        </w:rPr>
      </w:pPr>
      <w:r>
        <w:rPr>
          <w:sz w:val="32"/>
          <w:lang w:val="en-US" w:eastAsia="zh-CN"/>
          <w:szCs w:val="32"/>
          <w:rFonts w:ascii="仿宋" w:hAnsi="仿宋" w:eastAsia="仿宋" w:hint="eastAsia"/>
        </w:rPr>
        <w:t xml:space="preserve">二、检查依据</w:t>
      </w:r>
      <w:r>
        <w:rPr>
          <w:sz w:val="32"/>
          <w:lang w:val="en-US" w:eastAsia="zh-CN"/>
          <w:szCs w:val="32"/>
          <w:rFonts w:ascii="仿宋" w:hAnsi="仿宋" w:eastAsia="仿宋" w:hint="eastAsia"/>
        </w:rPr>
      </w:r>
    </w:p>
    <w:p>
      <w:pPr>
        <w:pStyle w:val="Normal"/>
        <w:numPr>
          <w:ilvl w:val="0"/>
          <w:numId w:val="0"/>
        </w:numPr>
        <w:ind w:firstLine="640" w:firstLineChars="200"/>
        <w:rPr>
          <w:color w:val="000000"/>
          <w:sz w:val="32"/>
          <w:szCs w:val="32"/>
          <w:rFonts w:ascii="仿宋" w:hAnsi="仿宋" w:eastAsia="仿宋" w:hint="eastAsia"/>
        </w:rPr>
      </w:pPr>
      <w:r>
        <w:rPr>
          <w:color w:val="000000"/>
          <w:sz w:val="32"/>
          <w:szCs w:val="32"/>
          <w:rFonts w:ascii="仿宋" w:hAnsi="仿宋" w:eastAsia="仿宋" w:hint="eastAsia"/>
        </w:rPr>
        <w:t xml:space="preserve">《</w:t>
      </w:r>
      <w:r>
        <w:rPr>
          <w:color w:val="000000"/>
          <w:sz w:val="32"/>
          <w:lang w:val="en-US" w:eastAsia="zh-CN"/>
          <w:szCs w:val="32"/>
          <w:rFonts w:ascii="仿宋" w:hAnsi="仿宋" w:eastAsia="仿宋" w:hint="eastAsia"/>
        </w:rPr>
        <w:t xml:space="preserve">中华人民共和国行政处罚法</w:t>
      </w:r>
      <w:r>
        <w:rPr>
          <w:color w:val="000000"/>
          <w:sz w:val="32"/>
          <w:szCs w:val="32"/>
          <w:rFonts w:ascii="仿宋" w:hAnsi="仿宋" w:eastAsia="仿宋" w:hint="eastAsia"/>
        </w:rPr>
        <w:t xml:space="preserve">》</w:t>
      </w:r>
      <w:r>
        <w:rPr>
          <w:color w:val="000000"/>
          <w:sz w:val="32"/>
          <w:lang w:eastAsia="zh-CN"/>
          <w:szCs w:val="32"/>
          <w:rFonts w:ascii="仿宋" w:hAnsi="仿宋" w:eastAsia="仿宋" w:hint="eastAsia"/>
        </w:rPr>
        <w:t xml:space="preserve">、</w:t>
      </w:r>
      <w:r>
        <w:rPr>
          <w:color w:val="000000"/>
          <w:sz w:val="32"/>
          <w:szCs w:val="32"/>
          <w:rFonts w:ascii="仿宋" w:hAnsi="仿宋" w:eastAsia="仿宋" w:hint="eastAsia"/>
        </w:rPr>
        <w:t xml:space="preserve">《</w:t>
      </w:r>
      <w:r>
        <w:rPr>
          <w:color w:val="000000"/>
          <w:sz w:val="32"/>
          <w:lang w:val="en-US" w:eastAsia="zh-CN"/>
          <w:szCs w:val="32"/>
          <w:rFonts w:ascii="仿宋" w:hAnsi="仿宋" w:eastAsia="仿宋" w:hint="eastAsia"/>
        </w:rPr>
        <w:t xml:space="preserve">河北省城市市容和环境卫生条例</w:t>
      </w:r>
      <w:r>
        <w:rPr>
          <w:color w:val="000000"/>
          <w:sz w:val="32"/>
          <w:szCs w:val="32"/>
          <w:rFonts w:ascii="仿宋" w:hAnsi="仿宋" w:eastAsia="仿宋" w:hint="eastAsia"/>
        </w:rPr>
        <w:t xml:space="preserve">》</w:t>
      </w:r>
      <w:r>
        <w:rPr>
          <w:color w:val="000000"/>
          <w:sz w:val="32"/>
          <w:lang w:eastAsia="zh-CN"/>
          <w:szCs w:val="32"/>
          <w:rFonts w:ascii="仿宋" w:hAnsi="仿宋" w:eastAsia="仿宋" w:hint="eastAsia"/>
        </w:rPr>
        <w:t xml:space="preserve">、《</w:t>
      </w:r>
      <w:r>
        <w:rPr>
          <w:color w:val="000000"/>
          <w:sz w:val="32"/>
          <w:lang w:val="en-US" w:eastAsia="zh-CN"/>
          <w:szCs w:val="32"/>
          <w:rFonts w:ascii="仿宋" w:hAnsi="仿宋" w:eastAsia="仿宋" w:hint="eastAsia"/>
        </w:rPr>
        <w:t xml:space="preserve">中华人民共和国大气污染防治法》、《河北省大气污染防治条例》、</w:t>
      </w:r>
      <w:r>
        <w:rPr>
          <w:color w:val="000000"/>
          <w:sz w:val="32"/>
          <w:szCs w:val="32"/>
          <w:rFonts w:ascii="仿宋" w:hAnsi="仿宋" w:eastAsia="仿宋" w:hint="eastAsia"/>
        </w:rPr>
        <w:t xml:space="preserve">《</w:t>
      </w:r>
      <w:r>
        <w:rPr>
          <w:color w:val="000000"/>
          <w:sz w:val="32"/>
          <w:lang w:val="en-US" w:eastAsia="zh-CN"/>
          <w:szCs w:val="32"/>
          <w:rFonts w:ascii="仿宋" w:hAnsi="仿宋" w:eastAsia="仿宋" w:hint="eastAsia"/>
        </w:rPr>
        <w:t xml:space="preserve">河北省人民代表大会常务委员会关于促进农作物秸秆综合利用和禁止露天焚烧的决定</w:t>
      </w:r>
      <w:r>
        <w:rPr>
          <w:color w:val="000000"/>
          <w:sz w:val="32"/>
          <w:szCs w:val="32"/>
          <w:rFonts w:ascii="仿宋" w:hAnsi="仿宋" w:eastAsia="仿宋" w:hint="eastAsia"/>
        </w:rPr>
        <w:t xml:space="preserve">》</w:t>
      </w:r>
      <w:r>
        <w:rPr>
          <w:color w:val="000000"/>
          <w:sz w:val="32"/>
          <w:lang w:eastAsia="zh-CN"/>
          <w:szCs w:val="32"/>
          <w:rFonts w:ascii="仿宋" w:hAnsi="仿宋" w:eastAsia="仿宋" w:hint="eastAsia"/>
        </w:rPr>
        <w:t xml:space="preserve">、</w:t>
      </w:r>
      <w:r>
        <w:rPr>
          <w:color w:val="000000"/>
          <w:sz w:val="32"/>
          <w:szCs w:val="32"/>
          <w:rFonts w:ascii="仿宋" w:hAnsi="仿宋" w:eastAsia="仿宋" w:hint="eastAsia"/>
        </w:rPr>
        <w:t xml:space="preserve">《</w:t>
      </w:r>
      <w:r>
        <w:rPr>
          <w:color w:val="000000"/>
          <w:sz w:val="32"/>
          <w:lang w:val="en-US" w:eastAsia="zh-CN"/>
          <w:szCs w:val="32"/>
          <w:rFonts w:ascii="仿宋" w:hAnsi="仿宋" w:eastAsia="仿宋" w:hint="eastAsia"/>
        </w:rPr>
        <w:t xml:space="preserve">河北省清真食品管理条例</w:t>
      </w:r>
      <w:r>
        <w:rPr>
          <w:color w:val="000000"/>
          <w:sz w:val="32"/>
          <w:szCs w:val="32"/>
          <w:rFonts w:ascii="仿宋" w:hAnsi="仿宋" w:eastAsia="仿宋" w:hint="eastAsia"/>
        </w:rPr>
        <w:t xml:space="preserve">》</w:t>
      </w:r>
      <w:r>
        <w:rPr>
          <w:color w:val="000000"/>
          <w:sz w:val="32"/>
          <w:lang w:val="en-US" w:eastAsia="zh-CN"/>
          <w:szCs w:val="32"/>
          <w:rFonts w:ascii="仿宋" w:hAnsi="仿宋" w:eastAsia="仿宋" w:hint="eastAsia"/>
        </w:rPr>
        <w:t xml:space="preserve">及其他涉及行政执法内容的法律法规。</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三、检查对象</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辖区内所有农业合作社、家庭农场；从事车辆清洗、维修经营活动的个体工商户；生产、经营清真食品的个体工商户。</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四、检查时间、频次</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我镇综合行政执法对辖区内农业合作社、家庭农场每半年进行一次执法检查，对从事车辆清洗、维修经营活动的个体工商户每季度进行一次执法检查，对生产、经营清真食品的个体工商户每半年进行一次执法检查，以不干扰企业正常生产运行为前提，具体可根据企业实际灵活确定检查时间。</w:t>
      </w:r>
      <w:r>
        <w:rPr>
          <w:color w:val="000000"/>
          <w:sz w:val="32"/>
          <w:lang w:val="en-US" w:eastAsia="zh-CN"/>
          <w:szCs w:val="32"/>
          <w:rFonts w:ascii="仿宋" w:hAnsi="仿宋" w:eastAsia="仿宋" w:hint="eastAsia"/>
        </w:rPr>
      </w:r>
    </w:p>
    <w:p>
      <w:pPr>
        <w:pStyle w:val="Normal"/>
        <w:numPr>
          <w:ilvl w:val="0"/>
          <w:numId w:val="2"/>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检查方式</w:t>
      </w:r>
      <w:r>
        <w:rPr>
          <w:color w:val="000000"/>
          <w:sz w:val="32"/>
          <w:lang w:val="en-US" w:eastAsia="zh-CN"/>
          <w:szCs w:val="32"/>
          <w:rFonts w:ascii="仿宋" w:hAnsi="仿宋" w:eastAsia="仿宋" w:hint="eastAsia"/>
        </w:rPr>
      </w:r>
    </w:p>
    <w:p>
      <w:pPr>
        <w:pStyle w:val="Normal"/>
        <w:numPr>
          <w:ilvl w:val="0"/>
          <w:numId w:val="0"/>
        </w:numPr>
        <w:ind w:firstLine="64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采取电话访问与实地检查相结合的方式进行督导检查，确保行政执法检查取得实效。</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六、检查任务</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1、检查农业合作社、家庭农场是否未妥善采取综合利用措施，对农产品采收后的秸秆及树叶、荒草予以妥善处理，是否露天焚烧；</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2、检查从事车辆清洗、维修经营活动，是否在室内进行，是否占用道路、绿地、公共场所等；</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3、检查生产、经营清真食品企业是否按照要求进行生产、经营活动。</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七、检查标准</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1、合法性：行政执法检查必须依法进行，检查依据必须是已经公布的法律法规，确保检查行为本身不违反法律规定。</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2、公正性：检查过程应当公正无私，避免任何可能影响检查结果公正性的因素。检查结果应当及时公开，接受社会监督。</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3、透明性：行政执法检查的过程和结果应当公开透明，检查机关应当定期公布检查结果，接受公众查询和监督。</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4、效率性：检查应当高效进行，避免不必要的繁琐程序，确保检查活动对被检查对象的影响降到最低。</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5、责任性：检查机关应当对检查结果负责，对于检查中发现的问题需要依法进行处理，并对处理结果进行公开。</w:t>
      </w: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r>
    </w:p>
    <w:p>
      <w:pPr>
        <w:pStyle w:val="Normal"/>
        <w:numPr>
          <w:ilvl w:val="0"/>
          <w:numId w:val="0"/>
        </w:numPr>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r>
    </w:p>
    <w:p>
      <w:pPr>
        <w:pStyle w:val="Normal"/>
        <w:numPr>
          <w:ilvl w:val="0"/>
          <w:numId w:val="0"/>
        </w:numPr>
        <w:ind w:firstLine="640" w:firstLine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                               恒州镇人民政府</w:t>
      </w:r>
      <w:r>
        <w:rPr>
          <w:color w:val="000000"/>
          <w:sz w:val="32"/>
          <w:lang w:val="en-US" w:eastAsia="zh-CN"/>
          <w:szCs w:val="32"/>
          <w:rFonts w:ascii="仿宋" w:hAnsi="仿宋" w:eastAsia="仿宋"/>
        </w:rPr>
      </w:r>
    </w:p>
    <w:p>
      <w:pPr>
        <w:pStyle w:val="Normal"/>
        <w:numPr>
          <w:ilvl w:val="0"/>
          <w:numId w:val="0"/>
        </w:numPr>
        <w:ind w:left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 </w:t>
      </w:r>
      <w:r>
        <w:rPr>
          <w:color w:val="000000"/>
          <w:sz w:val="32"/>
          <w:lang w:val="en-US" w:eastAsia="zh-CN"/>
          <w:szCs w:val="32"/>
          <w:rFonts w:ascii="仿宋" w:hAnsi="仿宋" w:eastAsia="仿宋"/>
        </w:rPr>
      </w:r>
    </w:p>
    <w:p>
      <w:pPr>
        <w:pStyle w:val="Normal"/>
        <w:numPr>
          <w:ilvl w:val="0"/>
          <w:numId w:val="0"/>
        </w:numPr>
        <w:ind w:leftChars="200"/>
        <w:rPr>
          <w:color w:val="000000"/>
          <w:sz w:val="32"/>
          <w:lang w:val="en-US" w:eastAsia="zh-CN"/>
          <w:szCs w:val="32"/>
          <w:rFonts w:ascii="仿宋" w:hAnsi="仿宋" w:eastAsia="仿宋" w:hint="eastAsia"/>
        </w:rPr>
      </w:pPr>
      <w:r>
        <w:rPr>
          <w:color w:val="000000"/>
          <w:sz w:val="32"/>
          <w:lang w:val="en-US" w:eastAsia="zh-CN"/>
          <w:szCs w:val="32"/>
          <w:rFonts w:ascii="仿宋" w:hAnsi="仿宋" w:eastAsia="仿宋" w:hint="eastAsia"/>
        </w:rPr>
        <w:t xml:space="preserve">  </w:t>
      </w:r>
      <w:r>
        <w:rPr>
          <w:color w:val="000000"/>
          <w:sz w:val="32"/>
          <w:lang w:val="en-US" w:eastAsia="zh-CN"/>
          <w:szCs w:val="32"/>
          <w:rFonts w:ascii="仿宋" w:hAnsi="仿宋" w:eastAsia="仿宋"/>
        </w:rPr>
      </w:r>
    </w:p>
    <w:p>
      <w:pPr>
        <w:pStyle w:val="Normal"/>
        <w:rPr>
          <w:sz w:val="32"/>
          <w:lang w:val="en-US" w:eastAsia="zh-CN"/>
          <w:szCs w:val="32"/>
          <w:rFonts w:ascii="仿宋" w:hAnsi="仿宋" w:eastAsia="仿宋"/>
        </w:rPr>
      </w:pPr>
      <w:r>
        <w:rPr>
          <w:sz w:val="32"/>
          <w:lang w:val="en-US" w:eastAsia="zh-CN"/>
          <w:szCs w:val="32"/>
          <w:rFonts w:ascii="仿宋" w:hAnsi="仿宋" w:eastAsia="仿宋"/>
        </w:rPr>
      </w:r>
    </w:p>
    <w:sectPr>
      <w:footerReference r:id="rId4" w:type="default"/>
      <w:type w:val="nextPage"/>
      <w:docGrid w:type="lines" w:linePitch="312"/>
      <w:pgSz w:w="11906" w:h="16838"/>
      <w:pgMar w:top="1440" w:right="1800" w:bottom="1440" w:left="1800" w:header="851" w:footer="992" w:gutter="0"/>
    </w:sectPr>
  </w:body>
</w:document>
</file>

<file path=word/fontTable.xml><?xml version="1.0" encoding="utf-8"?>
<w:fonts xmlns:w="http://schemas.openxmlformats.org/wordprocessingml/2006/main">
  <w:font w:name="Calibri">
    <w:panose1 w:val="020f0502020204030204"/>
    <w:charset w:val="00"/>
    <w:family w:val="swiss"/>
    <w:pitch w:val="default"/>
    <w:sig w:usb0="E00002FF" w:usb1="4000ACFF" w:usb2="00000001" w:usb3="00000000" w:csb0="2000019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AFF" w:usb1="C0007841"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o="urn:schemas-microsoft-com:office:office" xmlns:v="urn:schemas-microsoft-com:vml" xmlns:w="http://schemas.openxmlformats.org/wordprocessingml/2006/main" xmlns:w10="urn:schemas-microsoft-com:office:word" xmlns:r="http://schemas.openxmlformats.org/officeDocument/2006/relationships">
  <w:p>
    <w:pPr>
      <w:pStyle w:val="Footer"/>
      <w:tabs>
        <w:tab w:val="clear" w:pos="4153"/>
        <w:tab w:val="clear" w:pos="8306"/>
      </w:tabs>
      <w:rPr>
        <w:lang w:val="en-US" w:eastAsia="zh-CN"/>
        <w:rFonts w:hint="eastAsia"/>
      </w:rPr>
    </w:pPr>
    <w:r>
      <w:rPr>
        <w:lang w:val="en-US" w:eastAsia="zh-CN"/>
        <w:rFonts w:hint="eastAsia"/>
      </w:rPr>
      <w:t xml:space="preserve">                                          </w:t>
    </w:r>
    <w:r>
      <w:rPr>
        <w:lang w:val="en-US" w:eastAsia="zh-CN"/>
        <w:rFonts w:ascii="仿宋" w:hAnsi="仿宋" w:eastAsia="仿宋"/>
      </w:rPr>
    </w:r>
  </w:p>
</w:ftr>
</file>

<file path=word/numbering.xml><?xml version="1.0" encoding="utf-8"?>
<w:numbering xmlns:wps="http://schemas.microsoft.com/office/word/2010/wordprocessingShape" xmlns:wpc="http://schemas.microsoft.com/office/word/2010/wordprocessingCanvas" xmlns:wne="http://schemas.microsoft.com/office/word/2006/wordml" xmlns:mc="http://schemas.openxmlformats.org/markup-compatibility/2006" xmlns:w14="http://schemas.microsoft.com/office/word/2010/wordml" xmlns:r="http://schemas.openxmlformats.org/officeDocument/2006/relationships" xmlns:v="urn:schemas-microsoft-com:vml" xmlns:wp14="http://schemas.microsoft.com/office/word/2010/wordprocessingDrawing" xmlns:wpg="http://schemas.microsoft.com/office/word/2010/wordprocessingGroup" xmlns:wp="http://schemas.openxmlformats.org/drawingml/2006/wordprocessingDrawing" xmlns:o="urn:schemas-microsoft-com:office:office" xmlns:w="http://schemas.openxmlformats.org/wordprocessingml/2006/main" xmlns:m="http://schemas.openxmlformats.org/officeDocument/2006/math" xmlns:w10="urn:schemas-microsoft-com:office:word" xmlns:wpi="http://schemas.microsoft.com/office/word/2010/wordprocessingInk" xmlns:a="http://schemas.openxmlformats.org/drawingml/2006/main" mc:Ignorable="w14 wp14">
  <w:abstractNum w:abstractNumId="0">
    <w:nsid w:val="E0D7CC47"/>
    <w:multiLevelType w:val="singleLevel"/>
    <w:tmpl w:val="E0D7CC47"/>
    <w:lvl w:ilvl="0">
      <w:start w:val="5"/>
      <w:numFmt w:val="chineseCounting"/>
      <w:suff w:val="nothing"/>
      <w:lvlText w:val="%1、"/>
      <w:lvlJc w:val="left"/>
      <w:pPr>
        <w:pStyle w:val="Normal"/>
      </w:pPr>
      <w:rPr>
        <w:rFonts w:hint="eastAsia"/>
      </w:rPr>
    </w:lvl>
  </w:abstractNum>
  <w:abstractNum w:abstractNumId="1">
    <w:nsid w:val="6C706C75"/>
    <w:multiLevelType w:val="singleLevel"/>
    <w:tmpl w:val="6C706C75"/>
    <w:lvl w:ilvl="0">
      <w:start w:val="1"/>
      <w:numFmt w:val="decimal"/>
      <w:suff w:val="nothing"/>
      <w:lvlText w:val="%1、"/>
      <w:lvlJc w:val="left"/>
      <w:pPr>
        <w:pStyle w:val="Normal"/>
        <w:ind w:firstLine="0" w:left="640"/>
      </w:pPr>
      <w:rPr/>
    </w:lvl>
  </w:abstractNum>
  <w:num w:numId="1">
    <w:abstractNumId w:val="1"/>
  </w:num>
  <w:num w:numId="2">
    <w:abstractNumId w:val="0"/>
  </w:num>
</w:numbering>
</file>

<file path=word/settings.xml><?xml version="1.0" encoding="utf-8"?>
<w:settings xmlns:w="http://schemas.openxmlformats.org/wordprocessingml/2006/main">
  <w:defaultTabStop w:val="420"/>
  <w:displayHorizontalDrawingGridEvery w:val="0"/>
  <w:displayVerticalDrawingGridEvery w:val="2"/>
  <w:characterSpacingControl w:val="compressPunctuation"/>
  <w:zoom w:percent="130"/>
  <w:compat>
    <w:balanceSingleByteDoubleByteWidth/>
    <w:doNotLeaveBackslashAlone/>
    <w:ulTrailSpace/>
    <w:doNotExpandShiftReturn/>
    <w:adjustLineHeightInTable/>
    <w:compatSetting w:val="11" w:uri="http://schemas.microsoft.com/office/word" w:name="compatibilityMode"/>
  </w:compat>
  <w:rsids/>
  <w:clrSchemeMapping tx1="dk1" tx2="dk2" bg1="lt1" bg2="lt2"/>
  <w:decimalSymbol/>
  <w:listSeparator/>
</w:settings>
</file>

<file path=word/styles.xml><?xml version="1.0" encoding="utf-8"?>
<w:styles xmlns:w="http://schemas.openxmlformats.org/wordprocessingml/2006/main">
  <w:docDefaults>
    <w:rPrDefault>
      <w:rPr>
        <w:lang w:val="en-US"/>
        <w:rFonts w:ascii="Calibri" w:hAnsi="Calibri" w:eastAsia="宋体" w:cs="Times New Roman"/>
      </w:rPr>
    </w:rPrDefault>
    <w:pPrDefault/>
  </w:docDefaults>
  <w:style w:type="paragraph" w:styleId="Normal">
    <w:name w:val="Normal"/>
    <w:link w:val="Normal"/>
    <w:pPr>
      <w:widowControl w:val="0"/>
      <w:jc w:val="both"/>
    </w:pPr>
    <w:rPr>
      <w:sz w:val="21"/>
      <w:lang w:val="en-US" w:eastAsia="zh-CN" w:bidi="ar-SA"/>
      <w:szCs w:val="24"/>
      <w:kern w:val="2"/>
      <w:rFonts w:ascii="Calibri" w:hAnsi="Calibri" w:eastAsia="宋体"/>
    </w:rPr>
  </w:style>
  <w:style w:type="character" w:styleId="NormalCharacter">
    <w:name w:val="默认段落字体"/>
    <w:link w:val="Normal"/>
    <w:semiHidden/>
  </w:style>
  <w:style w:type="table" w:styleId="TableNormal">
    <w:name w:val="普通表格"/>
    <w:link w:val="Normal"/>
    <w:semiHidden/>
  </w:style>
  <w:style w:type="paragraph" w:styleId="Footer">
    <w:name w:val="页脚"/>
    <w:basedOn w:val="Normal"/>
    <w:link w:val="Normal"/>
    <w:pPr>
      <w:snapToGrid w:val="0"/>
      <w:jc w:val="start"/>
      <w:tabs>
        <w:tab w:val="center" w:pos="4153"/>
        <w:tab w:val="right" w:pos="8306"/>
      </w:tabs>
    </w:pPr>
    <w:rPr>
      <w:sz w:val="18"/>
    </w:rPr>
  </w:style>
  <w:style w:type="paragraph" w:styleId="Header">
    <w:name w:val="页眉"/>
    <w:basedOn w:val="Normal"/>
    <w:link w:val="Normal"/>
    <w:pPr>
      <w:snapToGrid w:val="0"/>
      <w:jc w:val="both"/>
      <w:outlineLvl w:val="9"/>
      <w:pBdr>
        <w:top w:val="none" w:color="auto" w:sz="0" w:space="1"/>
        <w:left w:val="none" w:color="auto" w:sz="0" w:space="4"/>
        <w:bottom w:val="none" w:color="auto" w:sz="0" w:space="1"/>
        <w:right w:val="none" w:color="auto" w:sz="0" w:space="4"/>
      </w:pBdr>
      <w:tabs>
        <w:tab w:val="center" w:pos="4153"/>
        <w:tab w:val="right" w:pos="8306"/>
      </w:tabs>
      <w:spacing w:line="240" w:lineRule="auto"/>
    </w:pPr>
    <w:rPr>
      <w:sz w:val="18"/>
    </w:rPr>
  </w:style>
</w:styles>
</file>

<file path=word/_rels/document.xml.rels><?xml version="1.0" encoding="UTF-8" standalone="yes"?><Relationships xmlns="http://schemas.openxmlformats.org/package/2006/relationships"><Relationship Id="rId3" Type="http://schemas.openxmlformats.org/officeDocument/2006/relationships/numbering" Target="numbering.xml" /><Relationship Id="rId2" Type="http://schemas.openxmlformats.org/officeDocument/2006/relationships/fontTable" Target="fontTable.xml" /><Relationship Id="rId4" Type="http://schemas.openxmlformats.org/officeDocument/2006/relationships/footer" Target="footer1.xml" /><Relationship Id="rId1" Type="http://schemas.openxmlformats.org/officeDocument/2006/relationships/settings" Target="settings.xml" /><Relationship Id="rId0" Type="http://schemas.openxmlformats.org/officeDocument/2006/relationships/styles" Target="styles.xml" /></Relationships>
</file>

<file path=docProps/app.xml><?xml version="1.0" encoding="utf-8"?>
<Properties xmlns="http://schemas.openxmlformats.org/officeDocument/2006/extended-properties">
  <Template/>
  <TotalTime>0</TotalTime>
  <Pages>0</Pages>
  <Words>0</Words>
  <Characters>0</Characters>
  <Application/>
  <DocSecurity>0</DocSecurity>
  <Lines>0</Lines>
  <Paragraphs>0</Paragraphs>
  <ScaleCrop>false</ScaleCrop>
  <Company/>
  <LinksUpToDate>false</LinksUpToDate>
  <CharactersWithSpaces>0</CharactersWithSpaces>
  <SharedDoc>false</SharedDoc>
  <HyperlinksChanged>false</HyperlinksChanged>
</Properties>
</file>

<file path=docProps/core.xml><?xml version="1.0" encoding="utf-8"?>
<cp:coreProperties xmlns:xsi="http://www.w3.org/2001/XMLSchema-instance" xmlns:dcmitype="http://purl.org/dc/dcmitype/" xmlns:dc="http://purl.org/dc/elements/1.1/" xmlns:dcterms="http://purl.org/dc/terms/" xmlns:cp="http://schemas.openxmlformats.org/package/2006/metadata/core-properties">
  <dc:title/>
  <dc:subject/>
  <dc:creator/>
  <cp:keywords/>
  <dc:description/>
  <cp:lastModifiedBy/>
  <cp:revision>0</cp:revision>
</cp:coreProperties>
</file>

<file path=tbak/modified.xml>Wed Nov  5 12:29:34 2025
Wed Nov  5 12:30:06 2025
save:Wed Nov  5 12:30:18 2025

</file>