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E03A2">
      <w:pPr>
        <w:spacing w:line="240" w:lineRule="auto"/>
        <w:ind w:firstLine="0" w:firstLineChars="0"/>
        <w:jc w:val="left"/>
        <w:rPr>
          <w:rFonts w:hint="eastAsia" w:ascii="黑体" w:hAnsi="黑体" w:eastAsia="黑体" w:cs="黑体"/>
          <w:sz w:val="28"/>
          <w:szCs w:val="28"/>
          <w:lang w:val="zh-CN" w:eastAsia="zh-CN"/>
        </w:rPr>
      </w:pPr>
      <w:r>
        <w:rPr>
          <w:rFonts w:hint="eastAsia" w:ascii="黑体" w:hAnsi="黑体" w:eastAsia="黑体" w:cs="黑体"/>
          <w:sz w:val="28"/>
          <w:szCs w:val="28"/>
          <w:lang w:val="zh-CN" w:eastAsia="zh-CN"/>
        </w:rPr>
        <w:t>附件：</w:t>
      </w:r>
    </w:p>
    <w:sdt>
      <w:sdtPr>
        <w:rPr>
          <w:rFonts w:hint="eastAsia" w:ascii="黑体" w:hAnsi="黑体" w:eastAsia="黑体" w:cs="黑体"/>
          <w:sz w:val="48"/>
          <w:szCs w:val="48"/>
          <w:lang w:val="zh-CN"/>
        </w:rPr>
        <w:id w:val="-696321685"/>
        <w:docPartObj>
          <w:docPartGallery w:val="Table of Contents"/>
          <w:docPartUnique/>
        </w:docPartObj>
      </w:sdtPr>
      <w:sdtEndPr>
        <w:rPr>
          <w:rFonts w:hint="eastAsia" w:ascii="Times New Roman" w:hAnsi="Times New Roman" w:eastAsia="仿宋" w:cstheme="minorBidi"/>
          <w:sz w:val="32"/>
          <w:szCs w:val="22"/>
          <w:lang w:val="zh-CN"/>
        </w:rPr>
      </w:sdtEndPr>
      <w:sdtContent>
        <w:p w14:paraId="148D5317">
          <w:pPr>
            <w:spacing w:line="240" w:lineRule="auto"/>
            <w:ind w:firstLine="0" w:firstLineChars="0"/>
            <w:jc w:val="center"/>
            <w:rPr>
              <w:rFonts w:ascii="黑体" w:hAnsi="黑体" w:eastAsia="黑体" w:cs="黑体"/>
              <w:sz w:val="48"/>
              <w:szCs w:val="48"/>
            </w:rPr>
          </w:pPr>
          <w:r>
            <w:rPr>
              <w:rFonts w:hint="eastAsia" w:ascii="黑体" w:hAnsi="黑体" w:eastAsia="黑体" w:cs="黑体"/>
              <w:sz w:val="48"/>
              <w:szCs w:val="48"/>
            </w:rPr>
            <w:t>目 录</w:t>
          </w:r>
        </w:p>
        <w:p w14:paraId="6EEA8FC9">
          <w:pPr>
            <w:pStyle w:val="7"/>
            <w:tabs>
              <w:tab w:val="right" w:leader="dot" w:pos="21650"/>
            </w:tabs>
            <w:ind w:firstLine="640"/>
            <w:rPr>
              <w:rFonts w:asciiTheme="minorHAnsi" w:hAnsiTheme="minorHAnsi" w:eastAsiaTheme="minorEastAsia"/>
              <w:sz w:val="21"/>
            </w:rPr>
          </w:pPr>
          <w:r>
            <w:fldChar w:fldCharType="begin"/>
          </w:r>
          <w:r>
            <w:instrText xml:space="preserve"> TOC \o "1-3" \h \z \u </w:instrText>
          </w:r>
          <w:r>
            <w:fldChar w:fldCharType="separate"/>
          </w:r>
          <w:r>
            <w:fldChar w:fldCharType="begin"/>
          </w:r>
          <w:r>
            <w:instrText xml:space="preserve"> HYPERLINK \l "_Toc20473840" </w:instrText>
          </w:r>
          <w:r>
            <w:fldChar w:fldCharType="separate"/>
          </w:r>
          <w:r>
            <w:rPr>
              <w:rStyle w:val="10"/>
            </w:rPr>
            <w:t>1</w:t>
          </w:r>
          <w:r>
            <w:rPr>
              <w:rStyle w:val="10"/>
              <w:rFonts w:hint="eastAsia"/>
            </w:rPr>
            <w:t>、</w:t>
          </w:r>
          <w:r>
            <w:rPr>
              <w:rStyle w:val="10"/>
              <w:rFonts w:hint="eastAsia"/>
              <w:lang w:eastAsia="zh-CN"/>
            </w:rPr>
            <w:t>县</w:t>
          </w:r>
          <w:r>
            <w:rPr>
              <w:rStyle w:val="10"/>
              <w:rFonts w:hint="eastAsia"/>
            </w:rPr>
            <w:t>政协</w:t>
          </w:r>
          <w:r>
            <w:tab/>
          </w:r>
          <w:r>
            <w:fldChar w:fldCharType="begin"/>
          </w:r>
          <w:r>
            <w:instrText xml:space="preserve"> PAGEREF _Toc20473840 \h </w:instrText>
          </w:r>
          <w:r>
            <w:fldChar w:fldCharType="separate"/>
          </w:r>
          <w:r>
            <w:t>1</w:t>
          </w:r>
          <w:r>
            <w:fldChar w:fldCharType="end"/>
          </w:r>
          <w:r>
            <w:fldChar w:fldCharType="end"/>
          </w:r>
        </w:p>
        <w:p w14:paraId="0A4F08C0">
          <w:pPr>
            <w:pStyle w:val="7"/>
            <w:tabs>
              <w:tab w:val="right" w:leader="dot" w:pos="21650"/>
            </w:tabs>
            <w:ind w:firstLine="640"/>
            <w:rPr>
              <w:rFonts w:asciiTheme="minorHAnsi" w:hAnsiTheme="minorHAnsi" w:eastAsiaTheme="minorEastAsia"/>
              <w:sz w:val="21"/>
            </w:rPr>
          </w:pPr>
          <w:r>
            <w:fldChar w:fldCharType="begin"/>
          </w:r>
          <w:r>
            <w:instrText xml:space="preserve"> HYPERLINK \l "_Toc20473841" </w:instrText>
          </w:r>
          <w:r>
            <w:fldChar w:fldCharType="separate"/>
          </w:r>
          <w:r>
            <w:rPr>
              <w:rStyle w:val="10"/>
            </w:rPr>
            <w:t>2</w:t>
          </w:r>
          <w:r>
            <w:rPr>
              <w:rStyle w:val="10"/>
              <w:rFonts w:hint="eastAsia"/>
            </w:rPr>
            <w:t>、</w:t>
          </w:r>
          <w:r>
            <w:rPr>
              <w:rStyle w:val="10"/>
              <w:rFonts w:hint="eastAsia"/>
              <w:lang w:eastAsia="zh-CN"/>
            </w:rPr>
            <w:t>县</w:t>
          </w:r>
          <w:r>
            <w:rPr>
              <w:rStyle w:val="10"/>
              <w:rFonts w:hint="eastAsia"/>
            </w:rPr>
            <w:t>委组织部（</w:t>
          </w:r>
          <w:r>
            <w:rPr>
              <w:rStyle w:val="10"/>
              <w:rFonts w:hint="eastAsia"/>
              <w:lang w:eastAsia="zh-CN"/>
            </w:rPr>
            <w:t>县</w:t>
          </w:r>
          <w:r>
            <w:rPr>
              <w:rStyle w:val="10"/>
              <w:rFonts w:hint="eastAsia"/>
            </w:rPr>
            <w:t>公务员局）</w:t>
          </w:r>
          <w:r>
            <w:tab/>
          </w:r>
          <w:r>
            <w:fldChar w:fldCharType="begin"/>
          </w:r>
          <w:r>
            <w:instrText xml:space="preserve"> PAGEREF _Toc20473841 \h </w:instrText>
          </w:r>
          <w:r>
            <w:fldChar w:fldCharType="separate"/>
          </w:r>
          <w:r>
            <w:t>1</w:t>
          </w:r>
          <w:r>
            <w:fldChar w:fldCharType="end"/>
          </w:r>
          <w:r>
            <w:fldChar w:fldCharType="end"/>
          </w:r>
        </w:p>
        <w:p w14:paraId="3607EEA0">
          <w:pPr>
            <w:pStyle w:val="7"/>
            <w:tabs>
              <w:tab w:val="right" w:leader="dot" w:pos="21650"/>
            </w:tabs>
            <w:ind w:firstLine="640"/>
            <w:jc w:val="right"/>
            <w:rPr>
              <w:rFonts w:asciiTheme="minorHAnsi" w:hAnsiTheme="minorHAnsi" w:eastAsiaTheme="minorEastAsia"/>
              <w:sz w:val="21"/>
            </w:rPr>
          </w:pPr>
          <w:r>
            <w:fldChar w:fldCharType="begin"/>
          </w:r>
          <w:r>
            <w:instrText xml:space="preserve"> HYPERLINK \l "_Toc20473842" </w:instrText>
          </w:r>
          <w:r>
            <w:fldChar w:fldCharType="separate"/>
          </w:r>
          <w:r>
            <w:rPr>
              <w:rStyle w:val="10"/>
            </w:rPr>
            <w:t>3</w:t>
          </w:r>
          <w:r>
            <w:rPr>
              <w:rStyle w:val="10"/>
              <w:rFonts w:hint="eastAsia"/>
            </w:rPr>
            <w:t>、</w:t>
          </w:r>
          <w:r>
            <w:rPr>
              <w:rStyle w:val="10"/>
              <w:rFonts w:hint="eastAsia"/>
              <w:lang w:eastAsia="zh-CN"/>
            </w:rPr>
            <w:t>县</w:t>
          </w:r>
          <w:r>
            <w:rPr>
              <w:rStyle w:val="10"/>
              <w:rFonts w:hint="eastAsia"/>
            </w:rPr>
            <w:t>委宣传部（</w:t>
          </w:r>
          <w:r>
            <w:rPr>
              <w:rStyle w:val="10"/>
              <w:rFonts w:hint="eastAsia"/>
              <w:lang w:eastAsia="zh-CN"/>
            </w:rPr>
            <w:t>县</w:t>
          </w:r>
          <w:r>
            <w:rPr>
              <w:rStyle w:val="10"/>
              <w:rFonts w:hint="eastAsia"/>
            </w:rPr>
            <w:t>文明办）</w:t>
          </w:r>
          <w:r>
            <w:tab/>
          </w:r>
          <w:r>
            <w:fldChar w:fldCharType="begin"/>
          </w:r>
          <w:r>
            <w:instrText xml:space="preserve"> PAGEREF _Toc20473842 \h </w:instrText>
          </w:r>
          <w:r>
            <w:fldChar w:fldCharType="separate"/>
          </w:r>
          <w:r>
            <w:t>4</w:t>
          </w:r>
          <w:r>
            <w:fldChar w:fldCharType="end"/>
          </w:r>
          <w:r>
            <w:fldChar w:fldCharType="end"/>
          </w:r>
        </w:p>
        <w:p w14:paraId="5A295E42">
          <w:pPr>
            <w:pStyle w:val="7"/>
            <w:tabs>
              <w:tab w:val="right" w:leader="dot" w:pos="21650"/>
            </w:tabs>
            <w:ind w:firstLine="640"/>
            <w:rPr>
              <w:rFonts w:asciiTheme="minorHAnsi" w:hAnsiTheme="minorHAnsi" w:eastAsiaTheme="minorEastAsia"/>
              <w:sz w:val="21"/>
            </w:rPr>
          </w:pPr>
          <w:r>
            <w:fldChar w:fldCharType="begin"/>
          </w:r>
          <w:r>
            <w:instrText xml:space="preserve"> HYPERLINK \l "_Toc20473843" </w:instrText>
          </w:r>
          <w:r>
            <w:fldChar w:fldCharType="separate"/>
          </w:r>
          <w:r>
            <w:rPr>
              <w:rStyle w:val="10"/>
            </w:rPr>
            <w:t>4</w:t>
          </w:r>
          <w:r>
            <w:rPr>
              <w:rStyle w:val="10"/>
              <w:rFonts w:hint="eastAsia"/>
            </w:rPr>
            <w:t>、</w:t>
          </w:r>
          <w:r>
            <w:rPr>
              <w:rStyle w:val="10"/>
              <w:rFonts w:hint="eastAsia"/>
              <w:lang w:eastAsia="zh-CN"/>
            </w:rPr>
            <w:t>县</w:t>
          </w:r>
          <w:r>
            <w:rPr>
              <w:rStyle w:val="10"/>
              <w:rFonts w:hint="eastAsia"/>
            </w:rPr>
            <w:t>委统战部</w:t>
          </w:r>
          <w:r>
            <w:tab/>
          </w:r>
          <w:r>
            <w:fldChar w:fldCharType="begin"/>
          </w:r>
          <w:r>
            <w:instrText xml:space="preserve"> PAGEREF _Toc20473843 \h </w:instrText>
          </w:r>
          <w:r>
            <w:fldChar w:fldCharType="separate"/>
          </w:r>
          <w:r>
            <w:t>5</w:t>
          </w:r>
          <w:r>
            <w:fldChar w:fldCharType="end"/>
          </w:r>
          <w:r>
            <w:fldChar w:fldCharType="end"/>
          </w:r>
        </w:p>
        <w:p w14:paraId="129B63CD">
          <w:pPr>
            <w:pStyle w:val="7"/>
            <w:tabs>
              <w:tab w:val="right" w:leader="dot" w:pos="21650"/>
            </w:tabs>
            <w:ind w:firstLine="640"/>
            <w:rPr>
              <w:rFonts w:hint="eastAsia" w:eastAsia="仿宋" w:asciiTheme="minorHAnsi" w:hAnsiTheme="minorHAnsi"/>
              <w:sz w:val="21"/>
              <w:lang w:val="en-US" w:eastAsia="zh-CN"/>
            </w:rPr>
          </w:pPr>
          <w:r>
            <w:fldChar w:fldCharType="begin"/>
          </w:r>
          <w:r>
            <w:instrText xml:space="preserve"> HYPERLINK \l "_Toc20473844" </w:instrText>
          </w:r>
          <w:r>
            <w:fldChar w:fldCharType="separate"/>
          </w:r>
          <w:r>
            <w:rPr>
              <w:rStyle w:val="10"/>
            </w:rPr>
            <w:t>5</w:t>
          </w:r>
          <w:r>
            <w:rPr>
              <w:rStyle w:val="10"/>
              <w:rFonts w:hint="eastAsia"/>
            </w:rPr>
            <w:t>、</w:t>
          </w:r>
          <w:r>
            <w:rPr>
              <w:rStyle w:val="10"/>
              <w:rFonts w:hint="eastAsia"/>
              <w:lang w:eastAsia="zh-CN"/>
            </w:rPr>
            <w:t>县</w:t>
          </w:r>
          <w:r>
            <w:rPr>
              <w:rStyle w:val="10"/>
              <w:rFonts w:hint="eastAsia"/>
            </w:rPr>
            <w:t>委编办</w:t>
          </w:r>
          <w:r>
            <w:tab/>
          </w:r>
          <w:r>
            <w:fldChar w:fldCharType="end"/>
          </w:r>
          <w:r>
            <w:rPr>
              <w:rFonts w:hint="eastAsia"/>
              <w:lang w:val="en-US" w:eastAsia="zh-CN"/>
            </w:rPr>
            <w:t>6</w:t>
          </w:r>
        </w:p>
        <w:p w14:paraId="029701E0">
          <w:pPr>
            <w:pStyle w:val="7"/>
            <w:tabs>
              <w:tab w:val="right" w:leader="dot" w:pos="21650"/>
            </w:tabs>
            <w:ind w:firstLine="640"/>
            <w:rPr>
              <w:rFonts w:hint="eastAsia" w:eastAsia="仿宋"/>
              <w:lang w:val="en-US" w:eastAsia="zh-CN"/>
            </w:rPr>
          </w:pPr>
          <w:r>
            <w:rPr>
              <w:rFonts w:hint="eastAsia"/>
              <w:lang w:val="en-US" w:eastAsia="zh-CN"/>
            </w:rPr>
            <w:t>6</w:t>
          </w:r>
          <w:r>
            <w:fldChar w:fldCharType="begin"/>
          </w:r>
          <w:r>
            <w:instrText xml:space="preserve"> HYPERLINK \l "_Toc20473846" </w:instrText>
          </w:r>
          <w:r>
            <w:fldChar w:fldCharType="separate"/>
          </w:r>
          <w:r>
            <w:rPr>
              <w:rStyle w:val="10"/>
              <w:rFonts w:hint="eastAsia"/>
            </w:rPr>
            <w:t>、</w:t>
          </w:r>
          <w:r>
            <w:rPr>
              <w:rStyle w:val="10"/>
              <w:rFonts w:hint="eastAsia"/>
              <w:lang w:eastAsia="zh-CN"/>
            </w:rPr>
            <w:t>县</w:t>
          </w:r>
          <w:r>
            <w:rPr>
              <w:rStyle w:val="10"/>
              <w:rFonts w:hint="eastAsia"/>
            </w:rPr>
            <w:t>法院</w:t>
          </w:r>
          <w:r>
            <w:tab/>
          </w:r>
          <w:r>
            <w:fldChar w:fldCharType="end"/>
          </w:r>
          <w:r>
            <w:rPr>
              <w:rFonts w:hint="eastAsia"/>
              <w:lang w:val="en-US" w:eastAsia="zh-CN"/>
            </w:rPr>
            <w:t>7</w:t>
          </w:r>
        </w:p>
        <w:p w14:paraId="60652482">
          <w:pPr>
            <w:pStyle w:val="7"/>
            <w:tabs>
              <w:tab w:val="right" w:leader="dot" w:pos="21650"/>
            </w:tabs>
            <w:ind w:firstLine="640"/>
            <w:rPr>
              <w:rFonts w:hint="eastAsia" w:eastAsia="仿宋" w:asciiTheme="minorHAnsi" w:hAnsiTheme="minorHAnsi"/>
              <w:sz w:val="21"/>
              <w:lang w:val="en-US" w:eastAsia="zh-CN"/>
            </w:rPr>
          </w:pPr>
          <w:r>
            <w:fldChar w:fldCharType="begin"/>
          </w:r>
          <w:r>
            <w:instrText xml:space="preserve"> HYPERLINK \l "_Toc20473847" </w:instrText>
          </w:r>
          <w:r>
            <w:fldChar w:fldCharType="separate"/>
          </w:r>
          <w:r>
            <w:rPr>
              <w:rStyle w:val="10"/>
              <w:rFonts w:hint="eastAsia"/>
              <w:lang w:val="en-US" w:eastAsia="zh-CN"/>
            </w:rPr>
            <w:t>7</w:t>
          </w:r>
          <w:r>
            <w:rPr>
              <w:rStyle w:val="10"/>
              <w:rFonts w:hint="eastAsia"/>
            </w:rPr>
            <w:t>、</w:t>
          </w:r>
          <w:r>
            <w:rPr>
              <w:rStyle w:val="10"/>
              <w:rFonts w:hint="eastAsia"/>
              <w:lang w:eastAsia="zh-CN"/>
            </w:rPr>
            <w:t>县</w:t>
          </w:r>
          <w:r>
            <w:rPr>
              <w:rStyle w:val="10"/>
              <w:rFonts w:hint="eastAsia"/>
            </w:rPr>
            <w:t>检察院</w:t>
          </w:r>
          <w:r>
            <w:tab/>
          </w:r>
          <w:r>
            <w:fldChar w:fldCharType="end"/>
          </w:r>
          <w:r>
            <w:rPr>
              <w:rFonts w:hint="eastAsia"/>
              <w:lang w:val="en-US" w:eastAsia="zh-CN"/>
            </w:rPr>
            <w:t>8</w:t>
          </w:r>
        </w:p>
        <w:p w14:paraId="78B16F20">
          <w:pPr>
            <w:pStyle w:val="7"/>
            <w:tabs>
              <w:tab w:val="right" w:leader="dot" w:pos="21650"/>
            </w:tabs>
            <w:ind w:firstLine="640"/>
            <w:rPr>
              <w:rFonts w:asciiTheme="minorHAnsi" w:hAnsiTheme="minorHAnsi" w:eastAsiaTheme="minorEastAsia"/>
              <w:sz w:val="21"/>
            </w:rPr>
          </w:pPr>
          <w:r>
            <w:fldChar w:fldCharType="begin"/>
          </w:r>
          <w:r>
            <w:instrText xml:space="preserve"> HYPERLINK \l "_Toc20473848" </w:instrText>
          </w:r>
          <w:r>
            <w:fldChar w:fldCharType="separate"/>
          </w:r>
          <w:r>
            <w:rPr>
              <w:rStyle w:val="10"/>
              <w:rFonts w:hint="eastAsia"/>
              <w:lang w:val="en-US" w:eastAsia="zh-CN"/>
            </w:rPr>
            <w:t>8</w:t>
          </w:r>
          <w:r>
            <w:rPr>
              <w:rStyle w:val="10"/>
              <w:rFonts w:hint="eastAsia"/>
            </w:rPr>
            <w:t>、</w:t>
          </w:r>
          <w:r>
            <w:rPr>
              <w:rStyle w:val="10"/>
              <w:rFonts w:hint="eastAsia"/>
              <w:lang w:eastAsia="zh-CN"/>
            </w:rPr>
            <w:t>县</w:t>
          </w:r>
          <w:r>
            <w:rPr>
              <w:rStyle w:val="10"/>
              <w:rFonts w:hint="eastAsia"/>
            </w:rPr>
            <w:t>委网信办</w:t>
          </w:r>
          <w:r>
            <w:tab/>
          </w:r>
          <w:r>
            <w:fldChar w:fldCharType="begin"/>
          </w:r>
          <w:r>
            <w:instrText xml:space="preserve"> PAGEREF _Toc20473848 \h </w:instrText>
          </w:r>
          <w:r>
            <w:fldChar w:fldCharType="separate"/>
          </w:r>
          <w:r>
            <w:t>9</w:t>
          </w:r>
          <w:r>
            <w:fldChar w:fldCharType="end"/>
          </w:r>
          <w:r>
            <w:fldChar w:fldCharType="end"/>
          </w:r>
        </w:p>
        <w:p w14:paraId="6B537A74">
          <w:pPr>
            <w:pStyle w:val="7"/>
            <w:tabs>
              <w:tab w:val="right" w:leader="dot" w:pos="21650"/>
            </w:tabs>
            <w:ind w:firstLine="640"/>
            <w:rPr>
              <w:rFonts w:asciiTheme="minorHAnsi" w:hAnsiTheme="minorHAnsi" w:eastAsiaTheme="minorEastAsia"/>
              <w:sz w:val="21"/>
            </w:rPr>
          </w:pPr>
          <w:r>
            <w:fldChar w:fldCharType="begin"/>
          </w:r>
          <w:r>
            <w:instrText xml:space="preserve"> HYPERLINK \l "_Toc20473849" </w:instrText>
          </w:r>
          <w:r>
            <w:fldChar w:fldCharType="separate"/>
          </w:r>
          <w:r>
            <w:rPr>
              <w:rStyle w:val="10"/>
              <w:rFonts w:hint="eastAsia"/>
              <w:lang w:val="en-US" w:eastAsia="zh-CN"/>
            </w:rPr>
            <w:t>9</w:t>
          </w:r>
          <w:r>
            <w:rPr>
              <w:rStyle w:val="10"/>
              <w:rFonts w:hint="eastAsia"/>
            </w:rPr>
            <w:t>、</w:t>
          </w:r>
          <w:r>
            <w:rPr>
              <w:rStyle w:val="10"/>
              <w:rFonts w:hint="eastAsia"/>
              <w:lang w:eastAsia="zh-CN"/>
            </w:rPr>
            <w:t>县</w:t>
          </w:r>
          <w:r>
            <w:rPr>
              <w:rStyle w:val="10"/>
              <w:rFonts w:hint="eastAsia"/>
            </w:rPr>
            <w:t>发展改革</w:t>
          </w:r>
          <w:r>
            <w:rPr>
              <w:rStyle w:val="10"/>
              <w:rFonts w:hint="eastAsia"/>
              <w:lang w:val="en-US" w:eastAsia="zh-CN"/>
            </w:rPr>
            <w:t>局</w:t>
          </w:r>
          <w:r>
            <w:tab/>
          </w:r>
          <w:r>
            <w:fldChar w:fldCharType="begin"/>
          </w:r>
          <w:r>
            <w:instrText xml:space="preserve"> PAGEREF _Toc20473849 \h </w:instrText>
          </w:r>
          <w:r>
            <w:fldChar w:fldCharType="separate"/>
          </w:r>
          <w:r>
            <w:t>10</w:t>
          </w:r>
          <w:r>
            <w:fldChar w:fldCharType="end"/>
          </w:r>
          <w:r>
            <w:fldChar w:fldCharType="end"/>
          </w:r>
        </w:p>
        <w:p w14:paraId="1C04BD8A">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"_Toc20473850" </w:instrText>
          </w:r>
          <w:r>
            <w:fldChar w:fldCharType="separate"/>
          </w:r>
          <w:r>
            <w:rPr>
              <w:rStyle w:val="10"/>
            </w:rPr>
            <w:t>1</w:t>
          </w:r>
          <w:r>
            <w:rPr>
              <w:rStyle w:val="10"/>
              <w:rFonts w:hint="eastAsia"/>
              <w:lang w:val="en-US" w:eastAsia="zh-CN"/>
            </w:rPr>
            <w:t>0</w:t>
          </w:r>
          <w:r>
            <w:rPr>
              <w:rStyle w:val="10"/>
              <w:rFonts w:hint="eastAsia"/>
            </w:rPr>
            <w:t>、</w:t>
          </w:r>
          <w:r>
            <w:rPr>
              <w:rStyle w:val="10"/>
              <w:rFonts w:hint="eastAsia"/>
              <w:lang w:eastAsia="zh-CN"/>
            </w:rPr>
            <w:t>县</w:t>
          </w:r>
          <w:r>
            <w:rPr>
              <w:rStyle w:val="10"/>
              <w:rFonts w:hint="eastAsia"/>
            </w:rPr>
            <w:t>教育</w:t>
          </w:r>
          <w:r>
            <w:rPr>
              <w:rStyle w:val="10"/>
              <w:rFonts w:hint="eastAsia"/>
              <w:lang w:eastAsia="zh-CN"/>
            </w:rPr>
            <w:t>局</w:t>
          </w:r>
          <w:r>
            <w:tab/>
          </w:r>
          <w:r>
            <w:fldChar w:fldCharType="end"/>
          </w:r>
          <w:r>
            <w:rPr>
              <w:rFonts w:hint="eastAsia"/>
              <w:lang w:val="en-US" w:eastAsia="zh-CN"/>
            </w:rPr>
            <w:t>15</w:t>
          </w:r>
        </w:p>
        <w:p w14:paraId="27C8065E">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"_Toc20473853" </w:instrText>
          </w:r>
          <w:r>
            <w:fldChar w:fldCharType="separate"/>
          </w:r>
          <w:r>
            <w:rPr>
              <w:rStyle w:val="10"/>
            </w:rPr>
            <w:t>1</w:t>
          </w:r>
          <w:r>
            <w:rPr>
              <w:rStyle w:val="10"/>
              <w:rFonts w:hint="eastAsia"/>
              <w:lang w:val="en-US" w:eastAsia="zh-CN"/>
            </w:rPr>
            <w:t>1</w:t>
          </w:r>
          <w:r>
            <w:rPr>
              <w:rStyle w:val="10"/>
              <w:rFonts w:hint="eastAsia"/>
            </w:rPr>
            <w:t>、</w:t>
          </w:r>
          <w:r>
            <w:rPr>
              <w:rStyle w:val="10"/>
              <w:rFonts w:hint="eastAsia"/>
              <w:lang w:eastAsia="zh-CN"/>
            </w:rPr>
            <w:t>县</w:t>
          </w:r>
          <w:r>
            <w:rPr>
              <w:rStyle w:val="10"/>
              <w:rFonts w:hint="eastAsia"/>
            </w:rPr>
            <w:t>公安</w:t>
          </w:r>
          <w:r>
            <w:rPr>
              <w:rStyle w:val="10"/>
              <w:rFonts w:hint="eastAsia"/>
              <w:lang w:eastAsia="zh-CN"/>
            </w:rPr>
            <w:t>局</w:t>
          </w:r>
          <w:r>
            <w:tab/>
          </w:r>
          <w:r>
            <w:fldChar w:fldCharType="end"/>
          </w:r>
          <w:r>
            <w:rPr>
              <w:rFonts w:hint="eastAsia"/>
              <w:lang w:val="en-US" w:eastAsia="zh-CN"/>
            </w:rPr>
            <w:t>19</w:t>
          </w:r>
        </w:p>
        <w:p w14:paraId="7AE4923B">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"_Toc20473854" </w:instrText>
          </w:r>
          <w:r>
            <w:fldChar w:fldCharType="separate"/>
          </w:r>
          <w:r>
            <w:rPr>
              <w:rStyle w:val="10"/>
            </w:rPr>
            <w:t>1</w:t>
          </w:r>
          <w:r>
            <w:rPr>
              <w:rStyle w:val="10"/>
              <w:rFonts w:hint="eastAsia"/>
              <w:lang w:val="en-US" w:eastAsia="zh-CN"/>
            </w:rPr>
            <w:t>2</w:t>
          </w:r>
          <w:r>
            <w:rPr>
              <w:rStyle w:val="10"/>
              <w:rFonts w:hint="eastAsia"/>
            </w:rPr>
            <w:t>、</w:t>
          </w:r>
          <w:r>
            <w:rPr>
              <w:rStyle w:val="10"/>
              <w:rFonts w:hint="eastAsia"/>
              <w:lang w:eastAsia="zh-CN"/>
            </w:rPr>
            <w:t>县</w:t>
          </w:r>
          <w:r>
            <w:rPr>
              <w:rStyle w:val="10"/>
              <w:rFonts w:hint="eastAsia"/>
            </w:rPr>
            <w:t>民政</w:t>
          </w:r>
          <w:r>
            <w:rPr>
              <w:rStyle w:val="10"/>
              <w:rFonts w:hint="eastAsia"/>
              <w:lang w:eastAsia="zh-CN"/>
            </w:rPr>
            <w:t>局</w:t>
          </w:r>
          <w:r>
            <w:tab/>
          </w:r>
          <w:r>
            <w:fldChar w:fldCharType="end"/>
          </w:r>
          <w:r>
            <w:rPr>
              <w:rFonts w:hint="eastAsia"/>
              <w:lang w:val="en-US" w:eastAsia="zh-CN"/>
            </w:rPr>
            <w:t>24</w:t>
          </w:r>
        </w:p>
        <w:p w14:paraId="773D82B3">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"_Toc20473855" </w:instrText>
          </w:r>
          <w:r>
            <w:fldChar w:fldCharType="separate"/>
          </w:r>
          <w:r>
            <w:rPr>
              <w:rStyle w:val="10"/>
            </w:rPr>
            <w:t>1</w:t>
          </w:r>
          <w:r>
            <w:rPr>
              <w:rStyle w:val="10"/>
              <w:rFonts w:hint="eastAsia"/>
              <w:lang w:val="en-US" w:eastAsia="zh-CN"/>
            </w:rPr>
            <w:t>3</w:t>
          </w:r>
          <w:r>
            <w:rPr>
              <w:rStyle w:val="10"/>
              <w:rFonts w:hint="eastAsia"/>
            </w:rPr>
            <w:t>、</w:t>
          </w:r>
          <w:r>
            <w:rPr>
              <w:rStyle w:val="10"/>
              <w:rFonts w:hint="eastAsia"/>
              <w:lang w:eastAsia="zh-CN"/>
            </w:rPr>
            <w:t>县</w:t>
          </w:r>
          <w:r>
            <w:rPr>
              <w:rStyle w:val="10"/>
              <w:rFonts w:hint="eastAsia"/>
            </w:rPr>
            <w:t>司法</w:t>
          </w:r>
          <w:r>
            <w:rPr>
              <w:rStyle w:val="10"/>
              <w:rFonts w:hint="eastAsia"/>
              <w:lang w:eastAsia="zh-CN"/>
            </w:rPr>
            <w:t>局</w:t>
          </w:r>
          <w:r>
            <w:tab/>
          </w:r>
          <w:r>
            <w:fldChar w:fldCharType="end"/>
          </w:r>
          <w:r>
            <w:rPr>
              <w:rFonts w:hint="eastAsia"/>
              <w:lang w:val="en-US" w:eastAsia="zh-CN"/>
            </w:rPr>
            <w:t>27</w:t>
          </w:r>
        </w:p>
        <w:p w14:paraId="781CCD96">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"_Toc20473856" </w:instrText>
          </w:r>
          <w:r>
            <w:fldChar w:fldCharType="separate"/>
          </w:r>
          <w:r>
            <w:rPr>
              <w:rStyle w:val="10"/>
            </w:rPr>
            <w:t>1</w:t>
          </w:r>
          <w:r>
            <w:rPr>
              <w:rStyle w:val="10"/>
              <w:rFonts w:hint="eastAsia"/>
              <w:lang w:val="en-US" w:eastAsia="zh-CN"/>
            </w:rPr>
            <w:t>4</w:t>
          </w:r>
          <w:r>
            <w:rPr>
              <w:rStyle w:val="10"/>
              <w:rFonts w:hint="eastAsia"/>
            </w:rPr>
            <w:t>、</w:t>
          </w:r>
          <w:r>
            <w:rPr>
              <w:rStyle w:val="10"/>
              <w:rFonts w:hint="eastAsia"/>
              <w:lang w:eastAsia="zh-CN"/>
            </w:rPr>
            <w:t>县</w:t>
          </w:r>
          <w:r>
            <w:rPr>
              <w:rStyle w:val="10"/>
              <w:rFonts w:hint="eastAsia"/>
            </w:rPr>
            <w:t>财政</w:t>
          </w:r>
          <w:r>
            <w:rPr>
              <w:rStyle w:val="10"/>
              <w:rFonts w:hint="eastAsia"/>
              <w:lang w:eastAsia="zh-CN"/>
            </w:rPr>
            <w:t>局</w:t>
          </w:r>
          <w:r>
            <w:tab/>
          </w:r>
          <w:r>
            <w:fldChar w:fldCharType="end"/>
          </w:r>
          <w:r>
            <w:rPr>
              <w:rFonts w:hint="eastAsia"/>
              <w:lang w:val="en-US" w:eastAsia="zh-CN"/>
            </w:rPr>
            <w:t>30</w:t>
          </w:r>
        </w:p>
        <w:p w14:paraId="0C4521A8">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"_Toc20473857" </w:instrText>
          </w:r>
          <w:r>
            <w:fldChar w:fldCharType="separate"/>
          </w:r>
          <w:r>
            <w:rPr>
              <w:rStyle w:val="10"/>
            </w:rPr>
            <w:t>1</w:t>
          </w:r>
          <w:r>
            <w:rPr>
              <w:rStyle w:val="10"/>
              <w:rFonts w:hint="eastAsia"/>
              <w:lang w:val="en-US" w:eastAsia="zh-CN"/>
            </w:rPr>
            <w:t>5</w:t>
          </w:r>
          <w:r>
            <w:rPr>
              <w:rStyle w:val="10"/>
              <w:rFonts w:hint="eastAsia"/>
            </w:rPr>
            <w:t>、</w:t>
          </w:r>
          <w:r>
            <w:rPr>
              <w:rStyle w:val="10"/>
              <w:rFonts w:hint="eastAsia"/>
              <w:lang w:eastAsia="zh-CN"/>
            </w:rPr>
            <w:t>县</w:t>
          </w:r>
          <w:r>
            <w:rPr>
              <w:rStyle w:val="10"/>
              <w:rFonts w:hint="eastAsia"/>
            </w:rPr>
            <w:t>人力资源和社会保障</w:t>
          </w:r>
          <w:r>
            <w:rPr>
              <w:rStyle w:val="10"/>
              <w:rFonts w:hint="eastAsia"/>
              <w:lang w:eastAsia="zh-CN"/>
            </w:rPr>
            <w:t>局</w:t>
          </w:r>
          <w:r>
            <w:tab/>
          </w:r>
          <w:r>
            <w:fldChar w:fldCharType="end"/>
          </w:r>
          <w:r>
            <w:rPr>
              <w:rFonts w:hint="eastAsia"/>
              <w:lang w:val="en-US" w:eastAsia="zh-CN"/>
            </w:rPr>
            <w:t>33</w:t>
          </w:r>
        </w:p>
        <w:p w14:paraId="69A61CDA">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"_Toc20473858" </w:instrText>
          </w:r>
          <w:r>
            <w:fldChar w:fldCharType="separate"/>
          </w:r>
          <w:r>
            <w:rPr>
              <w:rStyle w:val="10"/>
            </w:rPr>
            <w:t>1</w:t>
          </w:r>
          <w:r>
            <w:rPr>
              <w:rStyle w:val="10"/>
              <w:rFonts w:hint="eastAsia"/>
              <w:lang w:val="en-US" w:eastAsia="zh-CN"/>
            </w:rPr>
            <w:t>6</w:t>
          </w:r>
          <w:r>
            <w:rPr>
              <w:rStyle w:val="10"/>
              <w:rFonts w:hint="eastAsia"/>
            </w:rPr>
            <w:t>、</w:t>
          </w:r>
          <w:r>
            <w:rPr>
              <w:rStyle w:val="10"/>
              <w:rFonts w:hint="eastAsia"/>
              <w:lang w:eastAsia="zh-CN"/>
            </w:rPr>
            <w:t>县</w:t>
          </w:r>
          <w:r>
            <w:rPr>
              <w:rStyle w:val="10"/>
              <w:rFonts w:hint="eastAsia"/>
            </w:rPr>
            <w:t>自然资源</w:t>
          </w:r>
          <w:r>
            <w:rPr>
              <w:rStyle w:val="10"/>
              <w:rFonts w:hint="eastAsia"/>
              <w:lang w:eastAsia="zh-CN"/>
            </w:rPr>
            <w:t>和规划局</w:t>
          </w:r>
          <w:r>
            <w:tab/>
          </w:r>
          <w:r>
            <w:fldChar w:fldCharType="end"/>
          </w:r>
          <w:r>
            <w:rPr>
              <w:rFonts w:hint="eastAsia"/>
              <w:lang w:val="en-US" w:eastAsia="zh-CN"/>
            </w:rPr>
            <w:t>41</w:t>
          </w:r>
        </w:p>
        <w:p w14:paraId="5D19104C">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"_Toc20473859" </w:instrText>
          </w:r>
          <w:r>
            <w:fldChar w:fldCharType="separate"/>
          </w:r>
          <w:r>
            <w:rPr>
              <w:rFonts w:hint="eastAsia"/>
              <w:lang w:val="en-US" w:eastAsia="zh-CN"/>
            </w:rPr>
            <w:t>17</w:t>
          </w:r>
          <w:r>
            <w:rPr>
              <w:rStyle w:val="10"/>
              <w:rFonts w:hint="eastAsia"/>
            </w:rPr>
            <w:t>、</w:t>
          </w:r>
          <w:r>
            <w:rPr>
              <w:rStyle w:val="10"/>
              <w:rFonts w:hint="eastAsia"/>
              <w:lang w:eastAsia="zh-CN"/>
            </w:rPr>
            <w:t>县</w:t>
          </w:r>
          <w:r>
            <w:rPr>
              <w:rStyle w:val="10"/>
              <w:rFonts w:hint="eastAsia"/>
            </w:rPr>
            <w:t>住房和城乡建设</w:t>
          </w:r>
          <w:r>
            <w:rPr>
              <w:rStyle w:val="10"/>
              <w:rFonts w:hint="eastAsia"/>
              <w:lang w:eastAsia="zh-CN"/>
            </w:rPr>
            <w:t>局</w:t>
          </w:r>
          <w:r>
            <w:tab/>
          </w:r>
          <w:r>
            <w:fldChar w:fldCharType="end"/>
          </w:r>
          <w:r>
            <w:rPr>
              <w:rFonts w:hint="eastAsia"/>
              <w:lang w:val="en-US" w:eastAsia="zh-CN"/>
            </w:rPr>
            <w:t>49</w:t>
          </w:r>
        </w:p>
        <w:p w14:paraId="4A4F8941">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"_Toc20473860" </w:instrText>
          </w:r>
          <w:r>
            <w:fldChar w:fldCharType="separate"/>
          </w:r>
          <w:r>
            <w:rPr>
              <w:rFonts w:hint="eastAsia"/>
              <w:lang w:val="en-US" w:eastAsia="zh-CN"/>
            </w:rPr>
            <w:t>1</w:t>
          </w:r>
          <w:r>
            <w:rPr>
              <w:rStyle w:val="10"/>
              <w:rFonts w:hint="eastAsia"/>
              <w:lang w:val="en-US" w:eastAsia="zh-CN"/>
            </w:rPr>
            <w:t>8</w:t>
          </w:r>
          <w:r>
            <w:rPr>
              <w:rStyle w:val="10"/>
              <w:rFonts w:hint="eastAsia"/>
            </w:rPr>
            <w:t>、</w:t>
          </w:r>
          <w:r>
            <w:rPr>
              <w:rStyle w:val="10"/>
              <w:rFonts w:hint="eastAsia"/>
              <w:lang w:eastAsia="zh-CN"/>
            </w:rPr>
            <w:t>县</w:t>
          </w:r>
          <w:r>
            <w:rPr>
              <w:rStyle w:val="10"/>
              <w:rFonts w:hint="eastAsia"/>
            </w:rPr>
            <w:t>交通运输</w:t>
          </w:r>
          <w:r>
            <w:rPr>
              <w:rStyle w:val="10"/>
              <w:rFonts w:hint="eastAsia"/>
              <w:lang w:eastAsia="zh-CN"/>
            </w:rPr>
            <w:t>局</w:t>
          </w:r>
          <w:r>
            <w:tab/>
          </w:r>
          <w:r>
            <w:fldChar w:fldCharType="end"/>
          </w:r>
          <w:r>
            <w:rPr>
              <w:rFonts w:hint="eastAsia"/>
              <w:lang w:val="en-US" w:eastAsia="zh-CN"/>
            </w:rPr>
            <w:t>55</w:t>
          </w:r>
        </w:p>
        <w:p w14:paraId="129F3653">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"_Toc20473861" </w:instrText>
          </w:r>
          <w:r>
            <w:fldChar w:fldCharType="separate"/>
          </w:r>
          <w:r>
            <w:rPr>
              <w:rStyle w:val="10"/>
              <w:rFonts w:hint="eastAsia"/>
              <w:lang w:val="en-US" w:eastAsia="zh-CN"/>
            </w:rPr>
            <w:t>19</w:t>
          </w:r>
          <w:r>
            <w:rPr>
              <w:rStyle w:val="10"/>
              <w:rFonts w:hint="eastAsia"/>
            </w:rPr>
            <w:t>、</w:t>
          </w:r>
          <w:r>
            <w:rPr>
              <w:rStyle w:val="10"/>
              <w:rFonts w:hint="eastAsia"/>
              <w:lang w:eastAsia="zh-CN"/>
            </w:rPr>
            <w:t>县</w:t>
          </w:r>
          <w:r>
            <w:rPr>
              <w:rStyle w:val="10"/>
              <w:rFonts w:hint="eastAsia"/>
            </w:rPr>
            <w:t>水利</w:t>
          </w:r>
          <w:r>
            <w:rPr>
              <w:rStyle w:val="10"/>
              <w:rFonts w:hint="eastAsia"/>
              <w:lang w:eastAsia="zh-CN"/>
            </w:rPr>
            <w:t>局</w:t>
          </w:r>
          <w:r>
            <w:tab/>
          </w:r>
          <w:r>
            <w:fldChar w:fldCharType="end"/>
          </w:r>
          <w:r>
            <w:rPr>
              <w:rFonts w:hint="eastAsia"/>
              <w:lang w:val="en-US" w:eastAsia="zh-CN"/>
            </w:rPr>
            <w:t>58</w:t>
          </w:r>
        </w:p>
        <w:p w14:paraId="03CC663F">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"_Toc20473862" </w:instrText>
          </w:r>
          <w:r>
            <w:fldChar w:fldCharType="separate"/>
          </w:r>
          <w:r>
            <w:rPr>
              <w:rStyle w:val="10"/>
              <w:rFonts w:hint="eastAsia"/>
              <w:lang w:val="en-US" w:eastAsia="zh-CN"/>
            </w:rPr>
            <w:t>20</w:t>
          </w:r>
          <w:r>
            <w:rPr>
              <w:rStyle w:val="10"/>
              <w:rFonts w:hint="eastAsia"/>
            </w:rPr>
            <w:t>、</w:t>
          </w:r>
          <w:r>
            <w:rPr>
              <w:rStyle w:val="10"/>
              <w:rFonts w:hint="eastAsia"/>
              <w:lang w:eastAsia="zh-CN"/>
            </w:rPr>
            <w:t>县</w:t>
          </w:r>
          <w:r>
            <w:rPr>
              <w:rStyle w:val="10"/>
              <w:rFonts w:hint="eastAsia"/>
            </w:rPr>
            <w:t>农业农村</w:t>
          </w:r>
          <w:r>
            <w:rPr>
              <w:rStyle w:val="10"/>
              <w:rFonts w:hint="eastAsia"/>
              <w:lang w:eastAsia="zh-CN"/>
            </w:rPr>
            <w:t>局</w:t>
          </w:r>
          <w:r>
            <w:tab/>
          </w:r>
          <w:r>
            <w:fldChar w:fldCharType="end"/>
          </w:r>
          <w:r>
            <w:rPr>
              <w:rFonts w:hint="eastAsia"/>
              <w:lang w:val="en-US" w:eastAsia="zh-CN"/>
            </w:rPr>
            <w:t>60</w:t>
          </w:r>
        </w:p>
        <w:p w14:paraId="35F96277">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"_Toc20473863" </w:instrText>
          </w:r>
          <w:r>
            <w:fldChar w:fldCharType="separate"/>
          </w:r>
          <w:r>
            <w:rPr>
              <w:rStyle w:val="10"/>
            </w:rPr>
            <w:t>2</w:t>
          </w:r>
          <w:r>
            <w:rPr>
              <w:rStyle w:val="10"/>
              <w:rFonts w:hint="eastAsia"/>
              <w:lang w:val="en-US" w:eastAsia="zh-CN"/>
            </w:rPr>
            <w:t>1</w:t>
          </w:r>
          <w:r>
            <w:rPr>
              <w:rStyle w:val="10"/>
              <w:rFonts w:hint="eastAsia"/>
            </w:rPr>
            <w:t>、</w:t>
          </w:r>
          <w:r>
            <w:rPr>
              <w:rStyle w:val="10"/>
              <w:rFonts w:hint="eastAsia"/>
              <w:lang w:eastAsia="zh-CN"/>
            </w:rPr>
            <w:t>县</w:t>
          </w:r>
          <w:r>
            <w:rPr>
              <w:rStyle w:val="10"/>
              <w:rFonts w:hint="eastAsia"/>
            </w:rPr>
            <w:t>商务</w:t>
          </w:r>
          <w:r>
            <w:rPr>
              <w:rStyle w:val="10"/>
              <w:rFonts w:hint="eastAsia"/>
              <w:lang w:eastAsia="zh-CN"/>
            </w:rPr>
            <w:t>局</w:t>
          </w:r>
          <w:r>
            <w:tab/>
          </w:r>
          <w:r>
            <w:fldChar w:fldCharType="end"/>
          </w:r>
          <w:r>
            <w:rPr>
              <w:rFonts w:hint="eastAsia"/>
              <w:lang w:val="en-US" w:eastAsia="zh-CN"/>
            </w:rPr>
            <w:t>62</w:t>
          </w:r>
        </w:p>
        <w:p w14:paraId="55853ABB">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"_Toc20473865" </w:instrText>
          </w:r>
          <w:r>
            <w:fldChar w:fldCharType="separate"/>
          </w:r>
          <w:r>
            <w:rPr>
              <w:rStyle w:val="10"/>
            </w:rPr>
            <w:t>2</w:t>
          </w:r>
          <w:r>
            <w:rPr>
              <w:rStyle w:val="10"/>
              <w:rFonts w:hint="eastAsia"/>
              <w:lang w:val="en-US" w:eastAsia="zh-CN"/>
            </w:rPr>
            <w:t>2</w:t>
          </w:r>
          <w:r>
            <w:rPr>
              <w:rStyle w:val="10"/>
              <w:rFonts w:hint="eastAsia"/>
            </w:rPr>
            <w:t>、</w:t>
          </w:r>
          <w:r>
            <w:rPr>
              <w:rStyle w:val="10"/>
              <w:rFonts w:hint="eastAsia"/>
              <w:lang w:eastAsia="zh-CN"/>
            </w:rPr>
            <w:t>县</w:t>
          </w:r>
          <w:r>
            <w:rPr>
              <w:rStyle w:val="10"/>
              <w:rFonts w:hint="eastAsia"/>
            </w:rPr>
            <w:t>应急管理</w:t>
          </w:r>
          <w:r>
            <w:rPr>
              <w:rStyle w:val="10"/>
              <w:rFonts w:hint="eastAsia"/>
              <w:lang w:eastAsia="zh-CN"/>
            </w:rPr>
            <w:t>局</w:t>
          </w:r>
          <w:r>
            <w:tab/>
          </w:r>
          <w:r>
            <w:fldChar w:fldCharType="end"/>
          </w:r>
          <w:r>
            <w:rPr>
              <w:rFonts w:hint="eastAsia"/>
              <w:lang w:val="en-US" w:eastAsia="zh-CN"/>
            </w:rPr>
            <w:t>65</w:t>
          </w:r>
        </w:p>
        <w:p w14:paraId="75F8B4BD">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"_Toc20473867" </w:instrText>
          </w:r>
          <w:r>
            <w:fldChar w:fldCharType="separate"/>
          </w:r>
          <w:r>
            <w:rPr>
              <w:rStyle w:val="10"/>
            </w:rPr>
            <w:t>2</w:t>
          </w:r>
          <w:r>
            <w:rPr>
              <w:rStyle w:val="10"/>
              <w:rFonts w:hint="eastAsia"/>
              <w:lang w:val="en-US" w:eastAsia="zh-CN"/>
            </w:rPr>
            <w:t>3</w:t>
          </w:r>
          <w:r>
            <w:rPr>
              <w:rStyle w:val="10"/>
              <w:rFonts w:hint="eastAsia"/>
            </w:rPr>
            <w:t>、</w:t>
          </w:r>
          <w:r>
            <w:rPr>
              <w:rStyle w:val="10"/>
              <w:rFonts w:hint="eastAsia"/>
              <w:lang w:eastAsia="zh-CN"/>
            </w:rPr>
            <w:t>县行政审批局</w:t>
          </w:r>
          <w:r>
            <w:tab/>
          </w:r>
          <w:r>
            <w:fldChar w:fldCharType="end"/>
          </w:r>
          <w:r>
            <w:rPr>
              <w:rFonts w:hint="eastAsia"/>
              <w:lang w:val="en-US" w:eastAsia="zh-CN"/>
            </w:rPr>
            <w:t>72</w:t>
          </w:r>
        </w:p>
        <w:p w14:paraId="2BA354FB">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"_Toc20473869" </w:instrText>
          </w:r>
          <w:r>
            <w:fldChar w:fldCharType="separate"/>
          </w:r>
          <w:r>
            <w:rPr>
              <w:rFonts w:hint="eastAsia"/>
              <w:lang w:val="en-US" w:eastAsia="zh-CN"/>
            </w:rPr>
            <w:t>24</w:t>
          </w:r>
          <w:r>
            <w:rPr>
              <w:rStyle w:val="10"/>
              <w:rFonts w:hint="eastAsia"/>
            </w:rPr>
            <w:t>、人行</w:t>
          </w:r>
          <w:r>
            <w:rPr>
              <w:rStyle w:val="10"/>
              <w:rFonts w:hint="eastAsia"/>
              <w:lang w:val="en-US" w:eastAsia="zh-CN"/>
            </w:rPr>
            <w:t>曲阳县</w:t>
          </w:r>
          <w:r>
            <w:rPr>
              <w:rStyle w:val="10"/>
              <w:rFonts w:hint="eastAsia"/>
            </w:rPr>
            <w:t>支行</w:t>
          </w:r>
          <w:r>
            <w:tab/>
          </w:r>
          <w:r>
            <w:fldChar w:fldCharType="end"/>
          </w:r>
          <w:r>
            <w:rPr>
              <w:rFonts w:hint="eastAsia"/>
              <w:lang w:val="en-US" w:eastAsia="zh-CN"/>
            </w:rPr>
            <w:t>93</w:t>
          </w:r>
        </w:p>
        <w:p w14:paraId="107E7B7D">
          <w:pPr>
            <w:pStyle w:val="7"/>
            <w:tabs>
              <w:tab w:val="right" w:leader="dot" w:pos="21650"/>
            </w:tabs>
            <w:ind w:firstLine="640"/>
            <w:rPr>
              <w:rFonts w:hint="default" w:eastAsia="仿宋" w:asciiTheme="minorHAnsi" w:hAnsiTheme="minorHAnsi"/>
              <w:sz w:val="21"/>
              <w:lang w:val="en-US" w:eastAsia="zh-CN"/>
            </w:rPr>
          </w:pPr>
          <w:r>
            <w:fldChar w:fldCharType="begin"/>
          </w:r>
          <w:r>
            <w:instrText xml:space="preserve"> HYPERLINK \l "_Toc20473871" </w:instrText>
          </w:r>
          <w:r>
            <w:fldChar w:fldCharType="separate"/>
          </w:r>
          <w:r>
            <w:rPr>
              <w:rFonts w:hint="eastAsia"/>
              <w:lang w:val="en-US" w:eastAsia="zh-CN"/>
            </w:rPr>
            <w:t>25</w:t>
          </w:r>
          <w:r>
            <w:rPr>
              <w:rStyle w:val="10"/>
              <w:rFonts w:hint="eastAsia"/>
            </w:rPr>
            <w:t>、</w:t>
          </w:r>
          <w:r>
            <w:rPr>
              <w:rStyle w:val="10"/>
              <w:rFonts w:hint="eastAsia"/>
              <w:lang w:eastAsia="zh-CN"/>
            </w:rPr>
            <w:t>保定</w:t>
          </w:r>
          <w:r>
            <w:rPr>
              <w:rStyle w:val="10"/>
              <w:rFonts w:hint="eastAsia"/>
            </w:rPr>
            <w:t>银保监</w:t>
          </w:r>
          <w:r>
            <w:rPr>
              <w:rStyle w:val="10"/>
              <w:rFonts w:hint="eastAsia"/>
              <w:lang w:eastAsia="zh-CN"/>
            </w:rPr>
            <w:t>分</w:t>
          </w:r>
          <w:r>
            <w:rPr>
              <w:rStyle w:val="10"/>
              <w:rFonts w:hint="eastAsia"/>
            </w:rPr>
            <w:t>局</w:t>
          </w:r>
          <w:r>
            <w:rPr>
              <w:rStyle w:val="10"/>
              <w:rFonts w:hint="eastAsia"/>
              <w:lang w:val="en-US" w:eastAsia="zh-CN"/>
            </w:rPr>
            <w:t>曲阳监督组</w:t>
          </w:r>
          <w:r>
            <w:tab/>
          </w:r>
          <w:r>
            <w:fldChar w:fldCharType="end"/>
          </w:r>
          <w:r>
            <w:rPr>
              <w:rFonts w:hint="eastAsia"/>
              <w:lang w:val="en-US" w:eastAsia="zh-CN"/>
            </w:rPr>
            <w:t>97</w:t>
          </w:r>
        </w:p>
        <w:p w14:paraId="55ED1755">
          <w:pPr>
            <w:pStyle w:val="7"/>
            <w:tabs>
              <w:tab w:val="right" w:leader="dot" w:pos="21650"/>
            </w:tabs>
            <w:ind w:firstLine="640"/>
            <w:sectPr>
              <w:headerReference r:id="rId7" w:type="first"/>
              <w:footerReference r:id="rId10" w:type="first"/>
              <w:headerReference r:id="rId5" w:type="default"/>
              <w:footerReference r:id="rId8" w:type="default"/>
              <w:headerReference r:id="rId6" w:type="even"/>
              <w:footerReference r:id="rId9" w:type="even"/>
              <w:pgSz w:w="23814" w:h="16839" w:orient="landscape"/>
              <w:pgMar w:top="1134" w:right="1077" w:bottom="1134" w:left="1077" w:header="851" w:footer="992" w:gutter="0"/>
              <w:pgNumType w:fmt="upperRoman"/>
              <w:cols w:space="425" w:num="1"/>
              <w:docGrid w:type="lines" w:linePitch="435" w:charSpace="0"/>
            </w:sectPr>
          </w:pPr>
          <w:r>
            <w:fldChar w:fldCharType="begin"/>
          </w:r>
          <w:r>
            <w:instrText xml:space="preserve"> HYPERLINK \l "_Toc20473872" </w:instrText>
          </w:r>
          <w:r>
            <w:fldChar w:fldCharType="separate"/>
          </w:r>
          <w:r>
            <w:rPr>
              <w:rFonts w:hint="eastAsia"/>
              <w:lang w:val="en-US" w:eastAsia="zh-CN"/>
            </w:rPr>
            <w:t>26</w:t>
          </w:r>
          <w:r>
            <w:rPr>
              <w:rStyle w:val="10"/>
              <w:rFonts w:hint="eastAsia"/>
            </w:rPr>
            <w:t>、</w:t>
          </w:r>
          <w:r>
            <w:rPr>
              <w:rStyle w:val="10"/>
              <w:rFonts w:hint="eastAsia"/>
              <w:lang w:eastAsia="zh-CN"/>
            </w:rPr>
            <w:t>县</w:t>
          </w:r>
          <w:r>
            <w:rPr>
              <w:rStyle w:val="10"/>
              <w:rFonts w:hint="eastAsia"/>
              <w:lang w:val="en-US" w:eastAsia="zh-CN"/>
            </w:rPr>
            <w:t>市</w:t>
          </w:r>
          <w:r>
            <w:rPr>
              <w:rStyle w:val="10"/>
              <w:rFonts w:hint="eastAsia"/>
            </w:rPr>
            <w:t>场监管局</w:t>
          </w:r>
          <w:r>
            <w:tab/>
          </w:r>
          <w:r>
            <w:fldChar w:fldCharType="end"/>
          </w:r>
          <w:r>
            <w:rPr>
              <w:bCs/>
              <w:lang w:val="zh-CN"/>
            </w:rPr>
            <w:fldChar w:fldCharType="end"/>
          </w:r>
          <w:r>
            <w:rPr>
              <w:rFonts w:hint="eastAsia"/>
              <w:bCs/>
              <w:lang w:val="en-US" w:eastAsia="zh-CN"/>
            </w:rPr>
            <w:t>98</w:t>
          </w:r>
        </w:p>
      </w:sdtContent>
    </w:sdt>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405"/>
        <w:gridCol w:w="1545"/>
        <w:gridCol w:w="1125"/>
        <w:gridCol w:w="1800"/>
        <w:gridCol w:w="1050"/>
        <w:gridCol w:w="855"/>
        <w:gridCol w:w="3261"/>
      </w:tblGrid>
      <w:tr w14:paraId="3BC4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bottom w:val="single" w:color="auto" w:sz="4" w:space="0"/>
              <w:right w:val="nil"/>
            </w:tcBorders>
            <w:shd w:val="clear" w:color="auto" w:fill="auto"/>
            <w:vAlign w:val="center"/>
          </w:tcPr>
          <w:p w14:paraId="4AF89C5A">
            <w:pPr>
              <w:pStyle w:val="2"/>
            </w:pPr>
            <w:bookmarkStart w:id="0" w:name="_Toc20473840"/>
            <w:r>
              <w:rPr>
                <w:rFonts w:hint="eastAsia"/>
              </w:rPr>
              <w:t>1、</w:t>
            </w:r>
            <w:r>
              <w:rPr>
                <w:rFonts w:hint="eastAsia"/>
                <w:lang w:eastAsia="zh-CN"/>
              </w:rPr>
              <w:t>县</w:t>
            </w:r>
            <w:r>
              <w:rPr>
                <w:rFonts w:hint="eastAsia"/>
              </w:rPr>
              <w:t>政协</w:t>
            </w:r>
            <w:bookmarkEnd w:id="0"/>
          </w:p>
        </w:tc>
      </w:tr>
      <w:tr w14:paraId="5D07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tcBorders>
              <w:top w:val="single" w:color="auto" w:sz="4" w:space="0"/>
            </w:tcBorders>
            <w:shd w:val="clear" w:color="000000" w:fill="D6DCE4"/>
            <w:vAlign w:val="center"/>
          </w:tcPr>
          <w:p w14:paraId="742DA6D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11" w:type="dxa"/>
            <w:gridSpan w:val="9"/>
            <w:tcBorders>
              <w:top w:val="single" w:color="auto" w:sz="4" w:space="0"/>
            </w:tcBorders>
            <w:shd w:val="clear" w:color="000000" w:fill="D6DCE4"/>
            <w:vAlign w:val="center"/>
          </w:tcPr>
          <w:p w14:paraId="1A88FCEF">
            <w:pPr>
              <w:widowControl/>
              <w:spacing w:line="240" w:lineRule="auto"/>
              <w:ind w:firstLine="0" w:firstLineChars="0"/>
              <w:jc w:val="center"/>
              <w:rPr>
                <w:rFonts w:hint="eastAsia" w:ascii="微软雅黑" w:hAnsi="微软雅黑" w:eastAsia="微软雅黑" w:cs="宋体"/>
                <w:b/>
                <w:bCs/>
                <w:kern w:val="0"/>
                <w:sz w:val="20"/>
                <w:szCs w:val="20"/>
                <w:lang w:eastAsia="zh-CN"/>
              </w:rPr>
            </w:pPr>
            <w:r>
              <w:rPr>
                <w:rFonts w:hint="eastAsia" w:ascii="微软雅黑" w:hAnsi="微软雅黑" w:eastAsia="微软雅黑" w:cs="宋体"/>
                <w:b/>
                <w:bCs/>
                <w:kern w:val="0"/>
                <w:sz w:val="20"/>
                <w:szCs w:val="20"/>
                <w:lang w:eastAsia="zh-CN"/>
              </w:rPr>
              <w:t>联合奖惩措施</w:t>
            </w:r>
          </w:p>
        </w:tc>
        <w:tc>
          <w:tcPr>
            <w:tcW w:w="8091" w:type="dxa"/>
            <w:gridSpan w:val="5"/>
            <w:tcBorders>
              <w:top w:val="single" w:color="auto" w:sz="4" w:space="0"/>
            </w:tcBorders>
            <w:shd w:val="clear" w:color="000000" w:fill="D6DCE4"/>
            <w:vAlign w:val="center"/>
          </w:tcPr>
          <w:p w14:paraId="3258C3B1">
            <w:pPr>
              <w:widowControl/>
              <w:spacing w:line="240" w:lineRule="auto"/>
              <w:ind w:firstLine="0" w:firstLineChars="0"/>
              <w:jc w:val="center"/>
              <w:rPr>
                <w:rFonts w:hint="eastAsia" w:ascii="微软雅黑" w:hAnsi="微软雅黑" w:eastAsia="微软雅黑" w:cs="宋体"/>
                <w:b/>
                <w:bCs/>
                <w:kern w:val="0"/>
                <w:sz w:val="20"/>
                <w:szCs w:val="20"/>
                <w:lang w:eastAsia="zh-CN"/>
              </w:rPr>
            </w:pPr>
            <w:r>
              <w:rPr>
                <w:rFonts w:hint="eastAsia" w:ascii="微软雅黑" w:hAnsi="微软雅黑" w:eastAsia="微软雅黑" w:cs="宋体"/>
                <w:b/>
                <w:bCs/>
                <w:kern w:val="0"/>
                <w:sz w:val="20"/>
                <w:szCs w:val="20"/>
                <w:lang w:eastAsia="zh-CN"/>
              </w:rPr>
              <w:t>可应用于惩戒措施的服务事项</w:t>
            </w:r>
          </w:p>
        </w:tc>
      </w:tr>
      <w:tr w14:paraId="1E755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0B9EE93E">
            <w:pPr>
              <w:widowControl/>
              <w:spacing w:line="240" w:lineRule="auto"/>
              <w:ind w:firstLine="0" w:firstLineChars="0"/>
              <w:jc w:val="center"/>
              <w:rPr>
                <w:rFonts w:ascii="微软雅黑" w:hAnsi="微软雅黑" w:eastAsia="微软雅黑" w:cs="宋体"/>
                <w:b/>
                <w:bCs/>
                <w:kern w:val="0"/>
                <w:sz w:val="20"/>
                <w:szCs w:val="20"/>
              </w:rPr>
            </w:pPr>
          </w:p>
        </w:tc>
        <w:tc>
          <w:tcPr>
            <w:tcW w:w="1078" w:type="dxa"/>
            <w:tcBorders>
              <w:top w:val="single" w:color="auto" w:sz="4" w:space="0"/>
            </w:tcBorders>
            <w:shd w:val="clear" w:color="000000" w:fill="D6DCE4"/>
            <w:vAlign w:val="center"/>
          </w:tcPr>
          <w:p w14:paraId="1966DA7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78" w:type="dxa"/>
            <w:tcBorders>
              <w:top w:val="single" w:color="auto" w:sz="4" w:space="0"/>
            </w:tcBorders>
            <w:shd w:val="clear" w:color="000000" w:fill="D6DCE4"/>
            <w:vAlign w:val="center"/>
          </w:tcPr>
          <w:p w14:paraId="2AFE481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19" w:type="dxa"/>
            <w:tcBorders>
              <w:top w:val="single" w:color="auto" w:sz="4" w:space="0"/>
            </w:tcBorders>
            <w:shd w:val="clear" w:color="000000" w:fill="D6DCE4"/>
            <w:vAlign w:val="center"/>
          </w:tcPr>
          <w:p w14:paraId="70D4F1F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9" w:type="dxa"/>
            <w:tcBorders>
              <w:top w:val="single" w:color="auto" w:sz="4" w:space="0"/>
            </w:tcBorders>
            <w:shd w:val="clear" w:color="000000" w:fill="D6DCE4"/>
            <w:vAlign w:val="center"/>
          </w:tcPr>
          <w:p w14:paraId="2ED2F6F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82" w:type="dxa"/>
            <w:tcBorders>
              <w:top w:val="single" w:color="auto" w:sz="4" w:space="0"/>
            </w:tcBorders>
            <w:shd w:val="clear" w:color="000000" w:fill="D6DCE4"/>
            <w:vAlign w:val="center"/>
          </w:tcPr>
          <w:p w14:paraId="55757560">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31" w:type="dxa"/>
            <w:tcBorders>
              <w:top w:val="single" w:color="auto" w:sz="4" w:space="0"/>
            </w:tcBorders>
            <w:shd w:val="clear" w:color="000000" w:fill="D6DCE4"/>
            <w:vAlign w:val="center"/>
          </w:tcPr>
          <w:p w14:paraId="317F65F3">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34" w:type="dxa"/>
            <w:tcBorders>
              <w:top w:val="single" w:color="auto" w:sz="4" w:space="0"/>
            </w:tcBorders>
            <w:shd w:val="clear" w:color="000000" w:fill="D6DCE4"/>
            <w:vAlign w:val="center"/>
          </w:tcPr>
          <w:p w14:paraId="6B14C2F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405" w:type="dxa"/>
            <w:tcBorders>
              <w:top w:val="single" w:color="auto" w:sz="4" w:space="0"/>
            </w:tcBorders>
            <w:shd w:val="clear" w:color="000000" w:fill="D6DCE4"/>
            <w:vAlign w:val="center"/>
          </w:tcPr>
          <w:p w14:paraId="734BB33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545" w:type="dxa"/>
            <w:tcBorders>
              <w:top w:val="single" w:color="auto" w:sz="4" w:space="0"/>
            </w:tcBorders>
            <w:shd w:val="clear" w:color="000000" w:fill="D6DCE4"/>
            <w:vAlign w:val="center"/>
          </w:tcPr>
          <w:p w14:paraId="5A52E5F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25" w:type="dxa"/>
            <w:tcBorders>
              <w:top w:val="single" w:color="auto" w:sz="4" w:space="0"/>
            </w:tcBorders>
            <w:shd w:val="clear" w:color="000000" w:fill="D6DCE4"/>
            <w:vAlign w:val="center"/>
          </w:tcPr>
          <w:p w14:paraId="5759C113">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1800" w:type="dxa"/>
            <w:tcBorders>
              <w:top w:val="single" w:color="auto" w:sz="4" w:space="0"/>
            </w:tcBorders>
            <w:shd w:val="clear" w:color="000000" w:fill="D6DCE4"/>
            <w:vAlign w:val="center"/>
          </w:tcPr>
          <w:p w14:paraId="12723184">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050" w:type="dxa"/>
            <w:tcBorders>
              <w:top w:val="single" w:color="auto" w:sz="4" w:space="0"/>
            </w:tcBorders>
            <w:shd w:val="clear" w:color="000000" w:fill="D6DCE4"/>
            <w:vAlign w:val="center"/>
          </w:tcPr>
          <w:p w14:paraId="71C87F8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855" w:type="dxa"/>
            <w:tcBorders>
              <w:top w:val="single" w:color="auto" w:sz="4" w:space="0"/>
            </w:tcBorders>
            <w:shd w:val="clear" w:color="000000" w:fill="D6DCE4"/>
            <w:vAlign w:val="center"/>
          </w:tcPr>
          <w:p w14:paraId="1D36D12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261" w:type="dxa"/>
            <w:tcBorders>
              <w:top w:val="single" w:color="auto" w:sz="4" w:space="0"/>
            </w:tcBorders>
            <w:shd w:val="clear" w:color="000000" w:fill="D6DCE4"/>
            <w:vAlign w:val="center"/>
          </w:tcPr>
          <w:p w14:paraId="6AFDFB1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应用事项法律及政策依据</w:t>
            </w:r>
          </w:p>
        </w:tc>
      </w:tr>
      <w:tr w14:paraId="2872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tcBorders>
              <w:bottom w:val="single" w:color="auto" w:sz="4" w:space="0"/>
            </w:tcBorders>
            <w:shd w:val="clear" w:color="auto" w:fill="auto"/>
            <w:vAlign w:val="center"/>
          </w:tcPr>
          <w:p w14:paraId="401B54A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tcBorders>
              <w:bottom w:val="single" w:color="auto" w:sz="4" w:space="0"/>
            </w:tcBorders>
            <w:shd w:val="clear" w:color="auto" w:fill="auto"/>
            <w:vAlign w:val="center"/>
          </w:tcPr>
          <w:p w14:paraId="33E4627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7765C1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68C35EC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tcBorders>
              <w:bottom w:val="single" w:color="auto" w:sz="4" w:space="0"/>
            </w:tcBorders>
            <w:shd w:val="clear" w:color="auto" w:fill="auto"/>
            <w:vAlign w:val="center"/>
          </w:tcPr>
          <w:p w14:paraId="1FD026C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政协</w:t>
            </w:r>
          </w:p>
        </w:tc>
        <w:tc>
          <w:tcPr>
            <w:tcW w:w="2082" w:type="dxa"/>
            <w:tcBorders>
              <w:bottom w:val="single" w:color="auto" w:sz="4" w:space="0"/>
            </w:tcBorders>
            <w:shd w:val="clear" w:color="auto" w:fill="auto"/>
            <w:vAlign w:val="center"/>
          </w:tcPr>
          <w:p w14:paraId="2109A84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失信被执行人为个人的，换届时，不再继续提名</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政协委员</w:t>
            </w:r>
          </w:p>
        </w:tc>
        <w:tc>
          <w:tcPr>
            <w:tcW w:w="1131" w:type="dxa"/>
            <w:tcBorders>
              <w:bottom w:val="single" w:color="auto" w:sz="4" w:space="0"/>
            </w:tcBorders>
            <w:shd w:val="clear" w:color="auto" w:fill="auto"/>
            <w:vAlign w:val="center"/>
          </w:tcPr>
          <w:p w14:paraId="547656A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5F57A87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05" w:type="dxa"/>
            <w:tcBorders>
              <w:bottom w:val="single" w:color="auto" w:sz="4" w:space="0"/>
            </w:tcBorders>
            <w:shd w:val="clear" w:color="auto" w:fill="auto"/>
            <w:vAlign w:val="center"/>
          </w:tcPr>
          <w:p w14:paraId="431E960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45" w:type="dxa"/>
            <w:tcBorders>
              <w:bottom w:val="single" w:color="auto" w:sz="4" w:space="0"/>
            </w:tcBorders>
            <w:shd w:val="clear" w:color="auto" w:fill="auto"/>
            <w:vAlign w:val="center"/>
          </w:tcPr>
          <w:p w14:paraId="288A849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　</w:t>
            </w:r>
          </w:p>
        </w:tc>
        <w:tc>
          <w:tcPr>
            <w:tcW w:w="1125" w:type="dxa"/>
            <w:tcBorders>
              <w:bottom w:val="single" w:color="auto" w:sz="4" w:space="0"/>
            </w:tcBorders>
            <w:shd w:val="clear" w:color="auto" w:fill="auto"/>
            <w:vAlign w:val="center"/>
          </w:tcPr>
          <w:p w14:paraId="0959D3C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tcBorders>
              <w:bottom w:val="single" w:color="auto" w:sz="4" w:space="0"/>
            </w:tcBorders>
            <w:shd w:val="clear" w:color="auto" w:fill="auto"/>
            <w:vAlign w:val="center"/>
          </w:tcPr>
          <w:p w14:paraId="1EC18A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50" w:type="dxa"/>
            <w:tcBorders>
              <w:bottom w:val="single" w:color="auto" w:sz="4" w:space="0"/>
            </w:tcBorders>
            <w:shd w:val="clear" w:color="auto" w:fill="auto"/>
            <w:vAlign w:val="center"/>
          </w:tcPr>
          <w:p w14:paraId="6C9251F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55" w:type="dxa"/>
            <w:tcBorders>
              <w:bottom w:val="single" w:color="auto" w:sz="4" w:space="0"/>
            </w:tcBorders>
            <w:shd w:val="clear" w:color="auto" w:fill="auto"/>
            <w:vAlign w:val="center"/>
          </w:tcPr>
          <w:p w14:paraId="4C24A508">
            <w:pPr>
              <w:widowControl/>
              <w:spacing w:line="240" w:lineRule="auto"/>
              <w:ind w:firstLine="0" w:firstLineChars="0"/>
              <w:jc w:val="center"/>
              <w:rPr>
                <w:rFonts w:ascii="微软雅黑" w:hAnsi="微软雅黑" w:eastAsia="微软雅黑" w:cs="宋体"/>
                <w:kern w:val="0"/>
                <w:sz w:val="20"/>
                <w:szCs w:val="20"/>
              </w:rPr>
            </w:pPr>
          </w:p>
        </w:tc>
        <w:tc>
          <w:tcPr>
            <w:tcW w:w="3261" w:type="dxa"/>
            <w:tcBorders>
              <w:bottom w:val="single" w:color="auto" w:sz="4" w:space="0"/>
            </w:tcBorders>
            <w:shd w:val="clear" w:color="auto" w:fill="auto"/>
            <w:vAlign w:val="center"/>
          </w:tcPr>
          <w:p w14:paraId="5D262DB0">
            <w:pPr>
              <w:widowControl/>
              <w:spacing w:line="240" w:lineRule="auto"/>
              <w:ind w:firstLine="0" w:firstLineChars="0"/>
              <w:rPr>
                <w:rFonts w:ascii="微软雅黑" w:hAnsi="微软雅黑" w:eastAsia="微软雅黑" w:cs="宋体"/>
                <w:kern w:val="0"/>
                <w:sz w:val="20"/>
                <w:szCs w:val="20"/>
              </w:rPr>
            </w:pPr>
          </w:p>
        </w:tc>
      </w:tr>
      <w:tr w14:paraId="4ADD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left w:val="nil"/>
              <w:right w:val="nil"/>
            </w:tcBorders>
            <w:shd w:val="clear" w:color="auto" w:fill="auto"/>
            <w:vAlign w:val="center"/>
          </w:tcPr>
          <w:p w14:paraId="1FEAB794">
            <w:pPr>
              <w:pStyle w:val="2"/>
            </w:pPr>
            <w:bookmarkStart w:id="1" w:name="_Toc20473841"/>
            <w:r>
              <w:rPr>
                <w:rFonts w:hint="eastAsia"/>
              </w:rPr>
              <w:t>2、</w:t>
            </w:r>
            <w:r>
              <w:rPr>
                <w:rFonts w:hint="eastAsia"/>
                <w:lang w:eastAsia="zh-CN"/>
              </w:rPr>
              <w:t>县</w:t>
            </w:r>
            <w:r>
              <w:rPr>
                <w:rFonts w:hint="eastAsia"/>
              </w:rPr>
              <w:t>委组织部（</w:t>
            </w:r>
            <w:r>
              <w:rPr>
                <w:rFonts w:hint="eastAsia"/>
                <w:lang w:eastAsia="zh-CN"/>
              </w:rPr>
              <w:t>县</w:t>
            </w:r>
            <w:r>
              <w:rPr>
                <w:rFonts w:hint="eastAsia"/>
              </w:rPr>
              <w:t>公务员局）</w:t>
            </w:r>
            <w:bookmarkEnd w:id="1"/>
          </w:p>
        </w:tc>
      </w:tr>
      <w:tr w14:paraId="12FD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5FC89CB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11" w:type="dxa"/>
            <w:gridSpan w:val="9"/>
            <w:shd w:val="clear" w:color="000000" w:fill="D6DCE4"/>
            <w:vAlign w:val="center"/>
          </w:tcPr>
          <w:p w14:paraId="0433160E">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联合奖惩措施</w:t>
            </w:r>
          </w:p>
        </w:tc>
        <w:tc>
          <w:tcPr>
            <w:tcW w:w="8091" w:type="dxa"/>
            <w:gridSpan w:val="5"/>
            <w:shd w:val="clear" w:color="000000" w:fill="D6DCE4"/>
            <w:vAlign w:val="center"/>
          </w:tcPr>
          <w:p w14:paraId="69FC324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可应用于惩戒措施的服务事项</w:t>
            </w:r>
          </w:p>
        </w:tc>
      </w:tr>
      <w:tr w14:paraId="1EE5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6A20014D">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10AB91F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7601832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581017F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3DC7054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237E2E82">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2A087B3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71A578F2">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405" w:type="dxa"/>
            <w:shd w:val="clear" w:color="000000" w:fill="D6DCE4"/>
            <w:vAlign w:val="center"/>
          </w:tcPr>
          <w:p w14:paraId="498F703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tc>
        <w:tc>
          <w:tcPr>
            <w:tcW w:w="1545" w:type="dxa"/>
            <w:shd w:val="clear" w:color="000000" w:fill="D6DCE4"/>
            <w:vAlign w:val="center"/>
          </w:tcPr>
          <w:p w14:paraId="71A6ACF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依据备忘录</w:t>
            </w:r>
          </w:p>
        </w:tc>
        <w:tc>
          <w:tcPr>
            <w:tcW w:w="1125" w:type="dxa"/>
            <w:shd w:val="clear" w:color="000000" w:fill="D6DCE4"/>
            <w:vAlign w:val="center"/>
          </w:tcPr>
          <w:p w14:paraId="7D95559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1800" w:type="dxa"/>
            <w:shd w:val="clear" w:color="000000" w:fill="D6DCE4"/>
            <w:vAlign w:val="center"/>
          </w:tcPr>
          <w:p w14:paraId="221092B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050" w:type="dxa"/>
            <w:shd w:val="clear" w:color="000000" w:fill="D6DCE4"/>
            <w:vAlign w:val="center"/>
          </w:tcPr>
          <w:p w14:paraId="76A6BC6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855" w:type="dxa"/>
            <w:shd w:val="clear" w:color="000000" w:fill="D6DCE4"/>
            <w:vAlign w:val="center"/>
          </w:tcPr>
          <w:p w14:paraId="3B46F5C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261" w:type="dxa"/>
            <w:shd w:val="clear" w:color="000000" w:fill="D6DCE4"/>
            <w:vAlign w:val="center"/>
          </w:tcPr>
          <w:p w14:paraId="50065DF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61FB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700" w:type="dxa"/>
            <w:shd w:val="clear" w:color="auto" w:fill="auto"/>
            <w:vAlign w:val="center"/>
          </w:tcPr>
          <w:p w14:paraId="1A2CBF1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50EA41A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2C2FDD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6121D9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14A29D2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委组织部</w:t>
            </w:r>
          </w:p>
        </w:tc>
        <w:tc>
          <w:tcPr>
            <w:tcW w:w="2082" w:type="dxa"/>
            <w:shd w:val="clear" w:color="auto" w:fill="auto"/>
            <w:vAlign w:val="center"/>
          </w:tcPr>
          <w:p w14:paraId="72426D7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为个人的，限制其担任国有独资公司、国有资本控股公司董事、监事、高级管理人员，以及国有资本参股公司有股权方派出或推荐的董事、监事、高级管理人员；已担任相关职务的，按照有关程序依法免去其职务</w:t>
            </w:r>
          </w:p>
        </w:tc>
        <w:tc>
          <w:tcPr>
            <w:tcW w:w="1131" w:type="dxa"/>
            <w:shd w:val="clear" w:color="auto" w:fill="auto"/>
            <w:vAlign w:val="center"/>
          </w:tcPr>
          <w:p w14:paraId="4415930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65270D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05" w:type="dxa"/>
            <w:shd w:val="clear" w:color="auto" w:fill="auto"/>
            <w:vAlign w:val="center"/>
          </w:tcPr>
          <w:p w14:paraId="67DEE6C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《中华人民共和国企业国有资产法》</w:t>
            </w:r>
          </w:p>
          <w:p w14:paraId="2FD7F39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第二十三条履行出资人职责的机构任命或者建议任命的董事、监事、高级管理人员，应当具备下列条件：</w:t>
            </w:r>
          </w:p>
          <w:p w14:paraId="5275DA2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（1）有良好的品行；</w:t>
            </w:r>
          </w:p>
          <w:p w14:paraId="5E7F45A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（2）有符合职位要求的专业知识和工作能力；</w:t>
            </w:r>
          </w:p>
          <w:p w14:paraId="4C83B59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（3）有能够正常履行职责的身体条件；</w:t>
            </w:r>
          </w:p>
          <w:p w14:paraId="4D4E2E5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（4）法律、行政法规规定的其他条件。</w:t>
            </w:r>
          </w:p>
          <w:p w14:paraId="733255C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董事、监事、高级管理人员在任职期间出现不符合前款规定情形或者出现《中华人民共和国公司法》规定的不得担任公司董事、监事、高级管理人员情形的，履行出资人职责的机构应当依法予以免职或者提出免职建议。</w:t>
            </w:r>
          </w:p>
        </w:tc>
        <w:tc>
          <w:tcPr>
            <w:tcW w:w="1545" w:type="dxa"/>
            <w:shd w:val="clear" w:color="auto" w:fill="auto"/>
            <w:vAlign w:val="center"/>
          </w:tcPr>
          <w:p w14:paraId="769C034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05AEB82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shd w:val="clear" w:color="auto" w:fill="auto"/>
            <w:vAlign w:val="center"/>
          </w:tcPr>
          <w:p w14:paraId="2355C53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50" w:type="dxa"/>
            <w:shd w:val="clear" w:color="auto" w:fill="auto"/>
            <w:vAlign w:val="center"/>
          </w:tcPr>
          <w:p w14:paraId="4AFAFC7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55" w:type="dxa"/>
            <w:shd w:val="clear" w:color="auto" w:fill="auto"/>
            <w:vAlign w:val="center"/>
          </w:tcPr>
          <w:p w14:paraId="1D2F350D">
            <w:pPr>
              <w:widowControl/>
              <w:spacing w:line="240" w:lineRule="auto"/>
              <w:ind w:firstLine="0" w:firstLineChars="0"/>
              <w:rPr>
                <w:rFonts w:ascii="微软雅黑" w:hAnsi="微软雅黑" w:eastAsia="微软雅黑" w:cs="宋体"/>
                <w:kern w:val="0"/>
                <w:sz w:val="20"/>
                <w:szCs w:val="20"/>
              </w:rPr>
            </w:pPr>
          </w:p>
        </w:tc>
        <w:tc>
          <w:tcPr>
            <w:tcW w:w="3261" w:type="dxa"/>
            <w:shd w:val="clear" w:color="auto" w:fill="auto"/>
            <w:vAlign w:val="center"/>
          </w:tcPr>
          <w:p w14:paraId="7B0E4B94">
            <w:pPr>
              <w:widowControl/>
              <w:spacing w:line="240" w:lineRule="auto"/>
              <w:ind w:firstLine="0" w:firstLineChars="0"/>
              <w:rPr>
                <w:rFonts w:ascii="微软雅黑" w:hAnsi="微软雅黑" w:eastAsia="微软雅黑" w:cs="宋体"/>
                <w:kern w:val="0"/>
                <w:sz w:val="20"/>
                <w:szCs w:val="20"/>
              </w:rPr>
            </w:pPr>
          </w:p>
        </w:tc>
      </w:tr>
      <w:tr w14:paraId="23C6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700" w:type="dxa"/>
            <w:shd w:val="clear" w:color="auto" w:fill="auto"/>
            <w:vAlign w:val="center"/>
          </w:tcPr>
          <w:p w14:paraId="44893F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shd w:val="clear" w:color="auto" w:fill="auto"/>
            <w:vAlign w:val="center"/>
          </w:tcPr>
          <w:p w14:paraId="755A560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2E6771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BA7708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7D2F3B7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委组织部</w:t>
            </w:r>
          </w:p>
        </w:tc>
        <w:tc>
          <w:tcPr>
            <w:tcW w:w="2082" w:type="dxa"/>
            <w:shd w:val="clear" w:color="auto" w:fill="auto"/>
            <w:vAlign w:val="center"/>
          </w:tcPr>
          <w:p w14:paraId="45C553D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限制招录（聘）失信被执行人为公务员或事业单位工作人员，在职公务员或事业单位工作人员被确定为失信被执行人的，失信情况应作为其评先、评优、晋职晋级的参考</w:t>
            </w:r>
          </w:p>
        </w:tc>
        <w:tc>
          <w:tcPr>
            <w:tcW w:w="1131" w:type="dxa"/>
            <w:shd w:val="clear" w:color="auto" w:fill="auto"/>
            <w:vAlign w:val="center"/>
          </w:tcPr>
          <w:p w14:paraId="291857C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257242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05" w:type="dxa"/>
            <w:shd w:val="clear" w:color="auto" w:fill="auto"/>
            <w:vAlign w:val="center"/>
          </w:tcPr>
          <w:p w14:paraId="0BFB979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详见下方</w:t>
            </w:r>
          </w:p>
        </w:tc>
        <w:tc>
          <w:tcPr>
            <w:tcW w:w="1545" w:type="dxa"/>
            <w:shd w:val="clear" w:color="auto" w:fill="auto"/>
            <w:vAlign w:val="center"/>
          </w:tcPr>
          <w:p w14:paraId="0D8F409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17914AC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55A67DA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shd w:val="clear" w:color="auto" w:fill="auto"/>
            <w:vAlign w:val="center"/>
          </w:tcPr>
          <w:p w14:paraId="77132BF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50" w:type="dxa"/>
            <w:shd w:val="clear" w:color="auto" w:fill="auto"/>
            <w:vAlign w:val="center"/>
          </w:tcPr>
          <w:p w14:paraId="61F5BAD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55" w:type="dxa"/>
            <w:shd w:val="clear" w:color="auto" w:fill="auto"/>
            <w:vAlign w:val="center"/>
          </w:tcPr>
          <w:p w14:paraId="036692DD">
            <w:pPr>
              <w:widowControl/>
              <w:spacing w:line="240" w:lineRule="auto"/>
              <w:ind w:firstLine="0" w:firstLineChars="0"/>
              <w:jc w:val="center"/>
              <w:rPr>
                <w:rFonts w:ascii="微软雅黑" w:hAnsi="微软雅黑" w:eastAsia="微软雅黑" w:cs="宋体"/>
                <w:kern w:val="0"/>
                <w:sz w:val="20"/>
                <w:szCs w:val="20"/>
              </w:rPr>
            </w:pPr>
          </w:p>
        </w:tc>
        <w:tc>
          <w:tcPr>
            <w:tcW w:w="3261" w:type="dxa"/>
            <w:shd w:val="clear" w:color="auto" w:fill="auto"/>
            <w:vAlign w:val="center"/>
          </w:tcPr>
          <w:p w14:paraId="27EC0E5B">
            <w:pPr>
              <w:widowControl/>
              <w:spacing w:line="240" w:lineRule="auto"/>
              <w:ind w:firstLine="0" w:firstLineChars="0"/>
              <w:rPr>
                <w:rFonts w:ascii="微软雅黑" w:hAnsi="微软雅黑" w:eastAsia="微软雅黑" w:cs="宋体"/>
                <w:kern w:val="0"/>
                <w:sz w:val="20"/>
                <w:szCs w:val="20"/>
              </w:rPr>
            </w:pPr>
          </w:p>
        </w:tc>
      </w:tr>
      <w:tr w14:paraId="7612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2102" w:type="dxa"/>
            <w:gridSpan w:val="15"/>
            <w:shd w:val="clear" w:color="auto" w:fill="auto"/>
          </w:tcPr>
          <w:p w14:paraId="1ABB825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7866F71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1.《国家公务员法》</w:t>
            </w:r>
          </w:p>
          <w:p w14:paraId="4F877C5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第十二条 公务员应当履行下列义务：（一）模范遵守宪法和法律；（二）按照规定的权限和程序认真履行职责，努力提高工作效率；（三）全心全意为人民服务，接受人民监督；（四）维护国家的安全、荣誉和利益；（五）忠于职守，勤勉尽责，服从和执行上级依法作出的决定和命令；（六）保守国家秘密和工作秘密；（七）遵守纪律，恪守职业道德，模范遵守社会公德；　（八）清正廉洁，公道正派；（九）法律规定的其他义务。</w:t>
            </w:r>
          </w:p>
          <w:p w14:paraId="11919F5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2.《国家公务员暂行条例》</w:t>
            </w:r>
          </w:p>
          <w:p w14:paraId="2DEB292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第十三条 国家行政机关录用担任主任科员以下非领导职务的国家公务员，采用公开考试、严格考核的办法，按照德才兼备的标准择优录用。</w:t>
            </w:r>
          </w:p>
          <w:p w14:paraId="4DE26C9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第二十四条 下列人员不得录用为公务员：（一）曾因犯罪受过刑事处罚的；（二）曾被开除公职的；（三）有法律规定不得录用为公务员的其他情形的。</w:t>
            </w:r>
          </w:p>
          <w:p w14:paraId="20A9FA7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第三十三条　对公务员的考核，按照管理权限，全面考核公务员的德、能、勤、绩、廉，重点考核工作实绩。</w:t>
            </w:r>
          </w:p>
          <w:p w14:paraId="3350FC1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第五十三条　公务员必须遵守纪律，不得有下列行为：（六）弄虚作假，误导、欺骗领导和公众；（九）滥用职权，侵害公民、法人或者其他组织的合法权益；（十三）违反职业道德、社会公德；（十四）从事或者参与营利性活动，在企业或者其他营利性组织中兼任职务；（十六）违反纪律的其他行为。</w:t>
            </w:r>
          </w:p>
          <w:p w14:paraId="7BD1AE1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2.《关于建立和完善执行联动机制若干问题的意见》</w:t>
            </w:r>
          </w:p>
          <w:p w14:paraId="2458D08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第一条　纪检监察机关对人民法院移送的在执行工作中发现的党员、行政监察对象妨碍人民法院执行工作和违反规定干预人民法院执行工作的违法违纪线索，应当及时组织核查；必要时，应当立案调查。对于党员、行政监察对象妨碍人民法院执行工作或者违反规定干预人民法院执行工作，以及拒不履行生效法律文书确定义务的，应当依法依纪追究党纪政纪责任。</w:t>
            </w:r>
          </w:p>
          <w:p w14:paraId="2333C21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第二条　组织人事部门应当通过群众信访举报、干部考察考核等多种途径，及时了解和掌握党员、公务员拒不履行生效法律文书以及非法干预、妨害执行等情况，对有上述问题的党员、公务员，通过诫勉谈话、函询等形式，督促其及时改正。对拒不履行生效法律文书、非法干预或妨碍执行的党员、公务员，按照《中国共产党纪律处分条例》和《行政机关公务员处分条例》等有关规定处理。</w:t>
            </w:r>
          </w:p>
          <w:p w14:paraId="78496D7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《事业单位公开招聘人员暂行规定》</w:t>
            </w:r>
          </w:p>
          <w:p w14:paraId="08CABBEC">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第九条 应聘人员必须具备下列条件：（一）具有中华人民共和国国籍；（二）遵守宪法和法律；（三）具有良好的品行；（四）岗位所需的专业或技能条件；（五）适应岗位要求的身体条件；（六）岗位所需要的其他条件。</w:t>
            </w:r>
          </w:p>
        </w:tc>
      </w:tr>
      <w:tr w14:paraId="52437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700" w:type="dxa"/>
            <w:shd w:val="clear" w:color="auto" w:fill="auto"/>
            <w:vAlign w:val="center"/>
          </w:tcPr>
          <w:p w14:paraId="3686A96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shd w:val="clear" w:color="auto" w:fill="auto"/>
            <w:vAlign w:val="center"/>
          </w:tcPr>
          <w:p w14:paraId="0E696FE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51A0CCB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7F7B77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3BB03DC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委组织部</w:t>
            </w:r>
          </w:p>
        </w:tc>
        <w:tc>
          <w:tcPr>
            <w:tcW w:w="2082" w:type="dxa"/>
            <w:shd w:val="clear" w:color="auto" w:fill="auto"/>
            <w:vAlign w:val="center"/>
          </w:tcPr>
          <w:p w14:paraId="4F51E27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将严格遵守法律、履行生效法律文书确定的义务情况，作为申请加入中国共产党、预备党员转为正式党员以及党员评先、评优的重要参考</w:t>
            </w:r>
          </w:p>
        </w:tc>
        <w:tc>
          <w:tcPr>
            <w:tcW w:w="1131" w:type="dxa"/>
            <w:shd w:val="clear" w:color="auto" w:fill="auto"/>
            <w:vAlign w:val="center"/>
          </w:tcPr>
          <w:p w14:paraId="148CFB8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C7959C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05" w:type="dxa"/>
            <w:shd w:val="clear" w:color="auto" w:fill="auto"/>
            <w:vAlign w:val="center"/>
          </w:tcPr>
          <w:p w14:paraId="02CD3E5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45" w:type="dxa"/>
            <w:shd w:val="clear" w:color="auto" w:fill="auto"/>
            <w:vAlign w:val="center"/>
          </w:tcPr>
          <w:p w14:paraId="0924513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25" w:type="dxa"/>
            <w:shd w:val="clear" w:color="auto" w:fill="auto"/>
            <w:vAlign w:val="center"/>
          </w:tcPr>
          <w:p w14:paraId="66AE1E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shd w:val="clear" w:color="auto" w:fill="auto"/>
            <w:vAlign w:val="center"/>
          </w:tcPr>
          <w:p w14:paraId="1B45A59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50" w:type="dxa"/>
            <w:shd w:val="clear" w:color="auto" w:fill="auto"/>
            <w:vAlign w:val="center"/>
          </w:tcPr>
          <w:p w14:paraId="76AA4CE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55" w:type="dxa"/>
            <w:shd w:val="clear" w:color="auto" w:fill="auto"/>
            <w:vAlign w:val="center"/>
          </w:tcPr>
          <w:p w14:paraId="2723B81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《中国共产党纪律处分条例》</w:t>
            </w:r>
          </w:p>
        </w:tc>
        <w:tc>
          <w:tcPr>
            <w:tcW w:w="3261" w:type="dxa"/>
            <w:shd w:val="clear" w:color="auto" w:fill="auto"/>
            <w:vAlign w:val="center"/>
          </w:tcPr>
          <w:p w14:paraId="0D579DF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r>
      <w:tr w14:paraId="12AE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tcBorders>
              <w:bottom w:val="single" w:color="auto" w:sz="4" w:space="0"/>
            </w:tcBorders>
            <w:shd w:val="clear" w:color="auto" w:fill="auto"/>
            <w:vAlign w:val="center"/>
          </w:tcPr>
          <w:p w14:paraId="73DF4C9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tcBorders>
              <w:bottom w:val="single" w:color="auto" w:sz="4" w:space="0"/>
            </w:tcBorders>
            <w:shd w:val="clear" w:color="auto" w:fill="auto"/>
            <w:vAlign w:val="center"/>
          </w:tcPr>
          <w:p w14:paraId="3332ECC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669C1CA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5D18E3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shd w:val="clear" w:color="auto" w:fill="auto"/>
            <w:vAlign w:val="center"/>
          </w:tcPr>
          <w:p w14:paraId="6DBEFC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委组织部</w:t>
            </w:r>
          </w:p>
        </w:tc>
        <w:tc>
          <w:tcPr>
            <w:tcW w:w="2082" w:type="dxa"/>
            <w:tcBorders>
              <w:bottom w:val="single" w:color="auto" w:sz="4" w:space="0"/>
            </w:tcBorders>
            <w:shd w:val="clear" w:color="auto" w:fill="auto"/>
            <w:vAlign w:val="center"/>
          </w:tcPr>
          <w:p w14:paraId="77B484C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失信被执行人为个人的，不作为组织推荐的各级党代会代表、各级人大代表和政协委员人选</w:t>
            </w:r>
          </w:p>
        </w:tc>
        <w:tc>
          <w:tcPr>
            <w:tcW w:w="1131" w:type="dxa"/>
            <w:tcBorders>
              <w:bottom w:val="single" w:color="auto" w:sz="4" w:space="0"/>
            </w:tcBorders>
            <w:shd w:val="clear" w:color="auto" w:fill="auto"/>
            <w:vAlign w:val="center"/>
          </w:tcPr>
          <w:p w14:paraId="5DF3460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062603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05" w:type="dxa"/>
            <w:tcBorders>
              <w:bottom w:val="single" w:color="auto" w:sz="4" w:space="0"/>
            </w:tcBorders>
            <w:shd w:val="clear" w:color="auto" w:fill="auto"/>
            <w:vAlign w:val="center"/>
          </w:tcPr>
          <w:p w14:paraId="7BEAE00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45" w:type="dxa"/>
            <w:tcBorders>
              <w:bottom w:val="single" w:color="auto" w:sz="4" w:space="0"/>
            </w:tcBorders>
            <w:shd w:val="clear" w:color="auto" w:fill="auto"/>
            <w:vAlign w:val="center"/>
          </w:tcPr>
          <w:p w14:paraId="3CDAC2F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25" w:type="dxa"/>
            <w:tcBorders>
              <w:bottom w:val="single" w:color="auto" w:sz="4" w:space="0"/>
            </w:tcBorders>
            <w:shd w:val="clear" w:color="auto" w:fill="auto"/>
            <w:vAlign w:val="center"/>
          </w:tcPr>
          <w:p w14:paraId="2EE7487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tcBorders>
              <w:bottom w:val="single" w:color="auto" w:sz="4" w:space="0"/>
            </w:tcBorders>
            <w:shd w:val="clear" w:color="auto" w:fill="auto"/>
            <w:vAlign w:val="center"/>
          </w:tcPr>
          <w:p w14:paraId="1233F0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50" w:type="dxa"/>
            <w:tcBorders>
              <w:bottom w:val="single" w:color="auto" w:sz="4" w:space="0"/>
            </w:tcBorders>
            <w:shd w:val="clear" w:color="auto" w:fill="auto"/>
            <w:vAlign w:val="center"/>
          </w:tcPr>
          <w:p w14:paraId="78B142B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55" w:type="dxa"/>
            <w:tcBorders>
              <w:bottom w:val="single" w:color="auto" w:sz="4" w:space="0"/>
            </w:tcBorders>
            <w:shd w:val="clear" w:color="auto" w:fill="auto"/>
            <w:vAlign w:val="center"/>
          </w:tcPr>
          <w:p w14:paraId="01B0721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261" w:type="dxa"/>
            <w:tcBorders>
              <w:bottom w:val="single" w:color="auto" w:sz="4" w:space="0"/>
            </w:tcBorders>
            <w:shd w:val="clear" w:color="auto" w:fill="auto"/>
            <w:vAlign w:val="center"/>
          </w:tcPr>
          <w:p w14:paraId="7368195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r>
    </w:tbl>
    <w:p w14:paraId="35332116">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410"/>
        <w:gridCol w:w="1560"/>
        <w:gridCol w:w="1110"/>
        <w:gridCol w:w="1785"/>
        <w:gridCol w:w="1050"/>
        <w:gridCol w:w="885"/>
        <w:gridCol w:w="3241"/>
      </w:tblGrid>
      <w:tr w14:paraId="31C3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bottom w:val="single" w:color="auto" w:sz="4" w:space="0"/>
              <w:right w:val="nil"/>
            </w:tcBorders>
            <w:shd w:val="clear" w:color="auto" w:fill="auto"/>
            <w:vAlign w:val="center"/>
          </w:tcPr>
          <w:p w14:paraId="50453064">
            <w:pPr>
              <w:pStyle w:val="2"/>
            </w:pPr>
            <w:bookmarkStart w:id="2" w:name="_Toc20473842"/>
            <w:r>
              <w:rPr>
                <w:rFonts w:hint="eastAsia"/>
              </w:rPr>
              <w:t>3、</w:t>
            </w:r>
            <w:r>
              <w:rPr>
                <w:rFonts w:hint="eastAsia"/>
                <w:lang w:eastAsia="zh-CN"/>
              </w:rPr>
              <w:t>县</w:t>
            </w:r>
            <w:r>
              <w:rPr>
                <w:rFonts w:hint="eastAsia"/>
              </w:rPr>
              <w:t>委宣传部（</w:t>
            </w:r>
            <w:r>
              <w:rPr>
                <w:rFonts w:hint="eastAsia"/>
                <w:lang w:eastAsia="zh-CN"/>
              </w:rPr>
              <w:t>县</w:t>
            </w:r>
            <w:r>
              <w:rPr>
                <w:rFonts w:hint="eastAsia"/>
              </w:rPr>
              <w:t>文明办）</w:t>
            </w:r>
            <w:bookmarkEnd w:id="2"/>
          </w:p>
        </w:tc>
      </w:tr>
      <w:tr w14:paraId="2FDC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tcBorders>
              <w:top w:val="single" w:color="auto" w:sz="4" w:space="0"/>
            </w:tcBorders>
            <w:shd w:val="clear" w:color="000000" w:fill="D6DCE4"/>
            <w:vAlign w:val="center"/>
          </w:tcPr>
          <w:p w14:paraId="6490AD6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31" w:type="dxa"/>
            <w:gridSpan w:val="9"/>
            <w:tcBorders>
              <w:top w:val="single" w:color="auto" w:sz="4" w:space="0"/>
            </w:tcBorders>
            <w:shd w:val="clear" w:color="000000" w:fill="D6DCE4"/>
            <w:vAlign w:val="center"/>
          </w:tcPr>
          <w:p w14:paraId="557D9E25">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071" w:type="dxa"/>
            <w:gridSpan w:val="5"/>
            <w:tcBorders>
              <w:top w:val="single" w:color="auto" w:sz="4" w:space="0"/>
            </w:tcBorders>
            <w:shd w:val="clear" w:color="000000" w:fill="D6DCE4"/>
            <w:vAlign w:val="center"/>
          </w:tcPr>
          <w:p w14:paraId="0F891EF1">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21822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8DE2D83">
            <w:pPr>
              <w:widowControl/>
              <w:spacing w:line="240" w:lineRule="auto"/>
              <w:ind w:firstLine="0" w:firstLineChars="0"/>
              <w:jc w:val="center"/>
              <w:rPr>
                <w:rFonts w:ascii="微软雅黑" w:hAnsi="微软雅黑" w:eastAsia="微软雅黑" w:cs="宋体"/>
                <w:b/>
                <w:bCs/>
                <w:kern w:val="0"/>
                <w:sz w:val="20"/>
                <w:szCs w:val="20"/>
              </w:rPr>
            </w:pPr>
          </w:p>
        </w:tc>
        <w:tc>
          <w:tcPr>
            <w:tcW w:w="1078" w:type="dxa"/>
            <w:tcBorders>
              <w:top w:val="single" w:color="auto" w:sz="4" w:space="0"/>
            </w:tcBorders>
            <w:shd w:val="clear" w:color="000000" w:fill="D6DCE4"/>
            <w:vAlign w:val="center"/>
          </w:tcPr>
          <w:p w14:paraId="491B7D4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78" w:type="dxa"/>
            <w:tcBorders>
              <w:top w:val="single" w:color="auto" w:sz="4" w:space="0"/>
            </w:tcBorders>
            <w:shd w:val="clear" w:color="000000" w:fill="D6DCE4"/>
            <w:vAlign w:val="center"/>
          </w:tcPr>
          <w:p w14:paraId="701067E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19" w:type="dxa"/>
            <w:tcBorders>
              <w:top w:val="single" w:color="auto" w:sz="4" w:space="0"/>
            </w:tcBorders>
            <w:shd w:val="clear" w:color="000000" w:fill="D6DCE4"/>
            <w:vAlign w:val="center"/>
          </w:tcPr>
          <w:p w14:paraId="7209813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9" w:type="dxa"/>
            <w:tcBorders>
              <w:top w:val="single" w:color="auto" w:sz="4" w:space="0"/>
            </w:tcBorders>
            <w:shd w:val="clear" w:color="000000" w:fill="D6DCE4"/>
            <w:vAlign w:val="center"/>
          </w:tcPr>
          <w:p w14:paraId="6803B3E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82" w:type="dxa"/>
            <w:tcBorders>
              <w:top w:val="single" w:color="auto" w:sz="4" w:space="0"/>
            </w:tcBorders>
            <w:shd w:val="clear" w:color="000000" w:fill="D6DCE4"/>
            <w:vAlign w:val="center"/>
          </w:tcPr>
          <w:p w14:paraId="1888F868">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31" w:type="dxa"/>
            <w:tcBorders>
              <w:top w:val="single" w:color="auto" w:sz="4" w:space="0"/>
            </w:tcBorders>
            <w:shd w:val="clear" w:color="000000" w:fill="D6DCE4"/>
            <w:vAlign w:val="center"/>
          </w:tcPr>
          <w:p w14:paraId="6F380CA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34" w:type="dxa"/>
            <w:tcBorders>
              <w:top w:val="single" w:color="auto" w:sz="4" w:space="0"/>
            </w:tcBorders>
            <w:shd w:val="clear" w:color="000000" w:fill="D6DCE4"/>
            <w:vAlign w:val="center"/>
          </w:tcPr>
          <w:p w14:paraId="505B1B32">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410" w:type="dxa"/>
            <w:tcBorders>
              <w:top w:val="single" w:color="auto" w:sz="4" w:space="0"/>
            </w:tcBorders>
            <w:shd w:val="clear" w:color="000000" w:fill="D6DCE4"/>
            <w:vAlign w:val="center"/>
          </w:tcPr>
          <w:p w14:paraId="69EDAA2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tc>
        <w:tc>
          <w:tcPr>
            <w:tcW w:w="1560" w:type="dxa"/>
            <w:tcBorders>
              <w:top w:val="single" w:color="auto" w:sz="4" w:space="0"/>
            </w:tcBorders>
            <w:shd w:val="clear" w:color="000000" w:fill="D6DCE4"/>
            <w:vAlign w:val="center"/>
          </w:tcPr>
          <w:p w14:paraId="342605F0">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依据备忘录</w:t>
            </w:r>
          </w:p>
        </w:tc>
        <w:tc>
          <w:tcPr>
            <w:tcW w:w="1110" w:type="dxa"/>
            <w:tcBorders>
              <w:top w:val="single" w:color="auto" w:sz="4" w:space="0"/>
            </w:tcBorders>
            <w:shd w:val="clear" w:color="000000" w:fill="D6DCE4"/>
            <w:vAlign w:val="center"/>
          </w:tcPr>
          <w:p w14:paraId="7FB65218">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1785" w:type="dxa"/>
            <w:tcBorders>
              <w:top w:val="single" w:color="auto" w:sz="4" w:space="0"/>
            </w:tcBorders>
            <w:shd w:val="clear" w:color="000000" w:fill="D6DCE4"/>
            <w:vAlign w:val="center"/>
          </w:tcPr>
          <w:p w14:paraId="212A1B02">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050" w:type="dxa"/>
            <w:tcBorders>
              <w:top w:val="single" w:color="auto" w:sz="4" w:space="0"/>
            </w:tcBorders>
            <w:shd w:val="clear" w:color="000000" w:fill="D6DCE4"/>
            <w:vAlign w:val="center"/>
          </w:tcPr>
          <w:p w14:paraId="7EC5906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885" w:type="dxa"/>
            <w:tcBorders>
              <w:top w:val="single" w:color="auto" w:sz="4" w:space="0"/>
            </w:tcBorders>
            <w:shd w:val="clear" w:color="000000" w:fill="D6DCE4"/>
            <w:vAlign w:val="center"/>
          </w:tcPr>
          <w:p w14:paraId="291181D4">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是否进驻大厅</w:t>
            </w:r>
          </w:p>
        </w:tc>
        <w:tc>
          <w:tcPr>
            <w:tcW w:w="3241" w:type="dxa"/>
            <w:tcBorders>
              <w:top w:val="single" w:color="auto" w:sz="4" w:space="0"/>
            </w:tcBorders>
            <w:shd w:val="clear" w:color="000000" w:fill="D6DCE4"/>
            <w:vAlign w:val="center"/>
          </w:tcPr>
          <w:p w14:paraId="2EC7692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应用事项法律及政策依据</w:t>
            </w:r>
          </w:p>
        </w:tc>
      </w:tr>
      <w:tr w14:paraId="5B4F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0" w:hRule="atLeast"/>
          <w:jc w:val="center"/>
        </w:trPr>
        <w:tc>
          <w:tcPr>
            <w:tcW w:w="700" w:type="dxa"/>
            <w:tcBorders>
              <w:bottom w:val="single" w:color="auto" w:sz="4" w:space="0"/>
            </w:tcBorders>
            <w:shd w:val="clear" w:color="auto" w:fill="auto"/>
            <w:vAlign w:val="center"/>
          </w:tcPr>
          <w:p w14:paraId="2BD57B0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tcBorders>
              <w:bottom w:val="single" w:color="auto" w:sz="4" w:space="0"/>
            </w:tcBorders>
            <w:shd w:val="clear" w:color="auto" w:fill="auto"/>
            <w:vAlign w:val="center"/>
          </w:tcPr>
          <w:p w14:paraId="044AE7F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4938C42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7849AA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shd w:val="clear" w:color="auto" w:fill="auto"/>
            <w:vAlign w:val="center"/>
          </w:tcPr>
          <w:p w14:paraId="434513D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委宣传部</w:t>
            </w:r>
          </w:p>
        </w:tc>
        <w:tc>
          <w:tcPr>
            <w:tcW w:w="2082" w:type="dxa"/>
            <w:tcBorders>
              <w:bottom w:val="single" w:color="auto" w:sz="4" w:space="0"/>
            </w:tcBorders>
            <w:shd w:val="clear" w:color="auto" w:fill="auto"/>
            <w:vAlign w:val="center"/>
          </w:tcPr>
          <w:p w14:paraId="2C6DBEF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将履行人民法院生效裁判情况作为评选文明村镇、文明单位的前置条件，作为创建文明城</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的评测内容。有关机构及其法定代表人、实际控制人、董事、监事、高级管理人员为失信被执行人的，不得参加文明单位评选，列入失信被执行人后取得的各级文明单位予以撤销。失信被执行人为个人的，不得参加道德模范评选，列入失信被执行人后获得的道德模范荣誉称号予以撤销</w:t>
            </w:r>
          </w:p>
        </w:tc>
        <w:tc>
          <w:tcPr>
            <w:tcW w:w="1131" w:type="dxa"/>
            <w:tcBorders>
              <w:bottom w:val="single" w:color="auto" w:sz="4" w:space="0"/>
            </w:tcBorders>
            <w:shd w:val="clear" w:color="auto" w:fill="auto"/>
            <w:vAlign w:val="center"/>
          </w:tcPr>
          <w:p w14:paraId="2E741E5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10B7CE9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10" w:type="dxa"/>
            <w:tcBorders>
              <w:bottom w:val="single" w:color="auto" w:sz="4" w:space="0"/>
            </w:tcBorders>
            <w:shd w:val="clear" w:color="auto" w:fill="auto"/>
            <w:vAlign w:val="center"/>
          </w:tcPr>
          <w:p w14:paraId="037D6DD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60" w:type="dxa"/>
            <w:tcBorders>
              <w:bottom w:val="single" w:color="auto" w:sz="4" w:space="0"/>
            </w:tcBorders>
            <w:shd w:val="clear" w:color="auto" w:fill="auto"/>
            <w:vAlign w:val="center"/>
          </w:tcPr>
          <w:p w14:paraId="10F7D3B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　</w:t>
            </w:r>
          </w:p>
        </w:tc>
        <w:tc>
          <w:tcPr>
            <w:tcW w:w="1110" w:type="dxa"/>
            <w:tcBorders>
              <w:bottom w:val="single" w:color="auto" w:sz="4" w:space="0"/>
            </w:tcBorders>
            <w:shd w:val="clear" w:color="auto" w:fill="auto"/>
            <w:vAlign w:val="center"/>
          </w:tcPr>
          <w:p w14:paraId="072363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785" w:type="dxa"/>
            <w:tcBorders>
              <w:bottom w:val="single" w:color="auto" w:sz="4" w:space="0"/>
            </w:tcBorders>
            <w:shd w:val="clear" w:color="auto" w:fill="auto"/>
            <w:vAlign w:val="center"/>
          </w:tcPr>
          <w:p w14:paraId="2B44DB4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50" w:type="dxa"/>
            <w:tcBorders>
              <w:bottom w:val="single" w:color="auto" w:sz="4" w:space="0"/>
            </w:tcBorders>
            <w:shd w:val="clear" w:color="auto" w:fill="auto"/>
            <w:vAlign w:val="center"/>
          </w:tcPr>
          <w:p w14:paraId="4DDEEB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85" w:type="dxa"/>
            <w:tcBorders>
              <w:bottom w:val="single" w:color="auto" w:sz="4" w:space="0"/>
            </w:tcBorders>
            <w:shd w:val="clear" w:color="auto" w:fill="auto"/>
            <w:vAlign w:val="center"/>
          </w:tcPr>
          <w:p w14:paraId="4D674C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241" w:type="dxa"/>
            <w:tcBorders>
              <w:bottom w:val="single" w:color="auto" w:sz="4" w:space="0"/>
            </w:tcBorders>
            <w:shd w:val="clear" w:color="auto" w:fill="auto"/>
            <w:vAlign w:val="center"/>
          </w:tcPr>
          <w:p w14:paraId="27E9E89F">
            <w:pPr>
              <w:widowControl/>
              <w:spacing w:line="240" w:lineRule="auto"/>
              <w:ind w:firstLine="0" w:firstLineChars="0"/>
              <w:rPr>
                <w:rFonts w:ascii="微软雅黑" w:hAnsi="微软雅黑" w:eastAsia="微软雅黑" w:cs="宋体"/>
                <w:kern w:val="0"/>
                <w:sz w:val="20"/>
                <w:szCs w:val="20"/>
              </w:rPr>
            </w:pPr>
          </w:p>
        </w:tc>
      </w:tr>
    </w:tbl>
    <w:p w14:paraId="22696D4D">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395"/>
        <w:gridCol w:w="1590"/>
        <w:gridCol w:w="1095"/>
        <w:gridCol w:w="1800"/>
        <w:gridCol w:w="1020"/>
        <w:gridCol w:w="915"/>
        <w:gridCol w:w="3226"/>
      </w:tblGrid>
      <w:tr w14:paraId="3F69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3EB30D6C">
            <w:pPr>
              <w:pStyle w:val="2"/>
            </w:pPr>
            <w:bookmarkStart w:id="3" w:name="_Toc20473843"/>
            <w:r>
              <w:rPr>
                <w:rFonts w:hint="eastAsia"/>
              </w:rPr>
              <w:t>4、</w:t>
            </w:r>
            <w:r>
              <w:rPr>
                <w:rFonts w:hint="eastAsia"/>
                <w:lang w:eastAsia="zh-CN"/>
              </w:rPr>
              <w:t>县</w:t>
            </w:r>
            <w:r>
              <w:rPr>
                <w:rFonts w:hint="eastAsia"/>
              </w:rPr>
              <w:t>委统战部</w:t>
            </w:r>
            <w:bookmarkEnd w:id="3"/>
          </w:p>
        </w:tc>
      </w:tr>
      <w:tr w14:paraId="6B68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4DE5EFA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46" w:type="dxa"/>
            <w:gridSpan w:val="9"/>
            <w:shd w:val="clear" w:color="000000" w:fill="D6DCE4"/>
            <w:vAlign w:val="center"/>
          </w:tcPr>
          <w:p w14:paraId="49F98A2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056" w:type="dxa"/>
            <w:gridSpan w:val="5"/>
            <w:shd w:val="clear" w:color="000000" w:fill="D6DCE4"/>
            <w:vAlign w:val="center"/>
          </w:tcPr>
          <w:p w14:paraId="7023684A">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4D67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3B5B9AC">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3961488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340B9B60">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253284E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6CFD51F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20647A2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04F261F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3E8439C3">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395" w:type="dxa"/>
            <w:shd w:val="clear" w:color="000000" w:fill="D6DCE4"/>
            <w:vAlign w:val="center"/>
          </w:tcPr>
          <w:p w14:paraId="70D4220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tc>
        <w:tc>
          <w:tcPr>
            <w:tcW w:w="1590" w:type="dxa"/>
            <w:shd w:val="clear" w:color="000000" w:fill="D6DCE4"/>
            <w:vAlign w:val="center"/>
          </w:tcPr>
          <w:p w14:paraId="6394528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依据备忘录</w:t>
            </w:r>
          </w:p>
        </w:tc>
        <w:tc>
          <w:tcPr>
            <w:tcW w:w="1095" w:type="dxa"/>
            <w:shd w:val="clear" w:color="000000" w:fill="D6DCE4"/>
            <w:vAlign w:val="center"/>
          </w:tcPr>
          <w:p w14:paraId="5D8FA7A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1800" w:type="dxa"/>
            <w:shd w:val="clear" w:color="000000" w:fill="D6DCE4"/>
            <w:vAlign w:val="center"/>
          </w:tcPr>
          <w:p w14:paraId="6B3A845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020" w:type="dxa"/>
            <w:shd w:val="clear" w:color="000000" w:fill="D6DCE4"/>
            <w:vAlign w:val="center"/>
          </w:tcPr>
          <w:p w14:paraId="5BA965A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915" w:type="dxa"/>
            <w:shd w:val="clear" w:color="000000" w:fill="D6DCE4"/>
            <w:vAlign w:val="center"/>
          </w:tcPr>
          <w:p w14:paraId="14321D0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是否进驻大厅</w:t>
            </w:r>
          </w:p>
        </w:tc>
        <w:tc>
          <w:tcPr>
            <w:tcW w:w="3226" w:type="dxa"/>
            <w:shd w:val="clear" w:color="000000" w:fill="D6DCE4"/>
            <w:vAlign w:val="center"/>
          </w:tcPr>
          <w:p w14:paraId="3396415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应用事项法律及政策依据</w:t>
            </w:r>
          </w:p>
        </w:tc>
      </w:tr>
      <w:tr w14:paraId="73B9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700" w:type="dxa"/>
            <w:shd w:val="clear" w:color="auto" w:fill="auto"/>
            <w:vAlign w:val="center"/>
          </w:tcPr>
          <w:p w14:paraId="3B4B878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33E2B28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38FCD2D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26C178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373E1C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委统战部</w:t>
            </w:r>
          </w:p>
        </w:tc>
        <w:tc>
          <w:tcPr>
            <w:tcW w:w="2082" w:type="dxa"/>
            <w:shd w:val="clear" w:color="auto" w:fill="auto"/>
            <w:vAlign w:val="center"/>
          </w:tcPr>
          <w:p w14:paraId="25BABEE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严格落实中央统战部、中央组织部、全国工商联等14部门印发的《关于加强和改进非公有制经济代表人士综合评价工作的意见》（统发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47号），对非公有制经济人士为失信被执行人的，综合评价结果不得评为A、B等级</w:t>
            </w:r>
          </w:p>
        </w:tc>
        <w:tc>
          <w:tcPr>
            <w:tcW w:w="1131" w:type="dxa"/>
            <w:shd w:val="clear" w:color="auto" w:fill="auto"/>
            <w:vAlign w:val="center"/>
          </w:tcPr>
          <w:p w14:paraId="3F63991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4" w:type="dxa"/>
            <w:shd w:val="clear" w:color="auto" w:fill="auto"/>
            <w:vAlign w:val="center"/>
          </w:tcPr>
          <w:p w14:paraId="7D38A5C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395" w:type="dxa"/>
            <w:shd w:val="clear" w:color="auto" w:fill="auto"/>
            <w:vAlign w:val="center"/>
          </w:tcPr>
          <w:p w14:paraId="4F00C4F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90" w:type="dxa"/>
            <w:shd w:val="clear" w:color="auto" w:fill="auto"/>
            <w:vAlign w:val="center"/>
          </w:tcPr>
          <w:p w14:paraId="0AEF176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5" w:type="dxa"/>
            <w:shd w:val="clear" w:color="auto" w:fill="auto"/>
            <w:vAlign w:val="center"/>
          </w:tcPr>
          <w:p w14:paraId="1309572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shd w:val="clear" w:color="auto" w:fill="auto"/>
            <w:vAlign w:val="center"/>
          </w:tcPr>
          <w:p w14:paraId="54B07EB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20" w:type="dxa"/>
            <w:shd w:val="clear" w:color="auto" w:fill="auto"/>
            <w:vAlign w:val="center"/>
          </w:tcPr>
          <w:p w14:paraId="1CD69F0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15" w:type="dxa"/>
            <w:shd w:val="clear" w:color="auto" w:fill="auto"/>
            <w:vAlign w:val="center"/>
          </w:tcPr>
          <w:p w14:paraId="3DDDD1A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226" w:type="dxa"/>
            <w:shd w:val="clear" w:color="auto" w:fill="auto"/>
            <w:vAlign w:val="center"/>
          </w:tcPr>
          <w:p w14:paraId="2456D9D1">
            <w:pPr>
              <w:widowControl/>
              <w:spacing w:line="240" w:lineRule="auto"/>
              <w:ind w:firstLine="0" w:firstLineChars="0"/>
              <w:rPr>
                <w:rFonts w:ascii="微软雅黑" w:hAnsi="微软雅黑" w:eastAsia="微软雅黑" w:cs="宋体"/>
                <w:kern w:val="0"/>
                <w:sz w:val="20"/>
                <w:szCs w:val="20"/>
              </w:rPr>
            </w:pPr>
          </w:p>
        </w:tc>
      </w:tr>
      <w:tr w14:paraId="581C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tcBorders>
              <w:bottom w:val="single" w:color="auto" w:sz="4" w:space="0"/>
            </w:tcBorders>
            <w:shd w:val="clear" w:color="auto" w:fill="auto"/>
            <w:vAlign w:val="center"/>
          </w:tcPr>
          <w:p w14:paraId="535EB02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tcBorders>
              <w:bottom w:val="single" w:color="auto" w:sz="4" w:space="0"/>
            </w:tcBorders>
            <w:shd w:val="clear" w:color="auto" w:fill="auto"/>
            <w:vAlign w:val="center"/>
          </w:tcPr>
          <w:p w14:paraId="2E1E149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56B520F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13EEFD2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shd w:val="clear" w:color="auto" w:fill="auto"/>
            <w:vAlign w:val="center"/>
          </w:tcPr>
          <w:p w14:paraId="6A1EC2B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委统战部</w:t>
            </w:r>
          </w:p>
        </w:tc>
        <w:tc>
          <w:tcPr>
            <w:tcW w:w="2082" w:type="dxa"/>
            <w:tcBorders>
              <w:bottom w:val="single" w:color="auto" w:sz="4" w:space="0"/>
            </w:tcBorders>
            <w:shd w:val="clear" w:color="auto" w:fill="auto"/>
            <w:vAlign w:val="center"/>
          </w:tcPr>
          <w:p w14:paraId="6A58317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失信被执行人为个人的，不作为组织推荐的各级党代会代表、各级人大代表和政协委员人选</w:t>
            </w:r>
          </w:p>
        </w:tc>
        <w:tc>
          <w:tcPr>
            <w:tcW w:w="1131" w:type="dxa"/>
            <w:tcBorders>
              <w:bottom w:val="single" w:color="auto" w:sz="4" w:space="0"/>
            </w:tcBorders>
            <w:shd w:val="clear" w:color="auto" w:fill="auto"/>
            <w:vAlign w:val="center"/>
          </w:tcPr>
          <w:p w14:paraId="27A7AB1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4" w:type="dxa"/>
            <w:tcBorders>
              <w:bottom w:val="single" w:color="auto" w:sz="4" w:space="0"/>
            </w:tcBorders>
            <w:shd w:val="clear" w:color="auto" w:fill="auto"/>
            <w:vAlign w:val="center"/>
          </w:tcPr>
          <w:p w14:paraId="5A27E07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395" w:type="dxa"/>
            <w:tcBorders>
              <w:bottom w:val="single" w:color="auto" w:sz="4" w:space="0"/>
            </w:tcBorders>
            <w:shd w:val="clear" w:color="auto" w:fill="auto"/>
            <w:vAlign w:val="center"/>
          </w:tcPr>
          <w:p w14:paraId="7959DB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90" w:type="dxa"/>
            <w:tcBorders>
              <w:bottom w:val="single" w:color="auto" w:sz="4" w:space="0"/>
            </w:tcBorders>
            <w:shd w:val="clear" w:color="auto" w:fill="auto"/>
            <w:vAlign w:val="center"/>
          </w:tcPr>
          <w:p w14:paraId="3AAD28B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5" w:type="dxa"/>
            <w:tcBorders>
              <w:bottom w:val="single" w:color="auto" w:sz="4" w:space="0"/>
            </w:tcBorders>
            <w:shd w:val="clear" w:color="auto" w:fill="auto"/>
            <w:vAlign w:val="center"/>
          </w:tcPr>
          <w:p w14:paraId="401C630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800" w:type="dxa"/>
            <w:tcBorders>
              <w:bottom w:val="single" w:color="auto" w:sz="4" w:space="0"/>
            </w:tcBorders>
            <w:shd w:val="clear" w:color="auto" w:fill="auto"/>
            <w:vAlign w:val="center"/>
          </w:tcPr>
          <w:p w14:paraId="364DC3E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20" w:type="dxa"/>
            <w:tcBorders>
              <w:bottom w:val="single" w:color="auto" w:sz="4" w:space="0"/>
            </w:tcBorders>
            <w:shd w:val="clear" w:color="auto" w:fill="auto"/>
            <w:vAlign w:val="center"/>
          </w:tcPr>
          <w:p w14:paraId="35A2CC8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15" w:type="dxa"/>
            <w:tcBorders>
              <w:bottom w:val="single" w:color="auto" w:sz="4" w:space="0"/>
            </w:tcBorders>
            <w:shd w:val="clear" w:color="auto" w:fill="auto"/>
            <w:vAlign w:val="center"/>
          </w:tcPr>
          <w:p w14:paraId="0EBFDBD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226" w:type="dxa"/>
            <w:tcBorders>
              <w:bottom w:val="single" w:color="auto" w:sz="4" w:space="0"/>
            </w:tcBorders>
            <w:shd w:val="clear" w:color="auto" w:fill="auto"/>
            <w:vAlign w:val="center"/>
          </w:tcPr>
          <w:p w14:paraId="29BE72A5">
            <w:pPr>
              <w:widowControl/>
              <w:spacing w:line="240" w:lineRule="auto"/>
              <w:ind w:firstLine="0" w:firstLineChars="0"/>
              <w:rPr>
                <w:rFonts w:ascii="微软雅黑" w:hAnsi="微软雅黑" w:eastAsia="微软雅黑" w:cs="宋体"/>
                <w:kern w:val="0"/>
                <w:sz w:val="20"/>
                <w:szCs w:val="20"/>
              </w:rPr>
            </w:pPr>
          </w:p>
        </w:tc>
      </w:tr>
    </w:tbl>
    <w:p w14:paraId="2BED7072">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6"/>
        <w:gridCol w:w="2"/>
        <w:gridCol w:w="1074"/>
        <w:gridCol w:w="4"/>
        <w:gridCol w:w="819"/>
        <w:gridCol w:w="1039"/>
        <w:gridCol w:w="2082"/>
        <w:gridCol w:w="1131"/>
        <w:gridCol w:w="1134"/>
        <w:gridCol w:w="3410"/>
        <w:gridCol w:w="1560"/>
        <w:gridCol w:w="1125"/>
        <w:gridCol w:w="1746"/>
        <w:gridCol w:w="1059"/>
        <w:gridCol w:w="930"/>
        <w:gridCol w:w="3211"/>
      </w:tblGrid>
      <w:tr w14:paraId="3254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7"/>
            <w:tcBorders>
              <w:top w:val="nil"/>
              <w:left w:val="nil"/>
              <w:right w:val="nil"/>
            </w:tcBorders>
            <w:shd w:val="clear" w:color="auto" w:fill="auto"/>
            <w:vAlign w:val="center"/>
          </w:tcPr>
          <w:p w14:paraId="0DFDB1D4">
            <w:pPr>
              <w:pStyle w:val="2"/>
            </w:pPr>
            <w:bookmarkStart w:id="4" w:name="_Toc20473844"/>
            <w:r>
              <w:rPr>
                <w:rFonts w:hint="eastAsia"/>
              </w:rPr>
              <w:t>5、</w:t>
            </w:r>
            <w:r>
              <w:rPr>
                <w:rFonts w:hint="eastAsia"/>
                <w:lang w:eastAsia="zh-CN"/>
              </w:rPr>
              <w:t>县</w:t>
            </w:r>
            <w:r>
              <w:rPr>
                <w:rFonts w:hint="eastAsia"/>
              </w:rPr>
              <w:t>委编办</w:t>
            </w:r>
            <w:bookmarkEnd w:id="4"/>
          </w:p>
        </w:tc>
      </w:tr>
      <w:tr w14:paraId="7E89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2C700E8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31" w:type="dxa"/>
            <w:gridSpan w:val="11"/>
            <w:shd w:val="clear" w:color="000000" w:fill="D6DCE4"/>
            <w:vAlign w:val="center"/>
          </w:tcPr>
          <w:p w14:paraId="220F7726">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联合奖惩措施</w:t>
            </w:r>
          </w:p>
        </w:tc>
        <w:tc>
          <w:tcPr>
            <w:tcW w:w="8071" w:type="dxa"/>
            <w:gridSpan w:val="5"/>
            <w:shd w:val="clear" w:color="000000" w:fill="D6DCE4"/>
            <w:vAlign w:val="center"/>
          </w:tcPr>
          <w:p w14:paraId="45B3AFE6">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可应用于惩戒措施的服务事项</w:t>
            </w:r>
          </w:p>
        </w:tc>
      </w:tr>
      <w:tr w14:paraId="7EFD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BCB7C61">
            <w:pPr>
              <w:widowControl/>
              <w:spacing w:line="240" w:lineRule="auto"/>
              <w:ind w:firstLine="0" w:firstLineChars="0"/>
              <w:jc w:val="center"/>
              <w:rPr>
                <w:rFonts w:ascii="微软雅黑" w:hAnsi="微软雅黑" w:eastAsia="微软雅黑" w:cs="宋体"/>
                <w:b/>
                <w:bCs/>
                <w:kern w:val="0"/>
                <w:sz w:val="20"/>
                <w:szCs w:val="20"/>
              </w:rPr>
            </w:pPr>
          </w:p>
        </w:tc>
        <w:tc>
          <w:tcPr>
            <w:tcW w:w="1076" w:type="dxa"/>
            <w:shd w:val="clear" w:color="000000" w:fill="D6DCE4"/>
            <w:vAlign w:val="center"/>
          </w:tcPr>
          <w:p w14:paraId="2966D7C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76" w:type="dxa"/>
            <w:gridSpan w:val="2"/>
            <w:shd w:val="clear" w:color="000000" w:fill="D6DCE4"/>
            <w:vAlign w:val="center"/>
          </w:tcPr>
          <w:p w14:paraId="3233EB1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23" w:type="dxa"/>
            <w:gridSpan w:val="2"/>
            <w:shd w:val="clear" w:color="000000" w:fill="D6DCE4"/>
            <w:vAlign w:val="center"/>
          </w:tcPr>
          <w:p w14:paraId="5E0EDAFE">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40BB1D1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384D038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70811E8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6E7E888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410" w:type="dxa"/>
            <w:shd w:val="clear" w:color="000000" w:fill="D6DCE4"/>
            <w:vAlign w:val="center"/>
          </w:tcPr>
          <w:p w14:paraId="7922227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tc>
        <w:tc>
          <w:tcPr>
            <w:tcW w:w="1560" w:type="dxa"/>
            <w:shd w:val="clear" w:color="000000" w:fill="D6DCE4"/>
            <w:vAlign w:val="center"/>
          </w:tcPr>
          <w:p w14:paraId="1BC9466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依据备忘录</w:t>
            </w:r>
          </w:p>
        </w:tc>
        <w:tc>
          <w:tcPr>
            <w:tcW w:w="1125" w:type="dxa"/>
            <w:shd w:val="clear" w:color="000000" w:fill="D6DCE4"/>
            <w:vAlign w:val="center"/>
          </w:tcPr>
          <w:p w14:paraId="6626D6B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1746" w:type="dxa"/>
            <w:shd w:val="clear" w:color="000000" w:fill="D6DCE4"/>
            <w:vAlign w:val="center"/>
          </w:tcPr>
          <w:p w14:paraId="1836957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059" w:type="dxa"/>
            <w:shd w:val="clear" w:color="000000" w:fill="D6DCE4"/>
            <w:vAlign w:val="center"/>
          </w:tcPr>
          <w:p w14:paraId="3EA8FF4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930" w:type="dxa"/>
            <w:shd w:val="clear" w:color="000000" w:fill="D6DCE4"/>
            <w:vAlign w:val="center"/>
          </w:tcPr>
          <w:p w14:paraId="7CA157B8">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是否进驻大厅</w:t>
            </w:r>
          </w:p>
        </w:tc>
        <w:tc>
          <w:tcPr>
            <w:tcW w:w="3211" w:type="dxa"/>
            <w:shd w:val="clear" w:color="000000" w:fill="D6DCE4"/>
            <w:vAlign w:val="center"/>
          </w:tcPr>
          <w:p w14:paraId="0FA53944">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应用事项法律及政策依据</w:t>
            </w:r>
          </w:p>
        </w:tc>
      </w:tr>
      <w:tr w14:paraId="723D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0" w:hRule="atLeast"/>
          <w:jc w:val="center"/>
        </w:trPr>
        <w:tc>
          <w:tcPr>
            <w:tcW w:w="700" w:type="dxa"/>
            <w:tcBorders>
              <w:bottom w:val="single" w:color="auto" w:sz="4" w:space="0"/>
            </w:tcBorders>
            <w:shd w:val="clear" w:color="auto" w:fill="auto"/>
            <w:vAlign w:val="center"/>
          </w:tcPr>
          <w:p w14:paraId="12BB7F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gridSpan w:val="2"/>
            <w:tcBorders>
              <w:bottom w:val="single" w:color="auto" w:sz="4" w:space="0"/>
            </w:tcBorders>
            <w:shd w:val="clear" w:color="auto" w:fill="auto"/>
            <w:vAlign w:val="center"/>
          </w:tcPr>
          <w:p w14:paraId="0D4F61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tcBorders>
              <w:bottom w:val="single" w:color="auto" w:sz="4" w:space="0"/>
            </w:tcBorders>
            <w:shd w:val="clear" w:color="auto" w:fill="auto"/>
            <w:vAlign w:val="center"/>
          </w:tcPr>
          <w:p w14:paraId="710AB48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56CEFB9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tcBorders>
              <w:bottom w:val="single" w:color="auto" w:sz="4" w:space="0"/>
            </w:tcBorders>
            <w:shd w:val="clear" w:color="auto" w:fill="auto"/>
            <w:vAlign w:val="center"/>
          </w:tcPr>
          <w:p w14:paraId="21CADCE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委编办</w:t>
            </w:r>
          </w:p>
        </w:tc>
        <w:tc>
          <w:tcPr>
            <w:tcW w:w="2082" w:type="dxa"/>
            <w:tcBorders>
              <w:bottom w:val="single" w:color="auto" w:sz="4" w:space="0"/>
            </w:tcBorders>
            <w:shd w:val="clear" w:color="auto" w:fill="auto"/>
            <w:vAlign w:val="center"/>
          </w:tcPr>
          <w:p w14:paraId="7E6F3F2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失信被执行人为个人的，限制登记为事业单位法定代表人</w:t>
            </w:r>
          </w:p>
        </w:tc>
        <w:tc>
          <w:tcPr>
            <w:tcW w:w="1131" w:type="dxa"/>
            <w:tcBorders>
              <w:bottom w:val="single" w:color="auto" w:sz="4" w:space="0"/>
            </w:tcBorders>
            <w:shd w:val="clear" w:color="auto" w:fill="auto"/>
            <w:vAlign w:val="center"/>
          </w:tcPr>
          <w:p w14:paraId="17CD07F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525BA7F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10" w:type="dxa"/>
            <w:tcBorders>
              <w:bottom w:val="single" w:color="auto" w:sz="4" w:space="0"/>
            </w:tcBorders>
            <w:shd w:val="clear" w:color="auto" w:fill="auto"/>
            <w:vAlign w:val="center"/>
          </w:tcPr>
          <w:p w14:paraId="0118227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1.《中央编办关于批转&lt;事业单位、社会团体及企业等组织利用国有资产举办事业单位设立登记办法（试行）&gt;的通知》（中央编办发</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2015</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132号）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登记事项要求：（四）法定代表人。应当是具有完全民事行为能力的中国公民，且为该单位主要行政负责人，年龄一般不超过70周岁，无不良信用记录。担任过其他机构法定代表人的，在任职期间，该机构无不良信用记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党政机关领导干部在职或退休后拟担任法定代表人的，应当符合干部管理有关规定。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2.《事业单位登记管理暂行条例实施细则》（中央编办发</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2014</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4号）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第三十一条 事业单位法定代表人应当具备下列条件：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（一）具有完全民事行为能力的自然人；（二）该事业单位的主要行政负责人；违反法律、法规和政策规定产生的事业单位主要行政负责人，不得担任事业单位法定代表人。</w:t>
            </w:r>
          </w:p>
        </w:tc>
        <w:tc>
          <w:tcPr>
            <w:tcW w:w="1560" w:type="dxa"/>
            <w:tcBorders>
              <w:bottom w:val="single" w:color="auto" w:sz="4" w:space="0"/>
            </w:tcBorders>
            <w:shd w:val="clear" w:color="auto" w:fill="auto"/>
            <w:vAlign w:val="center"/>
          </w:tcPr>
          <w:p w14:paraId="3974D8B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2121BAB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tcBorders>
              <w:bottom w:val="single" w:color="auto" w:sz="4" w:space="0"/>
            </w:tcBorders>
            <w:shd w:val="clear" w:color="auto" w:fill="auto"/>
            <w:vAlign w:val="center"/>
          </w:tcPr>
          <w:p w14:paraId="2B6C6D38">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行政许可</w:t>
            </w:r>
          </w:p>
        </w:tc>
        <w:tc>
          <w:tcPr>
            <w:tcW w:w="1746" w:type="dxa"/>
            <w:tcBorders>
              <w:bottom w:val="single" w:color="auto" w:sz="4" w:space="0"/>
            </w:tcBorders>
            <w:shd w:val="clear" w:color="auto" w:fill="auto"/>
            <w:vAlign w:val="center"/>
          </w:tcPr>
          <w:p w14:paraId="30B49265">
            <w:pPr>
              <w:widowControl/>
              <w:spacing w:line="240" w:lineRule="auto"/>
              <w:ind w:firstLine="0" w:firstLineChars="0"/>
              <w:jc w:val="center"/>
              <w:rPr>
                <w:rFonts w:ascii="微软雅黑" w:hAnsi="微软雅黑" w:eastAsia="微软雅黑" w:cs="宋体"/>
                <w:kern w:val="0"/>
                <w:sz w:val="20"/>
                <w:szCs w:val="20"/>
              </w:rPr>
            </w:pPr>
          </w:p>
        </w:tc>
        <w:tc>
          <w:tcPr>
            <w:tcW w:w="1059" w:type="dxa"/>
            <w:tcBorders>
              <w:bottom w:val="single" w:color="auto" w:sz="4" w:space="0"/>
            </w:tcBorders>
            <w:shd w:val="clear" w:color="auto" w:fill="auto"/>
            <w:vAlign w:val="center"/>
          </w:tcPr>
          <w:p w14:paraId="3D831B6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0" w:type="dxa"/>
            <w:tcBorders>
              <w:bottom w:val="single" w:color="auto" w:sz="4" w:space="0"/>
            </w:tcBorders>
            <w:shd w:val="clear" w:color="auto" w:fill="auto"/>
            <w:vAlign w:val="center"/>
          </w:tcPr>
          <w:p w14:paraId="07383C7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否</w:t>
            </w:r>
          </w:p>
        </w:tc>
        <w:tc>
          <w:tcPr>
            <w:tcW w:w="3211" w:type="dxa"/>
            <w:tcBorders>
              <w:bottom w:val="single" w:color="auto" w:sz="4" w:space="0"/>
            </w:tcBorders>
            <w:shd w:val="clear" w:color="auto" w:fill="auto"/>
            <w:vAlign w:val="center"/>
          </w:tcPr>
          <w:p w14:paraId="0CA9793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《事业单位登记管理暂行条例》（国务院令第252号，2004年6月27日修订）第三条、第五条、第十条、第十一条、第十三条。</w:t>
            </w:r>
          </w:p>
        </w:tc>
      </w:tr>
    </w:tbl>
    <w:p w14:paraId="062BBF7F">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410"/>
        <w:gridCol w:w="1575"/>
        <w:gridCol w:w="1110"/>
        <w:gridCol w:w="1725"/>
        <w:gridCol w:w="1065"/>
        <w:gridCol w:w="930"/>
        <w:gridCol w:w="3226"/>
      </w:tblGrid>
      <w:tr w14:paraId="3859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3FC063EA">
            <w:pPr>
              <w:pStyle w:val="2"/>
              <w:rPr>
                <w:rFonts w:hint="eastAsia" w:eastAsia="华文中宋"/>
                <w:lang w:eastAsia="zh-CN"/>
              </w:rPr>
            </w:pPr>
            <w:bookmarkStart w:id="5" w:name="_Toc20473845"/>
            <w:r>
              <w:rPr>
                <w:rFonts w:hint="eastAsia"/>
              </w:rPr>
              <w:t>6、</w:t>
            </w:r>
            <w:bookmarkEnd w:id="5"/>
            <w:r>
              <w:rPr>
                <w:rFonts w:hint="eastAsia"/>
                <w:lang w:eastAsia="zh-CN"/>
              </w:rPr>
              <w:t>县法院</w:t>
            </w:r>
          </w:p>
        </w:tc>
      </w:tr>
      <w:tr w14:paraId="4639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7330473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46" w:type="dxa"/>
            <w:gridSpan w:val="9"/>
            <w:shd w:val="clear" w:color="000000" w:fill="D6DCE4"/>
            <w:vAlign w:val="center"/>
          </w:tcPr>
          <w:p w14:paraId="73AD8BDD">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056" w:type="dxa"/>
            <w:gridSpan w:val="5"/>
            <w:shd w:val="clear" w:color="000000" w:fill="D6DCE4"/>
            <w:vAlign w:val="center"/>
          </w:tcPr>
          <w:p w14:paraId="54134843">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0A2C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617F4B8D">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434D6B7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6DC954B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0A45746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6788A43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3E8473E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1E6D938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3229ADC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410" w:type="dxa"/>
            <w:shd w:val="clear" w:color="000000" w:fill="D6DCE4"/>
            <w:vAlign w:val="center"/>
          </w:tcPr>
          <w:p w14:paraId="3F61B4D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575" w:type="dxa"/>
            <w:shd w:val="clear" w:color="000000" w:fill="D6DCE4"/>
            <w:vAlign w:val="center"/>
          </w:tcPr>
          <w:p w14:paraId="7140667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10" w:type="dxa"/>
            <w:shd w:val="clear" w:color="000000" w:fill="D6DCE4"/>
            <w:vAlign w:val="center"/>
          </w:tcPr>
          <w:p w14:paraId="0259284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1725" w:type="dxa"/>
            <w:shd w:val="clear" w:color="000000" w:fill="D6DCE4"/>
            <w:vAlign w:val="center"/>
          </w:tcPr>
          <w:p w14:paraId="53647D3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65" w:type="dxa"/>
            <w:shd w:val="clear" w:color="000000" w:fill="D6DCE4"/>
            <w:vAlign w:val="center"/>
          </w:tcPr>
          <w:p w14:paraId="10917B7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30" w:type="dxa"/>
            <w:shd w:val="clear" w:color="000000" w:fill="D6DCE4"/>
            <w:vAlign w:val="center"/>
          </w:tcPr>
          <w:p w14:paraId="18E0200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226" w:type="dxa"/>
            <w:shd w:val="clear" w:color="000000" w:fill="D6DCE4"/>
            <w:vAlign w:val="center"/>
          </w:tcPr>
          <w:p w14:paraId="0AA4777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072F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2" w:hRule="atLeast"/>
          <w:jc w:val="center"/>
        </w:trPr>
        <w:tc>
          <w:tcPr>
            <w:tcW w:w="700" w:type="dxa"/>
            <w:tcBorders>
              <w:bottom w:val="single" w:color="auto" w:sz="4" w:space="0"/>
            </w:tcBorders>
            <w:shd w:val="clear" w:color="auto" w:fill="auto"/>
            <w:vAlign w:val="center"/>
          </w:tcPr>
          <w:p w14:paraId="65356A8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tcBorders>
              <w:bottom w:val="single" w:color="auto" w:sz="4" w:space="0"/>
            </w:tcBorders>
            <w:shd w:val="clear" w:color="auto" w:fill="auto"/>
            <w:vAlign w:val="center"/>
          </w:tcPr>
          <w:p w14:paraId="5A774D7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5F210EC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1FB31E6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shd w:val="clear" w:color="auto" w:fill="auto"/>
            <w:vAlign w:val="center"/>
          </w:tcPr>
          <w:p w14:paraId="3319886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法院</w:t>
            </w:r>
          </w:p>
        </w:tc>
        <w:tc>
          <w:tcPr>
            <w:tcW w:w="2082" w:type="dxa"/>
            <w:tcBorders>
              <w:bottom w:val="single" w:color="auto" w:sz="4" w:space="0"/>
            </w:tcBorders>
            <w:shd w:val="clear" w:color="auto" w:fill="auto"/>
            <w:vAlign w:val="center"/>
          </w:tcPr>
          <w:p w14:paraId="520639A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公安、检察机关和人民法院对拒不执行生效判决、裁定以及其他妨碍执行构成犯罪的行为，要及时依法侦查、提起公诉和审判</w:t>
            </w:r>
          </w:p>
        </w:tc>
        <w:tc>
          <w:tcPr>
            <w:tcW w:w="1131" w:type="dxa"/>
            <w:tcBorders>
              <w:bottom w:val="single" w:color="auto" w:sz="4" w:space="0"/>
            </w:tcBorders>
            <w:shd w:val="clear" w:color="auto" w:fill="auto"/>
            <w:vAlign w:val="center"/>
          </w:tcPr>
          <w:p w14:paraId="1ADF106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4B3BC2C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410" w:type="dxa"/>
            <w:tcBorders>
              <w:bottom w:val="single" w:color="auto" w:sz="4" w:space="0"/>
            </w:tcBorders>
            <w:shd w:val="clear" w:color="auto" w:fill="auto"/>
            <w:vAlign w:val="center"/>
          </w:tcPr>
          <w:p w14:paraId="2E07C3B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575" w:type="dxa"/>
            <w:tcBorders>
              <w:bottom w:val="single" w:color="auto" w:sz="4" w:space="0"/>
            </w:tcBorders>
            <w:shd w:val="clear" w:color="auto" w:fill="auto"/>
            <w:vAlign w:val="center"/>
          </w:tcPr>
          <w:p w14:paraId="7726171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　</w:t>
            </w:r>
          </w:p>
        </w:tc>
        <w:tc>
          <w:tcPr>
            <w:tcW w:w="1110" w:type="dxa"/>
            <w:tcBorders>
              <w:bottom w:val="single" w:color="auto" w:sz="4" w:space="0"/>
            </w:tcBorders>
            <w:shd w:val="clear" w:color="auto" w:fill="auto"/>
            <w:vAlign w:val="center"/>
          </w:tcPr>
          <w:p w14:paraId="26AC90F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725" w:type="dxa"/>
            <w:tcBorders>
              <w:bottom w:val="single" w:color="auto" w:sz="4" w:space="0"/>
            </w:tcBorders>
            <w:shd w:val="clear" w:color="auto" w:fill="auto"/>
            <w:vAlign w:val="center"/>
          </w:tcPr>
          <w:p w14:paraId="2C889BD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65" w:type="dxa"/>
            <w:tcBorders>
              <w:bottom w:val="single" w:color="auto" w:sz="4" w:space="0"/>
            </w:tcBorders>
            <w:shd w:val="clear" w:color="auto" w:fill="auto"/>
            <w:vAlign w:val="center"/>
          </w:tcPr>
          <w:p w14:paraId="16B3310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30" w:type="dxa"/>
            <w:tcBorders>
              <w:bottom w:val="single" w:color="auto" w:sz="4" w:space="0"/>
            </w:tcBorders>
            <w:shd w:val="clear" w:color="auto" w:fill="auto"/>
            <w:vAlign w:val="center"/>
          </w:tcPr>
          <w:p w14:paraId="603B6AF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226" w:type="dxa"/>
            <w:tcBorders>
              <w:bottom w:val="single" w:color="auto" w:sz="4" w:space="0"/>
            </w:tcBorders>
            <w:shd w:val="clear" w:color="auto" w:fill="auto"/>
            <w:vAlign w:val="center"/>
          </w:tcPr>
          <w:p w14:paraId="7AF72A48">
            <w:pPr>
              <w:widowControl/>
              <w:spacing w:line="240" w:lineRule="auto"/>
              <w:ind w:firstLine="0" w:firstLineChars="0"/>
              <w:rPr>
                <w:rFonts w:ascii="微软雅黑" w:hAnsi="微软雅黑" w:eastAsia="微软雅黑" w:cs="宋体"/>
                <w:kern w:val="0"/>
                <w:sz w:val="20"/>
                <w:szCs w:val="20"/>
              </w:rPr>
            </w:pPr>
          </w:p>
        </w:tc>
      </w:tr>
    </w:tbl>
    <w:p w14:paraId="72C3FA5B">
      <w:pPr>
        <w:ind w:firstLine="640"/>
      </w:pPr>
      <w:r>
        <w:br w:type="page"/>
      </w:r>
    </w:p>
    <w:tbl>
      <w:tblPr>
        <w:tblStyle w:val="8"/>
        <w:tblW w:w="22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502"/>
        <w:gridCol w:w="1468"/>
        <w:gridCol w:w="1168"/>
        <w:gridCol w:w="1735"/>
        <w:gridCol w:w="1072"/>
        <w:gridCol w:w="964"/>
        <w:gridCol w:w="3282"/>
      </w:tblGrid>
      <w:tr w14:paraId="6460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252" w:type="dxa"/>
            <w:gridSpan w:val="15"/>
            <w:tcBorders>
              <w:top w:val="nil"/>
              <w:left w:val="nil"/>
              <w:right w:val="nil"/>
            </w:tcBorders>
            <w:shd w:val="clear" w:color="auto" w:fill="auto"/>
            <w:vAlign w:val="center"/>
          </w:tcPr>
          <w:p w14:paraId="77C4EB65">
            <w:pPr>
              <w:pStyle w:val="2"/>
              <w:ind w:left="0" w:leftChars="0" w:firstLine="0" w:firstLineChars="0"/>
              <w:jc w:val="center"/>
            </w:pPr>
            <w:bookmarkStart w:id="6" w:name="_Toc20473847"/>
            <w:r>
              <w:rPr>
                <w:rFonts w:hint="eastAsia"/>
                <w:lang w:val="en-US" w:eastAsia="zh-CN"/>
              </w:rPr>
              <w:t>7</w:t>
            </w:r>
            <w:r>
              <w:rPr>
                <w:rFonts w:hint="eastAsia"/>
              </w:rPr>
              <w:t>、</w:t>
            </w:r>
            <w:r>
              <w:rPr>
                <w:rFonts w:hint="eastAsia"/>
                <w:lang w:eastAsia="zh-CN"/>
              </w:rPr>
              <w:t>县</w:t>
            </w:r>
            <w:r>
              <w:rPr>
                <w:rFonts w:hint="eastAsia"/>
              </w:rPr>
              <w:t>检察院</w:t>
            </w:r>
            <w:bookmarkEnd w:id="6"/>
          </w:p>
        </w:tc>
      </w:tr>
      <w:tr w14:paraId="7BFA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387F628E">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331" w:type="dxa"/>
            <w:gridSpan w:val="9"/>
            <w:shd w:val="clear" w:color="000000" w:fill="D6DCE4"/>
            <w:vAlign w:val="center"/>
          </w:tcPr>
          <w:p w14:paraId="3261736F">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221" w:type="dxa"/>
            <w:gridSpan w:val="5"/>
            <w:shd w:val="clear" w:color="000000" w:fill="D6DCE4"/>
            <w:vAlign w:val="center"/>
          </w:tcPr>
          <w:p w14:paraId="523EA465">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7D4E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72F56CB">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5644487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717C1F2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5AFA25D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4F8F0CB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5A8B840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3AB570C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6650860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502" w:type="dxa"/>
            <w:shd w:val="clear" w:color="000000" w:fill="D6DCE4"/>
            <w:vAlign w:val="center"/>
          </w:tcPr>
          <w:p w14:paraId="3C11EAE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68" w:type="dxa"/>
            <w:shd w:val="clear" w:color="000000" w:fill="D6DCE4"/>
            <w:vAlign w:val="center"/>
          </w:tcPr>
          <w:p w14:paraId="1F65D7A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68" w:type="dxa"/>
            <w:shd w:val="clear" w:color="000000" w:fill="D6DCE4"/>
            <w:vAlign w:val="center"/>
          </w:tcPr>
          <w:p w14:paraId="0BF92EE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1735" w:type="dxa"/>
            <w:shd w:val="clear" w:color="000000" w:fill="D6DCE4"/>
            <w:vAlign w:val="center"/>
          </w:tcPr>
          <w:p w14:paraId="6FA7441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72" w:type="dxa"/>
            <w:shd w:val="clear" w:color="000000" w:fill="D6DCE4"/>
            <w:vAlign w:val="center"/>
          </w:tcPr>
          <w:p w14:paraId="1FF9DB4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64" w:type="dxa"/>
            <w:shd w:val="clear" w:color="000000" w:fill="D6DCE4"/>
            <w:vAlign w:val="center"/>
          </w:tcPr>
          <w:p w14:paraId="742AA94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282" w:type="dxa"/>
            <w:shd w:val="clear" w:color="000000" w:fill="D6DCE4"/>
            <w:vAlign w:val="center"/>
          </w:tcPr>
          <w:p w14:paraId="3CFE959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6F7B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0" w:hRule="atLeast"/>
          <w:jc w:val="center"/>
        </w:trPr>
        <w:tc>
          <w:tcPr>
            <w:tcW w:w="700" w:type="dxa"/>
            <w:tcBorders>
              <w:bottom w:val="single" w:color="auto" w:sz="4" w:space="0"/>
            </w:tcBorders>
            <w:shd w:val="clear" w:color="auto" w:fill="auto"/>
            <w:vAlign w:val="center"/>
          </w:tcPr>
          <w:p w14:paraId="79507A7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tcBorders>
              <w:bottom w:val="single" w:color="auto" w:sz="4" w:space="0"/>
            </w:tcBorders>
            <w:shd w:val="clear" w:color="auto" w:fill="auto"/>
            <w:vAlign w:val="center"/>
          </w:tcPr>
          <w:p w14:paraId="00E547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06825A4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3C939D3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shd w:val="clear" w:color="auto" w:fill="auto"/>
            <w:vAlign w:val="center"/>
          </w:tcPr>
          <w:p w14:paraId="3BC792C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检察院</w:t>
            </w:r>
          </w:p>
        </w:tc>
        <w:tc>
          <w:tcPr>
            <w:tcW w:w="2082" w:type="dxa"/>
            <w:tcBorders>
              <w:bottom w:val="single" w:color="auto" w:sz="4" w:space="0"/>
            </w:tcBorders>
            <w:shd w:val="clear" w:color="auto" w:fill="auto"/>
            <w:vAlign w:val="center"/>
          </w:tcPr>
          <w:p w14:paraId="5C278D7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公安、检察机关和人民法院对拒不执行生效判决、裁定以及其他妨碍执行构成犯罪的行为，要及时依法侦查、提起公诉和审判</w:t>
            </w:r>
          </w:p>
        </w:tc>
        <w:tc>
          <w:tcPr>
            <w:tcW w:w="1131" w:type="dxa"/>
            <w:tcBorders>
              <w:bottom w:val="single" w:color="auto" w:sz="4" w:space="0"/>
            </w:tcBorders>
            <w:shd w:val="clear" w:color="auto" w:fill="auto"/>
            <w:vAlign w:val="center"/>
          </w:tcPr>
          <w:p w14:paraId="324921A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7841EFF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502" w:type="dxa"/>
            <w:tcBorders>
              <w:bottom w:val="single" w:color="auto" w:sz="4" w:space="0"/>
            </w:tcBorders>
            <w:shd w:val="clear" w:color="auto" w:fill="auto"/>
            <w:vAlign w:val="center"/>
          </w:tcPr>
          <w:p w14:paraId="62DFC3C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68" w:type="dxa"/>
            <w:tcBorders>
              <w:bottom w:val="single" w:color="auto" w:sz="4" w:space="0"/>
            </w:tcBorders>
            <w:shd w:val="clear" w:color="auto" w:fill="auto"/>
            <w:vAlign w:val="center"/>
          </w:tcPr>
          <w:p w14:paraId="62D441B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68" w:type="dxa"/>
            <w:tcBorders>
              <w:bottom w:val="single" w:color="auto" w:sz="4" w:space="0"/>
            </w:tcBorders>
            <w:shd w:val="clear" w:color="auto" w:fill="auto"/>
            <w:vAlign w:val="center"/>
          </w:tcPr>
          <w:p w14:paraId="69B4564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735" w:type="dxa"/>
            <w:tcBorders>
              <w:bottom w:val="single" w:color="auto" w:sz="4" w:space="0"/>
            </w:tcBorders>
            <w:shd w:val="clear" w:color="auto" w:fill="auto"/>
            <w:vAlign w:val="center"/>
          </w:tcPr>
          <w:p w14:paraId="314A9B0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72" w:type="dxa"/>
            <w:tcBorders>
              <w:bottom w:val="single" w:color="auto" w:sz="4" w:space="0"/>
            </w:tcBorders>
            <w:shd w:val="clear" w:color="auto" w:fill="auto"/>
            <w:vAlign w:val="center"/>
          </w:tcPr>
          <w:p w14:paraId="0B64DF0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64" w:type="dxa"/>
            <w:tcBorders>
              <w:bottom w:val="single" w:color="auto" w:sz="4" w:space="0"/>
            </w:tcBorders>
            <w:shd w:val="clear" w:color="auto" w:fill="auto"/>
            <w:vAlign w:val="center"/>
          </w:tcPr>
          <w:p w14:paraId="287BB7F7">
            <w:pPr>
              <w:widowControl/>
              <w:spacing w:line="240" w:lineRule="auto"/>
              <w:ind w:firstLine="0" w:firstLineChars="0"/>
              <w:jc w:val="center"/>
              <w:rPr>
                <w:rFonts w:ascii="微软雅黑" w:hAnsi="微软雅黑" w:eastAsia="微软雅黑" w:cs="宋体"/>
                <w:kern w:val="0"/>
                <w:sz w:val="20"/>
                <w:szCs w:val="20"/>
              </w:rPr>
            </w:pPr>
          </w:p>
        </w:tc>
        <w:tc>
          <w:tcPr>
            <w:tcW w:w="3282" w:type="dxa"/>
            <w:tcBorders>
              <w:bottom w:val="single" w:color="auto" w:sz="4" w:space="0"/>
            </w:tcBorders>
            <w:shd w:val="clear" w:color="auto" w:fill="auto"/>
            <w:vAlign w:val="center"/>
          </w:tcPr>
          <w:p w14:paraId="4D1E5DB1">
            <w:pPr>
              <w:widowControl/>
              <w:spacing w:line="240" w:lineRule="auto"/>
              <w:ind w:firstLine="0" w:firstLineChars="0"/>
              <w:rPr>
                <w:rFonts w:ascii="微软雅黑" w:hAnsi="微软雅黑" w:eastAsia="微软雅黑" w:cs="宋体"/>
                <w:kern w:val="0"/>
                <w:sz w:val="20"/>
                <w:szCs w:val="20"/>
              </w:rPr>
            </w:pPr>
          </w:p>
        </w:tc>
      </w:tr>
      <w:tr w14:paraId="17C1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0" w:hRule="atLeast"/>
          <w:jc w:val="center"/>
        </w:trPr>
        <w:tc>
          <w:tcPr>
            <w:tcW w:w="22252" w:type="dxa"/>
            <w:gridSpan w:val="15"/>
            <w:tcBorders>
              <w:bottom w:val="single" w:color="auto" w:sz="4" w:space="0"/>
            </w:tcBorders>
            <w:shd w:val="clear" w:color="auto" w:fill="auto"/>
            <w:vAlign w:val="center"/>
          </w:tcPr>
          <w:p w14:paraId="2B2C56F7">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3ED45A72">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1.《最高人民法院关于审理拒不执行判决、裁定刑事案件适用法律若干问题的解释》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被执行人、协助执行义务人、担保人等负有执行义务的人对人民法院的判决、裁定有能力执行而拒不执行，情节严重的，应当依照刑法第三百一十三条的规定，以拒不执行判决、裁定罪处罚。</w:t>
            </w:r>
          </w:p>
          <w:p w14:paraId="678BC55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第三条 申请执行人有证据证明同时具有下列情形，人民法院认为符合刑事诉讼法第二百零四条第三项规定的，以自诉案件立案审理：（一）负有执行义务的人拒不执行判决、裁定，侵犯了申请执行人的人身、财产权利，应当依法追究刑事责任的；（二）申请执行人曾经提出控告，而公安机关或者人民检察院对负有执行义务的人不予追究刑事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第五条 检察机关应当对拒不执行法院判决、裁定以及其他妨害执行构成犯罪的人员，及时依法从严进行追诉；依法查处执行工作中出现的渎职侵权、贪污受贿等职务犯罪案件。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公安机关应当依法严厉打击拒不执行法院判决、裁定和其他妨害执行的违法犯罪行为；对以暴力、威胁方法妨害或者抗拒执行的行为，在接到人民法院通报后立即出警，依法处置。协助人民法院查询被执行人户籍信息、下落，在履行职责过程中发现人民法院需要拘留、拘传的被执行人的，及时向人民法院通报情况；对人民法院在执行中决定拘留的人员，及时予以收押。协助限制被执行人出境；协助人民法院办理车辆查封、扣押和转移登记等手续；发现被执行人车辆等财产时，及时将有关信息通知负责执行的人民法院。</w:t>
            </w:r>
          </w:p>
        </w:tc>
      </w:tr>
    </w:tbl>
    <w:p w14:paraId="201F2DF2">
      <w:pPr>
        <w:ind w:firstLine="640"/>
      </w:pPr>
      <w:r>
        <w:rPr>
          <w:bCs/>
        </w:rPr>
        <w:br w:type="page"/>
      </w:r>
    </w:p>
    <w:tbl>
      <w:tblPr>
        <w:tblStyle w:val="8"/>
        <w:tblW w:w="22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167"/>
        <w:gridCol w:w="1457"/>
        <w:gridCol w:w="1141"/>
        <w:gridCol w:w="2317"/>
        <w:gridCol w:w="1100"/>
        <w:gridCol w:w="883"/>
        <w:gridCol w:w="2976"/>
        <w:gridCol w:w="115"/>
      </w:tblGrid>
      <w:tr w14:paraId="1F4A4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5" w:type="dxa"/>
          <w:trHeight w:val="435" w:hRule="atLeast"/>
          <w:jc w:val="center"/>
        </w:trPr>
        <w:tc>
          <w:tcPr>
            <w:tcW w:w="19126" w:type="dxa"/>
            <w:gridSpan w:val="14"/>
            <w:tcBorders>
              <w:top w:val="nil"/>
              <w:left w:val="nil"/>
              <w:right w:val="nil"/>
            </w:tcBorders>
            <w:shd w:val="clear" w:color="auto" w:fill="auto"/>
            <w:vAlign w:val="center"/>
          </w:tcPr>
          <w:p w14:paraId="2BA721CB">
            <w:pPr>
              <w:pStyle w:val="2"/>
            </w:pPr>
            <w:bookmarkStart w:id="7" w:name="_Toc20473848"/>
            <w:r>
              <w:rPr>
                <w:rFonts w:hint="eastAsia"/>
                <w:lang w:val="en-US" w:eastAsia="zh-CN"/>
              </w:rPr>
              <w:t>8</w:t>
            </w:r>
            <w:r>
              <w:rPr>
                <w:rFonts w:hint="eastAsia"/>
              </w:rPr>
              <w:t>、</w:t>
            </w:r>
            <w:r>
              <w:rPr>
                <w:rFonts w:hint="eastAsia"/>
                <w:lang w:eastAsia="zh-CN"/>
              </w:rPr>
              <w:t>县</w:t>
            </w:r>
            <w:r>
              <w:rPr>
                <w:rFonts w:hint="eastAsia"/>
              </w:rPr>
              <w:t>委网信办</w:t>
            </w:r>
            <w:bookmarkEnd w:id="7"/>
          </w:p>
        </w:tc>
        <w:tc>
          <w:tcPr>
            <w:tcW w:w="2976" w:type="dxa"/>
            <w:tcBorders>
              <w:top w:val="nil"/>
              <w:left w:val="nil"/>
              <w:right w:val="nil"/>
            </w:tcBorders>
            <w:shd w:val="clear" w:color="auto" w:fill="auto"/>
            <w:vAlign w:val="center"/>
          </w:tcPr>
          <w:p w14:paraId="4678494D">
            <w:pPr>
              <w:widowControl/>
              <w:spacing w:line="240" w:lineRule="auto"/>
              <w:ind w:firstLine="0" w:firstLineChars="0"/>
              <w:jc w:val="center"/>
              <w:rPr>
                <w:rFonts w:ascii="微软雅黑" w:hAnsi="微软雅黑" w:eastAsia="微软雅黑" w:cs="宋体"/>
                <w:kern w:val="0"/>
                <w:sz w:val="28"/>
                <w:szCs w:val="28"/>
              </w:rPr>
            </w:pPr>
            <w:r>
              <w:rPr>
                <w:rFonts w:hint="eastAsia" w:ascii="微软雅黑" w:hAnsi="微软雅黑" w:eastAsia="微软雅黑" w:cs="宋体"/>
                <w:kern w:val="0"/>
                <w:sz w:val="28"/>
                <w:szCs w:val="28"/>
              </w:rPr>
              <w:t>　</w:t>
            </w:r>
          </w:p>
        </w:tc>
      </w:tr>
      <w:tr w14:paraId="0372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5" w:type="dxa"/>
          <w:trHeight w:val="660" w:hRule="atLeast"/>
          <w:jc w:val="center"/>
        </w:trPr>
        <w:tc>
          <w:tcPr>
            <w:tcW w:w="700" w:type="dxa"/>
            <w:vMerge w:val="restart"/>
            <w:shd w:val="clear" w:color="000000" w:fill="D6DCE4"/>
            <w:vAlign w:val="center"/>
          </w:tcPr>
          <w:p w14:paraId="1B11CD3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85" w:type="dxa"/>
            <w:gridSpan w:val="9"/>
            <w:shd w:val="clear" w:color="000000" w:fill="D6DCE4"/>
            <w:vAlign w:val="center"/>
          </w:tcPr>
          <w:p w14:paraId="6472F079">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17" w:type="dxa"/>
            <w:gridSpan w:val="5"/>
            <w:shd w:val="clear" w:color="000000" w:fill="D6DCE4"/>
            <w:vAlign w:val="center"/>
          </w:tcPr>
          <w:p w14:paraId="33D8A6F2">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159D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5" w:type="dxa"/>
          <w:trHeight w:val="660" w:hRule="atLeast"/>
          <w:jc w:val="center"/>
        </w:trPr>
        <w:tc>
          <w:tcPr>
            <w:tcW w:w="700" w:type="dxa"/>
            <w:vMerge w:val="continue"/>
            <w:shd w:val="clear" w:color="000000" w:fill="D6DCE4"/>
            <w:vAlign w:val="center"/>
          </w:tcPr>
          <w:p w14:paraId="138FD944">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1A9A124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6D4B4D6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0989A07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0C8F2E8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29CB7FB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06A1465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301063D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167" w:type="dxa"/>
            <w:shd w:val="clear" w:color="000000" w:fill="D6DCE4"/>
            <w:vAlign w:val="center"/>
          </w:tcPr>
          <w:p w14:paraId="259FBD2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57" w:type="dxa"/>
            <w:shd w:val="clear" w:color="000000" w:fill="D6DCE4"/>
            <w:vAlign w:val="center"/>
          </w:tcPr>
          <w:p w14:paraId="2C1D58A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41" w:type="dxa"/>
            <w:shd w:val="clear" w:color="000000" w:fill="D6DCE4"/>
            <w:vAlign w:val="center"/>
          </w:tcPr>
          <w:p w14:paraId="72CCC0D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317" w:type="dxa"/>
            <w:shd w:val="clear" w:color="000000" w:fill="D6DCE4"/>
            <w:vAlign w:val="center"/>
          </w:tcPr>
          <w:p w14:paraId="741EF95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00" w:type="dxa"/>
            <w:shd w:val="clear" w:color="000000" w:fill="D6DCE4"/>
            <w:vAlign w:val="center"/>
          </w:tcPr>
          <w:p w14:paraId="38ACB88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883" w:type="dxa"/>
            <w:shd w:val="clear" w:color="000000" w:fill="D6DCE4"/>
            <w:vAlign w:val="center"/>
          </w:tcPr>
          <w:p w14:paraId="2CF5E16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2976" w:type="dxa"/>
            <w:shd w:val="clear" w:color="000000" w:fill="D6DCE4"/>
            <w:vAlign w:val="center"/>
          </w:tcPr>
          <w:p w14:paraId="534D62A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554DF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5" w:type="dxa"/>
          <w:trHeight w:val="2107" w:hRule="atLeast"/>
          <w:jc w:val="center"/>
        </w:trPr>
        <w:tc>
          <w:tcPr>
            <w:tcW w:w="700" w:type="dxa"/>
            <w:shd w:val="clear" w:color="auto" w:fill="auto"/>
            <w:vAlign w:val="center"/>
          </w:tcPr>
          <w:p w14:paraId="7265B6E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5B470EF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62B741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08847F7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495D292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网信办</w:t>
            </w:r>
          </w:p>
        </w:tc>
        <w:tc>
          <w:tcPr>
            <w:tcW w:w="2082" w:type="dxa"/>
            <w:shd w:val="clear" w:color="auto" w:fill="auto"/>
            <w:vAlign w:val="center"/>
          </w:tcPr>
          <w:p w14:paraId="369DFF6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协调相关互联网新闻信息服务单位向社会公布失信被执行人信息</w:t>
            </w:r>
          </w:p>
        </w:tc>
        <w:tc>
          <w:tcPr>
            <w:tcW w:w="1131" w:type="dxa"/>
            <w:shd w:val="clear" w:color="auto" w:fill="auto"/>
            <w:vAlign w:val="center"/>
          </w:tcPr>
          <w:p w14:paraId="7559347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22F999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3B9A768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57" w:type="dxa"/>
            <w:shd w:val="clear" w:color="auto" w:fill="auto"/>
            <w:vAlign w:val="center"/>
          </w:tcPr>
          <w:p w14:paraId="1C65DB0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0"/>
                <w:szCs w:val="20"/>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0"/>
                <w:szCs w:val="20"/>
                <w:shd w:val="clear" w:color="auto" w:fill="FFFFFF"/>
              </w:rPr>
              <w:t>〕</w:t>
            </w:r>
            <w:r>
              <w:rPr>
                <w:rFonts w:hint="eastAsia" w:ascii="微软雅黑" w:hAnsi="微软雅黑" w:eastAsia="微软雅黑" w:cs="宋体"/>
                <w:kern w:val="0"/>
                <w:sz w:val="20"/>
                <w:szCs w:val="20"/>
              </w:rPr>
              <w:t>141号）</w:t>
            </w:r>
          </w:p>
          <w:p w14:paraId="383072DF">
            <w:pPr>
              <w:widowControl/>
              <w:spacing w:line="240" w:lineRule="auto"/>
              <w:ind w:firstLine="0" w:firstLineChars="0"/>
              <w:rPr>
                <w:rFonts w:ascii="微软雅黑" w:hAnsi="微软雅黑" w:eastAsia="微软雅黑" w:cs="宋体"/>
                <w:kern w:val="0"/>
                <w:sz w:val="20"/>
                <w:szCs w:val="20"/>
                <w:lang w:val="en-US" w:eastAsia="zh-CN" w:bidi="ar-SA"/>
              </w:rPr>
            </w:pPr>
          </w:p>
        </w:tc>
        <w:tc>
          <w:tcPr>
            <w:tcW w:w="1141" w:type="dxa"/>
            <w:shd w:val="clear" w:color="auto" w:fill="auto"/>
            <w:vAlign w:val="center"/>
          </w:tcPr>
          <w:p w14:paraId="3690034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317" w:type="dxa"/>
            <w:shd w:val="clear" w:color="auto" w:fill="auto"/>
            <w:vAlign w:val="center"/>
          </w:tcPr>
          <w:p w14:paraId="3A86B79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00" w:type="dxa"/>
            <w:shd w:val="clear" w:color="auto" w:fill="auto"/>
            <w:vAlign w:val="center"/>
          </w:tcPr>
          <w:p w14:paraId="564CB15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83" w:type="dxa"/>
            <w:shd w:val="clear" w:color="auto" w:fill="auto"/>
            <w:vAlign w:val="center"/>
          </w:tcPr>
          <w:p w14:paraId="3451B2F1">
            <w:pPr>
              <w:widowControl/>
              <w:spacing w:line="240" w:lineRule="auto"/>
              <w:ind w:firstLine="0" w:firstLineChars="0"/>
              <w:jc w:val="center"/>
              <w:rPr>
                <w:rFonts w:hint="eastAsia" w:ascii="微软雅黑" w:hAnsi="微软雅黑" w:eastAsia="微软雅黑" w:cs="宋体"/>
                <w:kern w:val="0"/>
                <w:sz w:val="20"/>
                <w:szCs w:val="20"/>
                <w:lang w:eastAsia="zh-CN"/>
              </w:rPr>
            </w:pPr>
          </w:p>
        </w:tc>
        <w:tc>
          <w:tcPr>
            <w:tcW w:w="2976" w:type="dxa"/>
            <w:shd w:val="clear" w:color="auto" w:fill="auto"/>
            <w:vAlign w:val="center"/>
          </w:tcPr>
          <w:p w14:paraId="14C3542C">
            <w:pPr>
              <w:widowControl/>
              <w:spacing w:line="240" w:lineRule="auto"/>
              <w:ind w:firstLine="0" w:firstLineChars="0"/>
              <w:rPr>
                <w:rFonts w:ascii="微软雅黑" w:hAnsi="微软雅黑" w:eastAsia="微软雅黑" w:cs="宋体"/>
                <w:kern w:val="0"/>
                <w:sz w:val="20"/>
                <w:szCs w:val="20"/>
              </w:rPr>
            </w:pPr>
          </w:p>
        </w:tc>
      </w:tr>
      <w:tr w14:paraId="2156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5" w:type="dxa"/>
          <w:trHeight w:val="1680" w:hRule="atLeast"/>
          <w:jc w:val="center"/>
        </w:trPr>
        <w:tc>
          <w:tcPr>
            <w:tcW w:w="22102" w:type="dxa"/>
            <w:gridSpan w:val="15"/>
            <w:shd w:val="clear" w:color="auto" w:fill="auto"/>
            <w:vAlign w:val="center"/>
          </w:tcPr>
          <w:p w14:paraId="7494FD31">
            <w:pPr>
              <w:widowControl/>
              <w:spacing w:line="240" w:lineRule="auto"/>
              <w:ind w:firstLine="0" w:firstLineChars="0"/>
              <w:jc w:val="left"/>
              <w:rPr>
                <w:rFonts w:ascii="微软雅黑" w:hAnsi="微软雅黑" w:eastAsia="微软雅黑" w:cs="宋体"/>
                <w:kern w:val="0"/>
                <w:sz w:val="16"/>
                <w:szCs w:val="16"/>
              </w:rPr>
            </w:pPr>
            <w:r>
              <w:rPr>
                <w:rFonts w:hint="eastAsia" w:ascii="微软雅黑" w:hAnsi="微软雅黑" w:eastAsia="微软雅黑" w:cs="宋体"/>
                <w:b/>
                <w:bCs/>
                <w:kern w:val="0"/>
                <w:sz w:val="20"/>
                <w:szCs w:val="20"/>
              </w:rPr>
              <w:t>惩戒措施法律及政策依据：</w:t>
            </w:r>
          </w:p>
          <w:p w14:paraId="64134F0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1.《中华人民共和国政府信息公开条例》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 行政机关对符合下列基本要求之一的政府信息应当主动公开：</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（1）涉及公民、法人或者其他组织切身利益的；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（2）需要社会公众广泛知晓或者参与的；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（3）反映本行政机关机构设置、职能、办事程序等情况的；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（4）其他依照法律、法规和国家有关规定应当主动公开的。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2.《互联网新闻信息服务管理规定》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互联网新闻信息服务单位从事互联网新闻信息服务，应当遵守宪法、法律和法规，坚持为人民服务、为社会主义服务的方向，坚持正确的舆论导向，维护国家利益和公共利益。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国家鼓励互联网新闻信息服务单位传播有益于提高民族素质、推动经济发展、促进社会进步的健康、文明的新闻信息。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3.《证券期货</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场诚信监督管理暂行办法》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第十四条 中国证监会、国务院其他主管部门等其他省部级及以上单位和证券期货交易所、证券期货</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场行业协会、证券登记结算机构等全国性证券期货</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场行业组织（以下简称证券期货</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场行业组织）作出的表彰、奖励、评比，以及信用评级机构作出的信用评级，中国证监会及其派出机构作出的行政许可决定，发行人、上</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公司及其主要股东、实际控制人、董监高以及高级管理人员等作出的公开承诺的履行情况，中国证监会及其派出机构作出的行政处罚、</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场禁入决定、监督管理措施，证券期货</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场行业组织实施的纪律处分措施和法律、行政法规、规章规定的管理措施，依法向社会公开。</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中国证监会在中国证监会网站建立资本</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场违法失信信息公开查询平台，社会公众可通过该平台查询中国证监会及其派出机构作出的行政处罚、</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场禁入决定、监督管理措施和证券期货</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场行业组织实施的纪律处分措施以及法律、行政法规、规章规定的管理措施等违法失信信息。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新闻宣传部门应当加强对人民法院执行工作的宣传，教育引导社会各界树立诚信意识，形成自觉履行生效法律文书确定的义务、依法协助人民法院执行的良好风尚；把握正确的舆论导向，增强</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场主体的风险意识。配合人民法院建立被执行人公示制度，及时将人民法院委托公布的被执行人名单以及其他干扰、阻碍执行的行为予以曝光。</w:t>
            </w:r>
          </w:p>
        </w:tc>
      </w:tr>
      <w:tr w14:paraId="3E73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5" w:type="dxa"/>
          <w:trHeight w:val="435" w:hRule="atLeast"/>
          <w:jc w:val="center"/>
        </w:trPr>
        <w:tc>
          <w:tcPr>
            <w:tcW w:w="22102" w:type="dxa"/>
            <w:gridSpan w:val="15"/>
            <w:tcBorders>
              <w:top w:val="nil"/>
              <w:left w:val="nil"/>
              <w:right w:val="nil"/>
            </w:tcBorders>
            <w:shd w:val="clear" w:color="auto" w:fill="auto"/>
            <w:vAlign w:val="center"/>
          </w:tcPr>
          <w:p w14:paraId="7109441C">
            <w:pPr>
              <w:ind w:left="0" w:leftChars="0" w:firstLine="0" w:firstLineChars="0"/>
              <w:rPr>
                <w:rFonts w:hint="eastAsia"/>
                <w:lang w:val="en-US" w:eastAsia="zh-CN"/>
              </w:rPr>
            </w:pPr>
            <w:bookmarkStart w:id="8" w:name="_Toc20473849"/>
          </w:p>
          <w:p w14:paraId="474BBFDE">
            <w:pPr>
              <w:rPr>
                <w:rFonts w:hint="eastAsia"/>
                <w:lang w:val="en-US" w:eastAsia="zh-CN"/>
              </w:rPr>
            </w:pPr>
          </w:p>
          <w:p w14:paraId="12D49614">
            <w:pPr>
              <w:pStyle w:val="2"/>
              <w:spacing w:afterAutospacing="0"/>
              <w:ind w:left="0" w:leftChars="0" w:firstLine="0" w:firstLineChars="0"/>
              <w:jc w:val="center"/>
              <w:rPr>
                <w:rFonts w:hint="eastAsia" w:eastAsia="华文中宋"/>
                <w:lang w:val="en-US" w:eastAsia="zh-CN"/>
              </w:rPr>
            </w:pPr>
            <w:r>
              <w:rPr>
                <w:rFonts w:hint="eastAsia"/>
                <w:lang w:val="en-US" w:eastAsia="zh-CN"/>
              </w:rPr>
              <w:t>9</w:t>
            </w:r>
            <w:r>
              <w:rPr>
                <w:rFonts w:hint="eastAsia"/>
              </w:rPr>
              <w:t>、</w:t>
            </w:r>
            <w:r>
              <w:rPr>
                <w:rFonts w:hint="eastAsia"/>
                <w:lang w:eastAsia="zh-CN"/>
              </w:rPr>
              <w:t>县</w:t>
            </w:r>
            <w:r>
              <w:rPr>
                <w:rFonts w:hint="eastAsia"/>
              </w:rPr>
              <w:t>发展改革</w:t>
            </w:r>
            <w:bookmarkEnd w:id="8"/>
            <w:r>
              <w:rPr>
                <w:rFonts w:hint="eastAsia"/>
                <w:lang w:val="en-US" w:eastAsia="zh-CN"/>
              </w:rPr>
              <w:t>局</w:t>
            </w:r>
          </w:p>
        </w:tc>
      </w:tr>
      <w:tr w14:paraId="2E8A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4F632AB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85" w:type="dxa"/>
            <w:gridSpan w:val="9"/>
            <w:shd w:val="clear" w:color="000000" w:fill="D6DCE4"/>
            <w:vAlign w:val="center"/>
          </w:tcPr>
          <w:p w14:paraId="61A73178">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532" w:type="dxa"/>
            <w:gridSpan w:val="6"/>
            <w:shd w:val="clear" w:color="000000" w:fill="D6DCE4"/>
            <w:vAlign w:val="center"/>
          </w:tcPr>
          <w:p w14:paraId="24D1723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2C9A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613716E9">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668B1F3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0F0F983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76ACCB9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6277C17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4654734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1F6CFE5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5B3DEA6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167" w:type="dxa"/>
            <w:shd w:val="clear" w:color="000000" w:fill="D6DCE4"/>
            <w:vAlign w:val="center"/>
          </w:tcPr>
          <w:p w14:paraId="2F2D350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57" w:type="dxa"/>
            <w:shd w:val="clear" w:color="000000" w:fill="D6DCE4"/>
            <w:vAlign w:val="center"/>
          </w:tcPr>
          <w:p w14:paraId="7FCA47F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41" w:type="dxa"/>
            <w:shd w:val="clear" w:color="000000" w:fill="D6DCE4"/>
            <w:vAlign w:val="center"/>
          </w:tcPr>
          <w:p w14:paraId="3D6EE86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317" w:type="dxa"/>
            <w:shd w:val="clear" w:color="000000" w:fill="D6DCE4"/>
            <w:vAlign w:val="center"/>
          </w:tcPr>
          <w:p w14:paraId="60A18E2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00" w:type="dxa"/>
            <w:shd w:val="clear" w:color="000000" w:fill="D6DCE4"/>
            <w:vAlign w:val="center"/>
          </w:tcPr>
          <w:p w14:paraId="0DD2EE1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883" w:type="dxa"/>
            <w:shd w:val="clear" w:color="000000" w:fill="D6DCE4"/>
            <w:vAlign w:val="center"/>
          </w:tcPr>
          <w:p w14:paraId="336B8DD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91" w:type="dxa"/>
            <w:gridSpan w:val="2"/>
            <w:shd w:val="clear" w:color="000000" w:fill="D6DCE4"/>
            <w:vAlign w:val="center"/>
          </w:tcPr>
          <w:p w14:paraId="7E4D3A6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74A9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6" w:hRule="atLeast"/>
          <w:jc w:val="center"/>
        </w:trPr>
        <w:tc>
          <w:tcPr>
            <w:tcW w:w="700" w:type="dxa"/>
            <w:shd w:val="clear" w:color="auto" w:fill="auto"/>
            <w:vAlign w:val="center"/>
          </w:tcPr>
          <w:p w14:paraId="5FC2BE3C">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1</w:t>
            </w:r>
          </w:p>
        </w:tc>
        <w:tc>
          <w:tcPr>
            <w:tcW w:w="1078" w:type="dxa"/>
            <w:shd w:val="clear" w:color="auto" w:fill="auto"/>
            <w:vAlign w:val="center"/>
          </w:tcPr>
          <w:p w14:paraId="03D7578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48433B1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CA81F3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61A7E102">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发展和改革</w:t>
            </w:r>
            <w:r>
              <w:rPr>
                <w:rFonts w:hint="eastAsia" w:ascii="微软雅黑" w:hAnsi="微软雅黑" w:eastAsia="微软雅黑" w:cs="宋体"/>
                <w:kern w:val="0"/>
                <w:sz w:val="20"/>
                <w:szCs w:val="20"/>
                <w:lang w:val="en-US" w:eastAsia="zh-CN"/>
              </w:rPr>
              <w:t>局</w:t>
            </w:r>
          </w:p>
        </w:tc>
        <w:tc>
          <w:tcPr>
            <w:tcW w:w="2082" w:type="dxa"/>
            <w:shd w:val="clear" w:color="auto" w:fill="auto"/>
            <w:vAlign w:val="center"/>
          </w:tcPr>
          <w:p w14:paraId="303EDC3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依法限制失信被执行人参与政府投资项目或主要使用财政性资金项目</w:t>
            </w:r>
          </w:p>
        </w:tc>
        <w:tc>
          <w:tcPr>
            <w:tcW w:w="1131" w:type="dxa"/>
            <w:shd w:val="clear" w:color="auto" w:fill="auto"/>
            <w:vAlign w:val="center"/>
          </w:tcPr>
          <w:p w14:paraId="0FC2375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78C0FA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305315C8">
            <w:pPr>
              <w:widowControl/>
              <w:spacing w:line="240" w:lineRule="auto"/>
              <w:ind w:firstLine="0" w:firstLineChars="0"/>
              <w:jc w:val="center"/>
              <w:rPr>
                <w:rFonts w:ascii="微软雅黑" w:hAnsi="微软雅黑" w:eastAsia="微软雅黑" w:cs="宋体"/>
                <w:kern w:val="0"/>
                <w:sz w:val="20"/>
                <w:szCs w:val="20"/>
              </w:rPr>
            </w:pPr>
          </w:p>
        </w:tc>
        <w:tc>
          <w:tcPr>
            <w:tcW w:w="1457" w:type="dxa"/>
            <w:shd w:val="clear" w:color="auto" w:fill="auto"/>
            <w:vAlign w:val="center"/>
          </w:tcPr>
          <w:p w14:paraId="22DFEDD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41" w:type="dxa"/>
            <w:shd w:val="clear" w:color="auto" w:fill="auto"/>
            <w:vAlign w:val="center"/>
          </w:tcPr>
          <w:p w14:paraId="33C745D9">
            <w:pPr>
              <w:widowControl/>
              <w:spacing w:line="240" w:lineRule="auto"/>
              <w:ind w:firstLine="0" w:firstLineChars="0"/>
              <w:jc w:val="center"/>
              <w:rPr>
                <w:rFonts w:ascii="微软雅黑" w:hAnsi="微软雅黑" w:eastAsia="微软雅黑" w:cs="宋体"/>
                <w:kern w:val="0"/>
                <w:sz w:val="20"/>
                <w:szCs w:val="20"/>
              </w:rPr>
            </w:pPr>
          </w:p>
        </w:tc>
        <w:tc>
          <w:tcPr>
            <w:tcW w:w="2317" w:type="dxa"/>
            <w:shd w:val="clear" w:color="auto" w:fill="auto"/>
            <w:vAlign w:val="center"/>
          </w:tcPr>
          <w:p w14:paraId="36D0E8C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政府投资项目建议书审批</w:t>
            </w:r>
          </w:p>
        </w:tc>
        <w:tc>
          <w:tcPr>
            <w:tcW w:w="1100" w:type="dxa"/>
            <w:tcBorders>
              <w:right w:val="single" w:color="auto" w:sz="4" w:space="0"/>
            </w:tcBorders>
            <w:shd w:val="clear" w:color="auto" w:fill="auto"/>
            <w:vAlign w:val="center"/>
          </w:tcPr>
          <w:p w14:paraId="60C3C4F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83" w:type="dxa"/>
            <w:tcBorders>
              <w:top w:val="single" w:color="auto" w:sz="4" w:space="0"/>
              <w:left w:val="single" w:color="auto" w:sz="4" w:space="0"/>
              <w:bottom w:val="single" w:color="auto" w:sz="4" w:space="0"/>
              <w:right w:val="single" w:color="auto" w:sz="4" w:space="0"/>
            </w:tcBorders>
            <w:shd w:val="clear" w:color="auto" w:fill="auto"/>
            <w:vAlign w:val="center"/>
          </w:tcPr>
          <w:p w14:paraId="48E60361">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　</w:t>
            </w:r>
            <w:r>
              <w:rPr>
                <w:rFonts w:hint="eastAsia" w:ascii="微软雅黑" w:hAnsi="微软雅黑" w:eastAsia="微软雅黑" w:cs="宋体"/>
                <w:kern w:val="0"/>
                <w:sz w:val="20"/>
                <w:szCs w:val="20"/>
                <w:lang w:eastAsia="zh-CN"/>
              </w:rPr>
              <w:t>否</w:t>
            </w:r>
          </w:p>
        </w:tc>
        <w:tc>
          <w:tcPr>
            <w:tcW w:w="3091" w:type="dxa"/>
            <w:gridSpan w:val="2"/>
            <w:tcBorders>
              <w:left w:val="single" w:color="auto" w:sz="4" w:space="0"/>
            </w:tcBorders>
            <w:shd w:val="clear" w:color="auto" w:fill="auto"/>
            <w:vAlign w:val="center"/>
          </w:tcPr>
          <w:p w14:paraId="158253D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1.《河北省人民政府办公厅关于公布固定资产投资项目保留合并或并联办理行政许可和行政审批事项的通知》（冀政办〔2009〕25号）附件；</w:t>
            </w:r>
          </w:p>
          <w:p w14:paraId="5E25948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2.《河北省人民政府关于取消省政府部门非行政许可审批事项的决定》（冀政发〔2015〕38号）附件3；</w:t>
            </w:r>
          </w:p>
          <w:p w14:paraId="62B6855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3.《国务院关于投资体制改革的决定》（国发〔2004〕20号）第三部分；</w:t>
            </w:r>
          </w:p>
          <w:p w14:paraId="54E0075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4.《中央预算内直接投资项目管理办法》（国家发展改革委令第7号）第四十条；</w:t>
            </w:r>
          </w:p>
          <w:p w14:paraId="37FA151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5.《中华人民共和国节约能源法》第十五条；</w:t>
            </w:r>
          </w:p>
          <w:p w14:paraId="0A51054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6.《中共中央、国务院关于深化投融资体制改革的意见》（中发〔2016〕18号）第三部分；</w:t>
            </w:r>
          </w:p>
          <w:p w14:paraId="3BA9505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7.《国务院关于取消非行政许可审批事项的决定》（国发〔2015〕27号）附件2；</w:t>
            </w:r>
          </w:p>
          <w:p w14:paraId="2127116A">
            <w:pPr>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8.《河北省人民政府办公厅关于印发河北省优化投资建设项目审批流程实施办法（试行）的通知》（冀政办字〔2017〕13号）。</w:t>
            </w:r>
          </w:p>
        </w:tc>
      </w:tr>
      <w:tr w14:paraId="4344D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5" w:hRule="atLeast"/>
          <w:jc w:val="center"/>
        </w:trPr>
        <w:tc>
          <w:tcPr>
            <w:tcW w:w="700" w:type="dxa"/>
            <w:shd w:val="clear" w:color="auto" w:fill="auto"/>
            <w:vAlign w:val="center"/>
          </w:tcPr>
          <w:p w14:paraId="0456B86C">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2</w:t>
            </w:r>
          </w:p>
        </w:tc>
        <w:tc>
          <w:tcPr>
            <w:tcW w:w="1078" w:type="dxa"/>
            <w:vAlign w:val="center"/>
          </w:tcPr>
          <w:p w14:paraId="3FAB53F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4531E1E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79760E9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12DA7BAD">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发展和改革</w:t>
            </w:r>
            <w:r>
              <w:rPr>
                <w:rFonts w:hint="eastAsia" w:ascii="微软雅黑" w:hAnsi="微软雅黑" w:eastAsia="微软雅黑" w:cs="宋体"/>
                <w:kern w:val="0"/>
                <w:sz w:val="20"/>
                <w:szCs w:val="20"/>
                <w:lang w:val="en-US" w:eastAsia="zh-CN"/>
              </w:rPr>
              <w:t>局</w:t>
            </w:r>
          </w:p>
        </w:tc>
        <w:tc>
          <w:tcPr>
            <w:tcW w:w="2082" w:type="dxa"/>
            <w:vAlign w:val="center"/>
          </w:tcPr>
          <w:p w14:paraId="3EFCFD8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依法限制失信被执行人参与政府投资项目或主要使用财政性资金项目</w:t>
            </w:r>
          </w:p>
        </w:tc>
        <w:tc>
          <w:tcPr>
            <w:tcW w:w="1131" w:type="dxa"/>
            <w:vAlign w:val="center"/>
          </w:tcPr>
          <w:p w14:paraId="1D90D1D6">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017CCDA8">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7DFE9F2B">
            <w:pPr>
              <w:widowControl/>
              <w:spacing w:line="240" w:lineRule="auto"/>
              <w:ind w:firstLine="0" w:firstLineChars="0"/>
              <w:jc w:val="center"/>
              <w:rPr>
                <w:rFonts w:ascii="微软雅黑" w:hAnsi="微软雅黑" w:eastAsia="微软雅黑" w:cs="宋体"/>
                <w:kern w:val="0"/>
                <w:sz w:val="20"/>
                <w:szCs w:val="20"/>
              </w:rPr>
            </w:pPr>
          </w:p>
        </w:tc>
        <w:tc>
          <w:tcPr>
            <w:tcW w:w="1457" w:type="dxa"/>
            <w:shd w:val="clear" w:color="auto" w:fill="auto"/>
            <w:vAlign w:val="center"/>
          </w:tcPr>
          <w:p w14:paraId="1036EB5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41" w:type="dxa"/>
            <w:shd w:val="clear" w:color="auto" w:fill="auto"/>
            <w:vAlign w:val="center"/>
          </w:tcPr>
          <w:p w14:paraId="7EB2DD3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317" w:type="dxa"/>
            <w:shd w:val="clear" w:color="auto" w:fill="auto"/>
            <w:vAlign w:val="center"/>
          </w:tcPr>
          <w:p w14:paraId="681548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政府投资项目可行性研究报告审批</w:t>
            </w:r>
          </w:p>
        </w:tc>
        <w:tc>
          <w:tcPr>
            <w:tcW w:w="1100" w:type="dxa"/>
            <w:tcBorders>
              <w:right w:val="single" w:color="auto" w:sz="4" w:space="0"/>
            </w:tcBorders>
            <w:shd w:val="clear" w:color="auto" w:fill="auto"/>
            <w:vAlign w:val="center"/>
          </w:tcPr>
          <w:p w14:paraId="083420D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83" w:type="dxa"/>
            <w:vMerge w:val="restart"/>
            <w:tcBorders>
              <w:top w:val="single" w:color="auto" w:sz="4" w:space="0"/>
              <w:left w:val="single" w:color="auto" w:sz="4" w:space="0"/>
              <w:right w:val="single" w:color="auto" w:sz="4" w:space="0"/>
            </w:tcBorders>
            <w:vAlign w:val="center"/>
          </w:tcPr>
          <w:p w14:paraId="5D154479">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否</w:t>
            </w:r>
          </w:p>
        </w:tc>
        <w:tc>
          <w:tcPr>
            <w:tcW w:w="3091" w:type="dxa"/>
            <w:gridSpan w:val="2"/>
            <w:tcBorders>
              <w:left w:val="single" w:color="auto" w:sz="4" w:space="0"/>
            </w:tcBorders>
            <w:vAlign w:val="center"/>
          </w:tcPr>
          <w:p w14:paraId="672F973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1.《国务院关于投资体制改革的决定》（国发〔2004〕20号）第三部分；</w:t>
            </w:r>
          </w:p>
          <w:p w14:paraId="449F54D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2.《河北省人民政府关于取消省政府部门非行政许可审批事项的决定》（冀政发〔2015〕38号）附件3；</w:t>
            </w:r>
          </w:p>
          <w:p w14:paraId="0D64472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3.《河北省实施〈中华人民共和国招标投标法〉办法》第八条；</w:t>
            </w:r>
          </w:p>
          <w:p w14:paraId="0544F2C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4.《中央预算内直接投资项目管理办法》（国家发展改革委令第7号）第四十条；</w:t>
            </w:r>
          </w:p>
          <w:p w14:paraId="4F360E3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5.《河北省人民政府办公厅关于公布固定资产投资项目保留合并或并联办理行政许可和行政审批事项的通知》（冀政办〔2009〕25号）附件；</w:t>
            </w:r>
          </w:p>
          <w:p w14:paraId="5BAD10C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6.《国务院关于取消非行政许可审批事项的决定》（国发〔2015〕27号）附件2；</w:t>
            </w:r>
          </w:p>
          <w:p w14:paraId="5D59836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7.《中共中央国务院关于深化投融资体制改革的意见》（中发〔2016〕18号）第三部分；</w:t>
            </w:r>
          </w:p>
          <w:p w14:paraId="6608549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8.《中华人民共和国节约能源法》第十五条。</w:t>
            </w:r>
          </w:p>
        </w:tc>
      </w:tr>
      <w:tr w14:paraId="1A9B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0" w:hRule="atLeast"/>
          <w:jc w:val="center"/>
        </w:trPr>
        <w:tc>
          <w:tcPr>
            <w:tcW w:w="700" w:type="dxa"/>
            <w:shd w:val="clear" w:color="auto" w:fill="auto"/>
            <w:vAlign w:val="center"/>
          </w:tcPr>
          <w:p w14:paraId="4A5F4D5B">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3</w:t>
            </w:r>
          </w:p>
        </w:tc>
        <w:tc>
          <w:tcPr>
            <w:tcW w:w="1078" w:type="dxa"/>
            <w:vAlign w:val="center"/>
          </w:tcPr>
          <w:p w14:paraId="6B6E7CB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1362C7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41C8249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37E817D4">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发展和改革</w:t>
            </w:r>
            <w:r>
              <w:rPr>
                <w:rFonts w:hint="eastAsia" w:ascii="微软雅黑" w:hAnsi="微软雅黑" w:eastAsia="微软雅黑" w:cs="宋体"/>
                <w:kern w:val="0"/>
                <w:sz w:val="20"/>
                <w:szCs w:val="20"/>
                <w:lang w:val="en-US" w:eastAsia="zh-CN"/>
              </w:rPr>
              <w:t>局</w:t>
            </w:r>
          </w:p>
        </w:tc>
        <w:tc>
          <w:tcPr>
            <w:tcW w:w="2082" w:type="dxa"/>
            <w:vAlign w:val="center"/>
          </w:tcPr>
          <w:p w14:paraId="2518F18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依法限制失信被执行人参与政府投资项目或主要使用财政性资金项目</w:t>
            </w:r>
          </w:p>
        </w:tc>
        <w:tc>
          <w:tcPr>
            <w:tcW w:w="1131" w:type="dxa"/>
            <w:vAlign w:val="center"/>
          </w:tcPr>
          <w:p w14:paraId="05610B3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4CC91BC4">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252762C2">
            <w:pPr>
              <w:widowControl/>
              <w:spacing w:line="240" w:lineRule="auto"/>
              <w:ind w:firstLine="0" w:firstLineChars="0"/>
              <w:jc w:val="center"/>
              <w:rPr>
                <w:rFonts w:ascii="微软雅黑" w:hAnsi="微软雅黑" w:eastAsia="微软雅黑" w:cs="宋体"/>
                <w:kern w:val="0"/>
                <w:sz w:val="20"/>
                <w:szCs w:val="20"/>
              </w:rPr>
            </w:pPr>
          </w:p>
        </w:tc>
        <w:tc>
          <w:tcPr>
            <w:tcW w:w="1457" w:type="dxa"/>
            <w:shd w:val="clear" w:color="auto" w:fill="auto"/>
            <w:vAlign w:val="center"/>
          </w:tcPr>
          <w:p w14:paraId="4FC0E19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41" w:type="dxa"/>
            <w:shd w:val="clear" w:color="auto" w:fill="auto"/>
            <w:vAlign w:val="center"/>
          </w:tcPr>
          <w:p w14:paraId="3111DBB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317" w:type="dxa"/>
            <w:shd w:val="clear" w:color="auto" w:fill="auto"/>
            <w:vAlign w:val="center"/>
          </w:tcPr>
          <w:p w14:paraId="557355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政府投资项目初步设计审批</w:t>
            </w:r>
          </w:p>
        </w:tc>
        <w:tc>
          <w:tcPr>
            <w:tcW w:w="1100" w:type="dxa"/>
            <w:tcBorders>
              <w:right w:val="single" w:color="auto" w:sz="4" w:space="0"/>
            </w:tcBorders>
            <w:shd w:val="clear" w:color="auto" w:fill="auto"/>
            <w:vAlign w:val="center"/>
          </w:tcPr>
          <w:p w14:paraId="2C14C90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83" w:type="dxa"/>
            <w:vMerge w:val="continue"/>
            <w:tcBorders>
              <w:top w:val="single" w:color="auto" w:sz="4" w:space="0"/>
              <w:left w:val="single" w:color="auto" w:sz="4" w:space="0"/>
              <w:bottom w:val="single" w:color="auto" w:sz="4" w:space="0"/>
              <w:right w:val="single" w:color="auto" w:sz="4" w:space="0"/>
            </w:tcBorders>
            <w:vAlign w:val="center"/>
          </w:tcPr>
          <w:p w14:paraId="663829E4">
            <w:pPr>
              <w:widowControl/>
              <w:spacing w:line="240" w:lineRule="auto"/>
              <w:ind w:firstLine="0" w:firstLineChars="0"/>
              <w:jc w:val="center"/>
              <w:rPr>
                <w:rFonts w:ascii="微软雅黑" w:hAnsi="微软雅黑" w:eastAsia="微软雅黑" w:cs="宋体"/>
                <w:kern w:val="0"/>
                <w:sz w:val="20"/>
                <w:szCs w:val="20"/>
                <w:lang w:val="en-US" w:eastAsia="zh-CN" w:bidi="ar-SA"/>
              </w:rPr>
            </w:pPr>
          </w:p>
        </w:tc>
        <w:tc>
          <w:tcPr>
            <w:tcW w:w="3091" w:type="dxa"/>
            <w:gridSpan w:val="2"/>
            <w:tcBorders>
              <w:left w:val="single" w:color="auto" w:sz="4" w:space="0"/>
            </w:tcBorders>
            <w:vAlign w:val="center"/>
          </w:tcPr>
          <w:p w14:paraId="19C06B5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1.《中央预算内直接投资项目概算管理暂行办法》（发改投资〔2015〕482号）第二十五条；</w:t>
            </w:r>
          </w:p>
          <w:p w14:paraId="32350F9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2.《河北省人民政府办公厅关于印发河北省优化投资建设项目审批流程实施办法（试行）的通知》（冀政办字〔2017〕13号）；</w:t>
            </w:r>
          </w:p>
          <w:p w14:paraId="0A681B3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3.《河北省人民政府办公厅关于公布固定资产投资项目保留合并或并联办理行政许可和行政审批事项的通知》（冀政办〔2009〕25号）附件；</w:t>
            </w:r>
          </w:p>
          <w:p w14:paraId="7E2237C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4.《国务院关于投资体制改革的决定》（国发〔2004〕20号）第三部分；</w:t>
            </w:r>
          </w:p>
          <w:p w14:paraId="4BDF558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5.《河北省人民政府关于取消省政府部门非行政许可审批事项的决定》（冀政发〔2015〕38号）附件3；</w:t>
            </w:r>
          </w:p>
          <w:p w14:paraId="0095FBB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6.《国务院关于取消非行政许可审批事项的决定》（国发〔2015〕27号）附件2；</w:t>
            </w:r>
          </w:p>
          <w:p w14:paraId="5DF08A2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7.《中共中央国务院关于深化投融资体制改革的意见》（中发〔2016〕18号）第三部分；</w:t>
            </w:r>
          </w:p>
          <w:p w14:paraId="683FCD1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8.《中央预算内直接投资项目管理办法》（国家发展改革委令第7号）第四十条。</w:t>
            </w:r>
          </w:p>
        </w:tc>
      </w:tr>
      <w:tr w14:paraId="1697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0" w:hRule="atLeast"/>
          <w:jc w:val="center"/>
        </w:trPr>
        <w:tc>
          <w:tcPr>
            <w:tcW w:w="700" w:type="dxa"/>
            <w:shd w:val="clear" w:color="auto" w:fill="auto"/>
            <w:vAlign w:val="center"/>
          </w:tcPr>
          <w:p w14:paraId="4BFF85EF">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4</w:t>
            </w:r>
          </w:p>
        </w:tc>
        <w:tc>
          <w:tcPr>
            <w:tcW w:w="1078" w:type="dxa"/>
            <w:vAlign w:val="center"/>
          </w:tcPr>
          <w:p w14:paraId="422B1E0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11EC78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472B563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60712B26">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发展和改革</w:t>
            </w:r>
            <w:r>
              <w:rPr>
                <w:rFonts w:hint="eastAsia" w:ascii="微软雅黑" w:hAnsi="微软雅黑" w:eastAsia="微软雅黑" w:cs="宋体"/>
                <w:kern w:val="0"/>
                <w:sz w:val="20"/>
                <w:szCs w:val="20"/>
                <w:lang w:val="en-US" w:eastAsia="zh-CN"/>
              </w:rPr>
              <w:t>局</w:t>
            </w:r>
          </w:p>
        </w:tc>
        <w:tc>
          <w:tcPr>
            <w:tcW w:w="2082" w:type="dxa"/>
            <w:vAlign w:val="center"/>
          </w:tcPr>
          <w:p w14:paraId="2175C17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依法限制失信被执行人参与政府投资项目或主要使用财政性资金项目</w:t>
            </w:r>
          </w:p>
        </w:tc>
        <w:tc>
          <w:tcPr>
            <w:tcW w:w="1131" w:type="dxa"/>
            <w:vAlign w:val="center"/>
          </w:tcPr>
          <w:p w14:paraId="0657B86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28C80E3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31050FA7">
            <w:pPr>
              <w:widowControl/>
              <w:spacing w:line="240" w:lineRule="auto"/>
              <w:ind w:firstLine="0" w:firstLineChars="0"/>
              <w:jc w:val="center"/>
              <w:rPr>
                <w:rFonts w:ascii="微软雅黑" w:hAnsi="微软雅黑" w:eastAsia="微软雅黑" w:cs="宋体"/>
                <w:kern w:val="0"/>
                <w:sz w:val="20"/>
                <w:szCs w:val="20"/>
              </w:rPr>
            </w:pPr>
          </w:p>
        </w:tc>
        <w:tc>
          <w:tcPr>
            <w:tcW w:w="1457" w:type="dxa"/>
            <w:shd w:val="clear" w:color="auto" w:fill="auto"/>
            <w:vAlign w:val="center"/>
          </w:tcPr>
          <w:p w14:paraId="3CF3061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41" w:type="dxa"/>
            <w:shd w:val="clear" w:color="auto" w:fill="auto"/>
            <w:vAlign w:val="center"/>
          </w:tcPr>
          <w:p w14:paraId="19A9290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317" w:type="dxa"/>
            <w:shd w:val="clear" w:color="auto" w:fill="auto"/>
            <w:vAlign w:val="center"/>
          </w:tcPr>
          <w:p w14:paraId="1C95EC4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政府投资项目审核概算并下达投资计划</w:t>
            </w:r>
          </w:p>
        </w:tc>
        <w:tc>
          <w:tcPr>
            <w:tcW w:w="1100" w:type="dxa"/>
            <w:tcBorders>
              <w:right w:val="single" w:color="auto" w:sz="4" w:space="0"/>
            </w:tcBorders>
            <w:shd w:val="clear" w:color="auto" w:fill="auto"/>
            <w:vAlign w:val="center"/>
          </w:tcPr>
          <w:p w14:paraId="099436C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83" w:type="dxa"/>
            <w:vMerge w:val="continue"/>
            <w:tcBorders>
              <w:top w:val="single" w:color="auto" w:sz="4" w:space="0"/>
              <w:left w:val="single" w:color="auto" w:sz="4" w:space="0"/>
              <w:bottom w:val="single" w:color="auto" w:sz="4" w:space="0"/>
              <w:right w:val="single" w:color="auto" w:sz="4" w:space="0"/>
            </w:tcBorders>
            <w:vAlign w:val="center"/>
          </w:tcPr>
          <w:p w14:paraId="1EBA69BB">
            <w:pPr>
              <w:widowControl/>
              <w:spacing w:line="240" w:lineRule="auto"/>
              <w:ind w:firstLine="0" w:firstLineChars="0"/>
              <w:jc w:val="center"/>
              <w:rPr>
                <w:rFonts w:ascii="微软雅黑" w:hAnsi="微软雅黑" w:eastAsia="微软雅黑" w:cs="宋体"/>
                <w:kern w:val="0"/>
                <w:sz w:val="20"/>
                <w:szCs w:val="20"/>
                <w:lang w:val="en-US" w:eastAsia="zh-CN" w:bidi="ar-SA"/>
              </w:rPr>
            </w:pPr>
          </w:p>
        </w:tc>
        <w:tc>
          <w:tcPr>
            <w:tcW w:w="3091" w:type="dxa"/>
            <w:gridSpan w:val="2"/>
            <w:tcBorders>
              <w:left w:val="single" w:color="auto" w:sz="4" w:space="0"/>
            </w:tcBorders>
            <w:vAlign w:val="center"/>
          </w:tcPr>
          <w:p w14:paraId="4EF007EA">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1.《中共中央国务院关于深化投融资体制改革的意见》（中发〔2016〕18号）第三部分；</w:t>
            </w:r>
          </w:p>
          <w:p w14:paraId="2C83A86E">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2.《国务院关于取消非行政许可审批事项的决定》（国发〔2015〕27号）附件2；</w:t>
            </w:r>
          </w:p>
          <w:p w14:paraId="16048AFA">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3.《河北省人民政府办公厅关于公布固定资产投资项目保留合并或并联办理行政许可和行政审批事项的通知》（冀政办〔2009〕25号）附件；</w:t>
            </w:r>
          </w:p>
          <w:p w14:paraId="69F4F8E7">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4.《河北省人民政府关于取消省政府部门非行政许可审批事项的决定》（冀政发〔2015〕38号）附件3；</w:t>
            </w:r>
          </w:p>
          <w:p w14:paraId="642AA27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5.《国务院关于投资体制改革的决定》（国发〔2004〕20号）第三部分。</w:t>
            </w:r>
          </w:p>
        </w:tc>
      </w:tr>
      <w:tr w14:paraId="1EA2C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700" w:type="dxa"/>
            <w:shd w:val="clear" w:color="auto" w:fill="auto"/>
            <w:vAlign w:val="center"/>
          </w:tcPr>
          <w:p w14:paraId="0303498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5</w:t>
            </w:r>
          </w:p>
        </w:tc>
        <w:tc>
          <w:tcPr>
            <w:tcW w:w="1078" w:type="dxa"/>
            <w:vAlign w:val="center"/>
          </w:tcPr>
          <w:p w14:paraId="3F82B5C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6734E1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60F8AFC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5C86C4E5">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发展和改革</w:t>
            </w:r>
            <w:r>
              <w:rPr>
                <w:rFonts w:hint="eastAsia" w:ascii="微软雅黑" w:hAnsi="微软雅黑" w:eastAsia="微软雅黑" w:cs="宋体"/>
                <w:kern w:val="0"/>
                <w:sz w:val="20"/>
                <w:szCs w:val="20"/>
                <w:lang w:val="en-US" w:eastAsia="zh-CN"/>
              </w:rPr>
              <w:t>局</w:t>
            </w:r>
          </w:p>
        </w:tc>
        <w:tc>
          <w:tcPr>
            <w:tcW w:w="2082" w:type="dxa"/>
            <w:vAlign w:val="center"/>
          </w:tcPr>
          <w:p w14:paraId="5EB56E5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协助限制失信被执行人申请补贴性资金</w:t>
            </w:r>
          </w:p>
        </w:tc>
        <w:tc>
          <w:tcPr>
            <w:tcW w:w="1131" w:type="dxa"/>
            <w:shd w:val="clear" w:color="auto" w:fill="auto"/>
            <w:vAlign w:val="center"/>
          </w:tcPr>
          <w:p w14:paraId="0BE991F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B782AC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5CDA907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《社会信用体系建设规划纲要（2014-2019年）》</w:t>
            </w:r>
          </w:p>
          <w:p w14:paraId="7B69174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2FDA993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457" w:type="dxa"/>
            <w:shd w:val="clear" w:color="auto" w:fill="auto"/>
            <w:vAlign w:val="center"/>
          </w:tcPr>
          <w:p w14:paraId="5EE7916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30240B4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41" w:type="dxa"/>
            <w:shd w:val="clear" w:color="auto" w:fill="auto"/>
            <w:vAlign w:val="center"/>
          </w:tcPr>
          <w:p w14:paraId="3112B08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317" w:type="dxa"/>
            <w:shd w:val="clear" w:color="auto" w:fill="auto"/>
            <w:vAlign w:val="center"/>
          </w:tcPr>
          <w:p w14:paraId="6E5BF45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投资总额3000万美元及以上鼓励类外资项目进口设备免税确认初审</w:t>
            </w:r>
          </w:p>
        </w:tc>
        <w:tc>
          <w:tcPr>
            <w:tcW w:w="1100" w:type="dxa"/>
            <w:shd w:val="clear" w:color="auto" w:fill="auto"/>
            <w:vAlign w:val="center"/>
          </w:tcPr>
          <w:p w14:paraId="1D9C4C7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83" w:type="dxa"/>
            <w:shd w:val="clear" w:color="auto" w:fill="auto"/>
            <w:vAlign w:val="center"/>
          </w:tcPr>
          <w:p w14:paraId="31ABFC2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91" w:type="dxa"/>
            <w:gridSpan w:val="2"/>
            <w:shd w:val="clear" w:color="auto" w:fill="auto"/>
            <w:vAlign w:val="center"/>
          </w:tcPr>
          <w:p w14:paraId="036D733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1.《国家发展改革委关于办理外商投资项目&lt;国家鼓励发展的内外资项目确认书&gt;有关问题的通知》（发改外资</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2006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316号）第一部分第（二）条；</w:t>
            </w:r>
          </w:p>
          <w:p w14:paraId="6D4813E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2.《国务院关于调整进口设备税收政策的通知》（国发〔1997〕37号）第二部分。</w:t>
            </w:r>
          </w:p>
        </w:tc>
      </w:tr>
      <w:tr w14:paraId="71037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700" w:type="dxa"/>
            <w:shd w:val="clear" w:color="auto" w:fill="auto"/>
            <w:vAlign w:val="center"/>
          </w:tcPr>
          <w:p w14:paraId="2A38739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6</w:t>
            </w:r>
          </w:p>
        </w:tc>
        <w:tc>
          <w:tcPr>
            <w:tcW w:w="1078" w:type="dxa"/>
            <w:vAlign w:val="center"/>
          </w:tcPr>
          <w:p w14:paraId="0826E1B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305B38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628ADB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03CEE17E">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发展和改革</w:t>
            </w:r>
            <w:r>
              <w:rPr>
                <w:rFonts w:hint="eastAsia" w:ascii="微软雅黑" w:hAnsi="微软雅黑" w:eastAsia="微软雅黑" w:cs="宋体"/>
                <w:kern w:val="0"/>
                <w:sz w:val="20"/>
                <w:szCs w:val="20"/>
                <w:lang w:val="en-US" w:eastAsia="zh-CN"/>
              </w:rPr>
              <w:t>局</w:t>
            </w:r>
          </w:p>
        </w:tc>
        <w:tc>
          <w:tcPr>
            <w:tcW w:w="2082" w:type="dxa"/>
            <w:vAlign w:val="center"/>
          </w:tcPr>
          <w:p w14:paraId="2E61DE0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在审批投资、进出口、科技、税务等政策支持的申请时，查询相关机构及其法定代表人、实际控制人、董事、监事、高级管理人员是否为失信被执行人，作为其享受该政策的审慎性参考</w:t>
            </w:r>
          </w:p>
        </w:tc>
        <w:tc>
          <w:tcPr>
            <w:tcW w:w="1131" w:type="dxa"/>
            <w:shd w:val="clear" w:color="auto" w:fill="auto"/>
            <w:vAlign w:val="center"/>
          </w:tcPr>
          <w:p w14:paraId="238E04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43E71C1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67" w:type="dxa"/>
            <w:shd w:val="clear" w:color="auto" w:fill="auto"/>
            <w:vAlign w:val="center"/>
          </w:tcPr>
          <w:p w14:paraId="7D07CAA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《社会信用体系建设规划纲要（2014-2020年）》</w:t>
            </w:r>
          </w:p>
          <w:p w14:paraId="7FFFB61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第五部分第一条 完善以奖惩制度为重点的社会信用体系运行机制</w:t>
            </w:r>
          </w:p>
          <w:p w14:paraId="7A288BD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运行机制是保障社会信用体系各系统协调运行的制度基础。其中，守信激励和失信惩戒机制直接作用于各个社会主体信用行为，是社会信用体系运行的核心机制。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（一）构建守信激励和失信惩戒机制。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加强对守信主体的奖励和激励。加大对守信行为的表彰和宣传力度。按规定对诚信企业和模范个人给予表彰，通过新闻媒体广泛宣传，营造守信光荣的舆论氛围。发展改革、财政、金融、环境保护、住房城乡建设、交通运输、商务、工商、税务、质检、安全监管、海关、知识产权等部门，在</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场监管和公共服务过程中，要深化信用信息和信用产品的应用，对诚实守信者实行优先办理、简化程序等“绿色通道”支持激励政策。</w:t>
            </w:r>
          </w:p>
        </w:tc>
        <w:tc>
          <w:tcPr>
            <w:tcW w:w="1457" w:type="dxa"/>
            <w:shd w:val="clear" w:color="auto" w:fill="auto"/>
            <w:vAlign w:val="center"/>
          </w:tcPr>
          <w:p w14:paraId="120CE17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1617B70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41" w:type="dxa"/>
            <w:shd w:val="clear" w:color="auto" w:fill="auto"/>
            <w:vAlign w:val="center"/>
          </w:tcPr>
          <w:p w14:paraId="65A6615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317" w:type="dxa"/>
            <w:shd w:val="clear" w:color="auto" w:fill="auto"/>
            <w:vAlign w:val="center"/>
          </w:tcPr>
          <w:p w14:paraId="7643A82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投资总额3000万美元及以上鼓励类外资项目进口设备免税确认初审</w:t>
            </w:r>
          </w:p>
        </w:tc>
        <w:tc>
          <w:tcPr>
            <w:tcW w:w="1100" w:type="dxa"/>
            <w:shd w:val="clear" w:color="auto" w:fill="auto"/>
            <w:vAlign w:val="center"/>
          </w:tcPr>
          <w:p w14:paraId="19CE626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83" w:type="dxa"/>
            <w:vAlign w:val="center"/>
          </w:tcPr>
          <w:p w14:paraId="688BCBC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91" w:type="dxa"/>
            <w:gridSpan w:val="2"/>
            <w:vAlign w:val="center"/>
          </w:tcPr>
          <w:p w14:paraId="4426ADB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1.《国家发展改革委关于办理外商投资项目&lt;国家鼓励发展的内外资项目确认书&gt;有关问题的通知》（发改外资〔2006〕316号）第一部分第（二）条；</w:t>
            </w:r>
          </w:p>
          <w:p w14:paraId="57CCA6F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2.《国务院关于调整进口设备税收政策的通知》（国发〔1997〕37号）第二部分。</w:t>
            </w:r>
          </w:p>
        </w:tc>
      </w:tr>
    </w:tbl>
    <w:p w14:paraId="35A944AE">
      <w:pPr>
        <w:ind w:firstLine="0" w:firstLineChars="0"/>
      </w:pP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108"/>
        <w:gridCol w:w="1450"/>
        <w:gridCol w:w="1150"/>
        <w:gridCol w:w="2317"/>
        <w:gridCol w:w="1083"/>
        <w:gridCol w:w="900"/>
        <w:gridCol w:w="3033"/>
      </w:tblGrid>
      <w:tr w14:paraId="4B82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51658CC9">
            <w:pPr>
              <w:pStyle w:val="2"/>
              <w:rPr>
                <w:rFonts w:hint="eastAsia"/>
              </w:rPr>
            </w:pPr>
            <w:bookmarkStart w:id="9" w:name="_Toc20473850"/>
          </w:p>
          <w:p w14:paraId="5C5C83D6">
            <w:pPr>
              <w:pStyle w:val="2"/>
              <w:rPr>
                <w:rFonts w:hint="eastAsia" w:eastAsia="华文中宋"/>
                <w:lang w:eastAsia="zh-CN"/>
              </w:rPr>
            </w:pPr>
            <w:r>
              <w:rPr>
                <w:rFonts w:hint="eastAsia"/>
              </w:rPr>
              <w:t>1</w:t>
            </w:r>
            <w:r>
              <w:rPr>
                <w:rFonts w:hint="eastAsia"/>
                <w:lang w:val="en-US" w:eastAsia="zh-CN"/>
              </w:rPr>
              <w:t>0</w:t>
            </w:r>
            <w:r>
              <w:rPr>
                <w:rFonts w:hint="eastAsia"/>
              </w:rPr>
              <w:t>、</w:t>
            </w:r>
            <w:r>
              <w:rPr>
                <w:rFonts w:hint="eastAsia"/>
                <w:lang w:eastAsia="zh-CN"/>
              </w:rPr>
              <w:t>县</w:t>
            </w:r>
            <w:r>
              <w:rPr>
                <w:rFonts w:hint="eastAsia"/>
              </w:rPr>
              <w:t>教育</w:t>
            </w:r>
            <w:bookmarkEnd w:id="9"/>
            <w:r>
              <w:rPr>
                <w:rFonts w:hint="eastAsia"/>
                <w:lang w:eastAsia="zh-CN"/>
              </w:rPr>
              <w:t>局</w:t>
            </w:r>
          </w:p>
        </w:tc>
      </w:tr>
      <w:tr w14:paraId="6188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2445F3F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19" w:type="dxa"/>
            <w:gridSpan w:val="9"/>
            <w:tcBorders>
              <w:bottom w:val="single" w:color="auto" w:sz="4" w:space="0"/>
            </w:tcBorders>
            <w:shd w:val="clear" w:color="000000" w:fill="D6DCE4"/>
            <w:vAlign w:val="center"/>
          </w:tcPr>
          <w:p w14:paraId="5AAD265C">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83" w:type="dxa"/>
            <w:gridSpan w:val="5"/>
            <w:tcBorders>
              <w:bottom w:val="single" w:color="auto" w:sz="4" w:space="0"/>
            </w:tcBorders>
            <w:shd w:val="clear" w:color="000000" w:fill="D6DCE4"/>
            <w:vAlign w:val="center"/>
          </w:tcPr>
          <w:p w14:paraId="3962A511">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16F8C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tcBorders>
              <w:bottom w:val="single" w:color="auto" w:sz="4" w:space="0"/>
            </w:tcBorders>
            <w:shd w:val="clear" w:color="000000" w:fill="D6DCE4"/>
            <w:vAlign w:val="center"/>
          </w:tcPr>
          <w:p w14:paraId="4A7D9AA8">
            <w:pPr>
              <w:widowControl/>
              <w:spacing w:line="240" w:lineRule="auto"/>
              <w:ind w:firstLine="0" w:firstLineChars="0"/>
              <w:jc w:val="center"/>
              <w:rPr>
                <w:rFonts w:ascii="微软雅黑" w:hAnsi="微软雅黑" w:eastAsia="微软雅黑" w:cs="宋体"/>
                <w:b/>
                <w:bCs/>
                <w:kern w:val="0"/>
                <w:sz w:val="20"/>
                <w:szCs w:val="20"/>
              </w:rPr>
            </w:pPr>
          </w:p>
        </w:tc>
        <w:tc>
          <w:tcPr>
            <w:tcW w:w="1078" w:type="dxa"/>
            <w:tcBorders>
              <w:bottom w:val="single" w:color="auto" w:sz="4" w:space="0"/>
            </w:tcBorders>
            <w:shd w:val="clear" w:color="000000" w:fill="D6DCE4"/>
            <w:vAlign w:val="center"/>
          </w:tcPr>
          <w:p w14:paraId="597DDE5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tcBorders>
              <w:bottom w:val="single" w:color="auto" w:sz="4" w:space="0"/>
            </w:tcBorders>
            <w:shd w:val="clear" w:color="000000" w:fill="D6DCE4"/>
            <w:vAlign w:val="center"/>
          </w:tcPr>
          <w:p w14:paraId="63E0350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tcBorders>
              <w:bottom w:val="single" w:color="auto" w:sz="4" w:space="0"/>
            </w:tcBorders>
            <w:shd w:val="clear" w:color="000000" w:fill="D6DCE4"/>
            <w:vAlign w:val="center"/>
          </w:tcPr>
          <w:p w14:paraId="4EBF70F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tcBorders>
              <w:bottom w:val="single" w:color="auto" w:sz="4" w:space="0"/>
            </w:tcBorders>
            <w:shd w:val="clear" w:color="000000" w:fill="D6DCE4"/>
            <w:vAlign w:val="center"/>
          </w:tcPr>
          <w:p w14:paraId="25053AF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tcBorders>
              <w:bottom w:val="single" w:color="auto" w:sz="4" w:space="0"/>
            </w:tcBorders>
            <w:shd w:val="clear" w:color="000000" w:fill="D6DCE4"/>
            <w:vAlign w:val="center"/>
          </w:tcPr>
          <w:p w14:paraId="514B3CE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tcBorders>
              <w:bottom w:val="single" w:color="auto" w:sz="4" w:space="0"/>
            </w:tcBorders>
            <w:shd w:val="clear" w:color="000000" w:fill="D6DCE4"/>
            <w:vAlign w:val="center"/>
          </w:tcPr>
          <w:p w14:paraId="3C314C6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tcBorders>
              <w:bottom w:val="single" w:color="auto" w:sz="4" w:space="0"/>
            </w:tcBorders>
            <w:shd w:val="clear" w:color="000000" w:fill="D6DCE4"/>
            <w:vAlign w:val="center"/>
          </w:tcPr>
          <w:p w14:paraId="1EA7CDF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108" w:type="dxa"/>
            <w:tcBorders>
              <w:bottom w:val="single" w:color="auto" w:sz="4" w:space="0"/>
            </w:tcBorders>
            <w:shd w:val="clear" w:color="000000" w:fill="D6DCE4"/>
            <w:vAlign w:val="center"/>
          </w:tcPr>
          <w:p w14:paraId="5DCCB13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50" w:type="dxa"/>
            <w:tcBorders>
              <w:bottom w:val="single" w:color="auto" w:sz="4" w:space="0"/>
            </w:tcBorders>
            <w:shd w:val="clear" w:color="000000" w:fill="D6DCE4"/>
            <w:vAlign w:val="center"/>
          </w:tcPr>
          <w:p w14:paraId="6A79A58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50" w:type="dxa"/>
            <w:tcBorders>
              <w:bottom w:val="single" w:color="auto" w:sz="4" w:space="0"/>
            </w:tcBorders>
            <w:shd w:val="clear" w:color="000000" w:fill="D6DCE4"/>
            <w:vAlign w:val="center"/>
          </w:tcPr>
          <w:p w14:paraId="11319B2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317" w:type="dxa"/>
            <w:tcBorders>
              <w:bottom w:val="single" w:color="auto" w:sz="4" w:space="0"/>
            </w:tcBorders>
            <w:shd w:val="clear" w:color="000000" w:fill="D6DCE4"/>
            <w:vAlign w:val="center"/>
          </w:tcPr>
          <w:p w14:paraId="3188AF1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83" w:type="dxa"/>
            <w:tcBorders>
              <w:bottom w:val="single" w:color="auto" w:sz="4" w:space="0"/>
            </w:tcBorders>
            <w:shd w:val="clear" w:color="000000" w:fill="D6DCE4"/>
            <w:vAlign w:val="center"/>
          </w:tcPr>
          <w:p w14:paraId="7CBE8A1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00" w:type="dxa"/>
            <w:tcBorders>
              <w:bottom w:val="single" w:color="auto" w:sz="4" w:space="0"/>
            </w:tcBorders>
            <w:shd w:val="clear" w:color="000000" w:fill="D6DCE4"/>
            <w:vAlign w:val="center"/>
          </w:tcPr>
          <w:p w14:paraId="1161A2C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33" w:type="dxa"/>
            <w:tcBorders>
              <w:bottom w:val="single" w:color="auto" w:sz="4" w:space="0"/>
            </w:tcBorders>
            <w:shd w:val="clear" w:color="000000" w:fill="D6DCE4"/>
            <w:vAlign w:val="center"/>
          </w:tcPr>
          <w:p w14:paraId="1565988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2F48E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14:paraId="322309E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14:paraId="308007B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14:paraId="4BB488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6DD2B8B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7D12ECF5">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教育</w:t>
            </w:r>
            <w:r>
              <w:rPr>
                <w:rFonts w:hint="eastAsia" w:ascii="微软雅黑" w:hAnsi="微软雅黑" w:eastAsia="微软雅黑" w:cs="宋体"/>
                <w:kern w:val="0"/>
                <w:sz w:val="20"/>
                <w:szCs w:val="20"/>
                <w:lang w:eastAsia="zh-CN"/>
              </w:rPr>
              <w:t>局</w:t>
            </w:r>
          </w:p>
        </w:tc>
        <w:tc>
          <w:tcPr>
            <w:tcW w:w="2082" w:type="dxa"/>
            <w:tcBorders>
              <w:top w:val="single" w:color="auto" w:sz="4" w:space="0"/>
              <w:left w:val="single" w:color="auto" w:sz="4" w:space="0"/>
              <w:bottom w:val="single" w:color="auto" w:sz="4" w:space="0"/>
              <w:right w:val="single" w:color="auto" w:sz="4" w:space="0"/>
            </w:tcBorders>
            <w:shd w:val="clear" w:color="auto" w:fill="auto"/>
            <w:vAlign w:val="center"/>
          </w:tcPr>
          <w:p w14:paraId="7DA1DD0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限制失信被执行人及失信被执行人的法定代表人、主要负责人、影响债务履行的直接责任人员、实际控制人以其财产支付子女就读高收费私立学校</w:t>
            </w:r>
          </w:p>
        </w:tc>
        <w:tc>
          <w:tcPr>
            <w:tcW w:w="1131" w:type="dxa"/>
            <w:tcBorders>
              <w:top w:val="single" w:color="auto" w:sz="4" w:space="0"/>
              <w:left w:val="single" w:color="auto" w:sz="4" w:space="0"/>
              <w:bottom w:val="single" w:color="auto" w:sz="4" w:space="0"/>
              <w:right w:val="single" w:color="auto" w:sz="4" w:space="0"/>
            </w:tcBorders>
            <w:shd w:val="clear" w:color="auto" w:fill="auto"/>
            <w:vAlign w:val="center"/>
          </w:tcPr>
          <w:p w14:paraId="369B20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场性</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0169C0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08" w:type="dxa"/>
            <w:tcBorders>
              <w:top w:val="single" w:color="auto" w:sz="4" w:space="0"/>
              <w:left w:val="single" w:color="auto" w:sz="4" w:space="0"/>
              <w:bottom w:val="single" w:color="auto" w:sz="4" w:space="0"/>
              <w:right w:val="single" w:color="auto" w:sz="4" w:space="0"/>
            </w:tcBorders>
            <w:shd w:val="clear" w:color="auto" w:fill="auto"/>
            <w:vAlign w:val="center"/>
          </w:tcPr>
          <w:p w14:paraId="6EDC127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14:paraId="6A0BEB3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50" w:type="dxa"/>
            <w:tcBorders>
              <w:top w:val="single" w:color="auto" w:sz="4" w:space="0"/>
              <w:left w:val="single" w:color="auto" w:sz="4" w:space="0"/>
              <w:bottom w:val="single" w:color="auto" w:sz="4" w:space="0"/>
              <w:right w:val="single" w:color="auto" w:sz="4" w:space="0"/>
            </w:tcBorders>
            <w:shd w:val="clear" w:color="auto" w:fill="auto"/>
            <w:vAlign w:val="center"/>
          </w:tcPr>
          <w:p w14:paraId="737DD92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317" w:type="dxa"/>
            <w:tcBorders>
              <w:top w:val="single" w:color="auto" w:sz="4" w:space="0"/>
              <w:left w:val="single" w:color="auto" w:sz="4" w:space="0"/>
              <w:bottom w:val="single" w:color="auto" w:sz="4" w:space="0"/>
              <w:right w:val="single" w:color="auto" w:sz="4" w:space="0"/>
            </w:tcBorders>
            <w:shd w:val="clear" w:color="auto" w:fill="auto"/>
            <w:vAlign w:val="center"/>
          </w:tcPr>
          <w:p w14:paraId="74362D1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452D1A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78203F60">
            <w:pPr>
              <w:widowControl/>
              <w:spacing w:line="240" w:lineRule="auto"/>
              <w:ind w:firstLine="0" w:firstLineChars="0"/>
              <w:jc w:val="center"/>
              <w:rPr>
                <w:rFonts w:ascii="微软雅黑" w:hAnsi="微软雅黑" w:eastAsia="微软雅黑" w:cs="宋体"/>
                <w:kern w:val="0"/>
                <w:sz w:val="20"/>
                <w:szCs w:val="20"/>
              </w:rPr>
            </w:pPr>
          </w:p>
        </w:tc>
        <w:tc>
          <w:tcPr>
            <w:tcW w:w="3033" w:type="dxa"/>
            <w:tcBorders>
              <w:left w:val="single" w:color="auto" w:sz="4" w:space="0"/>
              <w:bottom w:val="single" w:color="auto" w:sz="4" w:space="0"/>
            </w:tcBorders>
            <w:shd w:val="clear" w:color="auto" w:fill="auto"/>
            <w:vAlign w:val="center"/>
          </w:tcPr>
          <w:p w14:paraId="47B6E4A0">
            <w:pPr>
              <w:widowControl/>
              <w:spacing w:line="240" w:lineRule="auto"/>
              <w:ind w:firstLine="0" w:firstLineChars="0"/>
              <w:rPr>
                <w:rFonts w:ascii="微软雅黑" w:hAnsi="微软雅黑" w:eastAsia="微软雅黑" w:cs="宋体"/>
                <w:kern w:val="0"/>
                <w:sz w:val="20"/>
                <w:szCs w:val="20"/>
              </w:rPr>
            </w:pPr>
          </w:p>
        </w:tc>
      </w:tr>
      <w:tr w14:paraId="7431C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0" w:hRule="atLeast"/>
          <w:jc w:val="center"/>
        </w:trPr>
        <w:tc>
          <w:tcPr>
            <w:tcW w:w="22102" w:type="dxa"/>
            <w:gridSpan w:val="15"/>
            <w:tcBorders>
              <w:top w:val="single" w:color="auto" w:sz="4" w:space="0"/>
              <w:left w:val="single" w:color="auto" w:sz="4" w:space="0"/>
              <w:bottom w:val="single" w:color="auto" w:sz="4" w:space="0"/>
            </w:tcBorders>
            <w:shd w:val="clear" w:color="auto" w:fill="auto"/>
            <w:vAlign w:val="center"/>
          </w:tcPr>
          <w:p w14:paraId="2326F5B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5A4652E2">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2.《最高人民法院关于限制被执行人高消费及有关消费的若干规定》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被执行人为自然人的，被采取限制消费措施后，不得有以下高消费及非生活和工作必需的消费行为：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（一）乘坐交通工具时，选择飞机、列车软卧、轮船二等以上舱位；</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（二）在星级以上宾馆、酒店、夜总会、高尔夫球场等场所进行高消费；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（三）购买不动产或者新建、扩建、高档装修房屋；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（四）租赁高档写字楼、宾馆、公寓等场所办公；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（五）购买非经营必需车辆；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（六）旅游、度假；</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（七）子女就读高收费私立学校；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（八）支付高额保费购买保险理财产品；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（九）乘坐G字头动车组列车全部座位、其他动车组列车一等以上座位等其他非生活和工作必需的消费行为。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人民法院决定采取限制消费措施的，可以根据案件需要和被执行人的情况向有义务协助调查、执行的单位送达协助执行通知书，也可以在相关媒体上进行公告。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被限制消费的被执行人因生活或者经营必需而进行本规定禁止的消费活动的，应当向人民法院提出申请，获批准后方可进行。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有关单位在收到人民法院协助执行通知书后，仍允许被执行人进行高消费及非生活或者经营必需的有关消费的，人民法院可以依照《中华人民共和国民事诉讼法》第一百一十四条的规定，追究其法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3.《不动产登记暂行条例》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本条例所称不动产登记，是指不动产登记机构依法将不动产权利归属和其他法定事项记载于不动产登记簿的行为。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本条例所称不动产，是指土地、海域以及房屋、林木等定着物。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不动产登记由不动产所在地的县级人民政府不动产登记机构办理；直辖</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、设区的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人民政府可以确定本级不动产登记机构统一办理所属各区的不动产登记。</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跨县级行政区域的不动产登记，由所跨县级行政区域的不动产登记机构分别办理。不能分别办理的，由所跨县级行政区域的不动产登记机构协商办理；协商不成的，由共同的上一级人民政府不动产登记主管部门指定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国务院确定的重点国有林区的森林、林木和林地，国务院批准项目用海、用岛，中央国家机关使用的国有土地等不动产登记，由国务院国土资源主管部门会同有关部门规定。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第十二条 住房和城乡建设管理部门应当协助人民法院及时查询有关房屋权属登记、变更、抵押等情况，协助人民法院及时办理房屋查封、预查封和轮候查封及转移登记手续，并将有关情况及时告知人民法院。被执行人正在办理房屋所有权转移登记等手续的，根据人民法院协助执行通知书的要求，停止办理相关手续。轮候查封的人民法院违法要求协助办理房屋登记手续的，依法不予办理。债权人持生效法律文书申请办理房屋转移登记手续的，依法予以办理。协助人民法院查询有关工程项目的规划审批情况，向人民法院提供必要的经批准的规划文件和规划图纸等资料。被执行人正在申请办理涉案项目规划审批手续的，根据人民法院协助执行通知书的要求，停止办理相关手续。将房地产、建筑企业不依法履行生效法律文书义务的情况，记入房地产和建筑</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场信用档案，向社会披露有关信息。对拖欠房屋拆迁补偿安置资金的被执行人，依法采取制裁措施。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5.《最高人民法院、国土资源部、建设部关于依法规范人民法院执行和国土资源房地产管理部门协助执行若干问题的通知》（法发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2004</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5号）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国土资源、房地产管理部门依法协助人民法院执行时，除复制有关材料所必需的工本费外，不得向人民法院收取其他费用。登记过户的费用按照国家有关规定收取。</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人民法院执行人员到国土资源、房地产管理部门查询土地、房屋权属情况时，应当出示本人工作证和执行公务证，并出具协助查询通知书。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人民法院执行人员到国土资源、房地产管理部门办理土地使用权或者房屋查封、预查封登记手续时，应当出示本人工作证和执行公务证，并出具查封、预查封裁定书和协助执行通知书。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案室（馆）加盖印章。无法查询或者查询无结果的，国土资源、房地产管理部门应当书面告知人民法院。</w:t>
            </w:r>
          </w:p>
        </w:tc>
      </w:tr>
    </w:tbl>
    <w:p w14:paraId="6588629F">
      <w:pPr>
        <w:ind w:firstLine="640"/>
      </w:pPr>
      <w:r>
        <w:rPr>
          <w:bCs/>
        </w:rPr>
        <w:br w:type="page"/>
      </w:r>
    </w:p>
    <w:p w14:paraId="3A986481">
      <w:pPr>
        <w:ind w:firstLine="640"/>
      </w:pP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116"/>
        <w:gridCol w:w="1450"/>
        <w:gridCol w:w="1150"/>
        <w:gridCol w:w="2275"/>
        <w:gridCol w:w="1150"/>
        <w:gridCol w:w="875"/>
        <w:gridCol w:w="3025"/>
      </w:tblGrid>
      <w:tr w14:paraId="3CC5C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00545DBE">
            <w:pPr>
              <w:pStyle w:val="2"/>
              <w:rPr>
                <w:rFonts w:hint="eastAsia" w:eastAsia="华文中宋"/>
                <w:lang w:eastAsia="zh-CN"/>
              </w:rPr>
            </w:pPr>
            <w:bookmarkStart w:id="10" w:name="_Toc20473853"/>
            <w:r>
              <w:rPr>
                <w:rFonts w:hint="eastAsia"/>
              </w:rPr>
              <w:t>1</w:t>
            </w:r>
            <w:r>
              <w:rPr>
                <w:rFonts w:hint="eastAsia"/>
                <w:lang w:val="en-US" w:eastAsia="zh-CN"/>
              </w:rPr>
              <w:t>1</w:t>
            </w:r>
            <w:r>
              <w:rPr>
                <w:rFonts w:hint="eastAsia"/>
              </w:rPr>
              <w:t>、</w:t>
            </w:r>
            <w:r>
              <w:rPr>
                <w:rFonts w:hint="eastAsia"/>
                <w:lang w:eastAsia="zh-CN"/>
              </w:rPr>
              <w:t>县</w:t>
            </w:r>
            <w:r>
              <w:rPr>
                <w:rFonts w:hint="eastAsia"/>
              </w:rPr>
              <w:t>公安</w:t>
            </w:r>
            <w:bookmarkEnd w:id="10"/>
            <w:r>
              <w:rPr>
                <w:rFonts w:hint="eastAsia"/>
                <w:lang w:eastAsia="zh-CN"/>
              </w:rPr>
              <w:t>局</w:t>
            </w:r>
          </w:p>
        </w:tc>
      </w:tr>
      <w:tr w14:paraId="3FF96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5A583C1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27" w:type="dxa"/>
            <w:gridSpan w:val="9"/>
            <w:shd w:val="clear" w:color="000000" w:fill="D6DCE4"/>
            <w:vAlign w:val="center"/>
          </w:tcPr>
          <w:p w14:paraId="6075DA95">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75" w:type="dxa"/>
            <w:gridSpan w:val="5"/>
            <w:shd w:val="clear" w:color="000000" w:fill="D6DCE4"/>
            <w:vAlign w:val="center"/>
          </w:tcPr>
          <w:p w14:paraId="01FB873B">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41B3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18592B09">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20DD1B0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375223A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01369B8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3A8D115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72ABF3A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4611C01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7774DBF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116" w:type="dxa"/>
            <w:shd w:val="clear" w:color="000000" w:fill="D6DCE4"/>
            <w:vAlign w:val="center"/>
          </w:tcPr>
          <w:p w14:paraId="1E8B4C5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50" w:type="dxa"/>
            <w:shd w:val="clear" w:color="000000" w:fill="D6DCE4"/>
            <w:vAlign w:val="center"/>
          </w:tcPr>
          <w:p w14:paraId="1F14D36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50" w:type="dxa"/>
            <w:shd w:val="clear" w:color="000000" w:fill="D6DCE4"/>
            <w:vAlign w:val="center"/>
          </w:tcPr>
          <w:p w14:paraId="440A3F3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75" w:type="dxa"/>
            <w:shd w:val="clear" w:color="000000" w:fill="D6DCE4"/>
            <w:vAlign w:val="center"/>
          </w:tcPr>
          <w:p w14:paraId="77FEE5B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50" w:type="dxa"/>
            <w:shd w:val="clear" w:color="000000" w:fill="D6DCE4"/>
            <w:vAlign w:val="center"/>
          </w:tcPr>
          <w:p w14:paraId="5BC57E0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875" w:type="dxa"/>
            <w:shd w:val="clear" w:color="000000" w:fill="D6DCE4"/>
            <w:vAlign w:val="center"/>
          </w:tcPr>
          <w:p w14:paraId="3B45325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25" w:type="dxa"/>
            <w:shd w:val="clear" w:color="000000" w:fill="D6DCE4"/>
            <w:vAlign w:val="center"/>
          </w:tcPr>
          <w:p w14:paraId="026EB22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30585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700" w:type="dxa"/>
            <w:shd w:val="clear" w:color="auto" w:fill="auto"/>
            <w:vAlign w:val="center"/>
          </w:tcPr>
          <w:p w14:paraId="45A4BFE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1E049F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DA27D2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FAE9D9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770ECDB6">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公安</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5C4E0D8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限制失信被执行人及失信被执行人的法定代表人、主要负责人、影响债务履行的直接责任人员、实际控制人住宿星级以上宾馆、酒店及其他高等级、高消费宾馆、酒店；限制在夜总会、高尔夫球场消费</w:t>
            </w:r>
          </w:p>
        </w:tc>
        <w:tc>
          <w:tcPr>
            <w:tcW w:w="1131" w:type="dxa"/>
            <w:shd w:val="clear" w:color="auto" w:fill="auto"/>
            <w:vAlign w:val="center"/>
          </w:tcPr>
          <w:p w14:paraId="4E61F8C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场性</w:t>
            </w:r>
          </w:p>
        </w:tc>
        <w:tc>
          <w:tcPr>
            <w:tcW w:w="1134" w:type="dxa"/>
            <w:shd w:val="clear" w:color="auto" w:fill="auto"/>
            <w:vAlign w:val="center"/>
          </w:tcPr>
          <w:p w14:paraId="56263A0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16" w:type="dxa"/>
            <w:shd w:val="clear" w:color="auto" w:fill="auto"/>
            <w:vAlign w:val="center"/>
          </w:tcPr>
          <w:p w14:paraId="28E4EE7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50" w:type="dxa"/>
            <w:shd w:val="clear" w:color="auto" w:fill="auto"/>
            <w:vAlign w:val="center"/>
          </w:tcPr>
          <w:p w14:paraId="39C40EA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50" w:type="dxa"/>
            <w:shd w:val="clear" w:color="auto" w:fill="auto"/>
            <w:vAlign w:val="center"/>
          </w:tcPr>
          <w:p w14:paraId="316ECB4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75" w:type="dxa"/>
            <w:shd w:val="clear" w:color="auto" w:fill="auto"/>
            <w:vAlign w:val="center"/>
          </w:tcPr>
          <w:p w14:paraId="3C96D2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50" w:type="dxa"/>
            <w:shd w:val="clear" w:color="auto" w:fill="auto"/>
            <w:vAlign w:val="center"/>
          </w:tcPr>
          <w:p w14:paraId="457DE77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75" w:type="dxa"/>
            <w:shd w:val="clear" w:color="auto" w:fill="auto"/>
            <w:vAlign w:val="center"/>
          </w:tcPr>
          <w:p w14:paraId="76319C21">
            <w:pPr>
              <w:widowControl/>
              <w:spacing w:line="240" w:lineRule="auto"/>
              <w:ind w:firstLine="0" w:firstLineChars="0"/>
              <w:jc w:val="center"/>
              <w:rPr>
                <w:rFonts w:ascii="微软雅黑" w:hAnsi="微软雅黑" w:eastAsia="微软雅黑" w:cs="宋体"/>
                <w:kern w:val="0"/>
                <w:sz w:val="20"/>
                <w:szCs w:val="20"/>
              </w:rPr>
            </w:pPr>
          </w:p>
        </w:tc>
        <w:tc>
          <w:tcPr>
            <w:tcW w:w="3025" w:type="dxa"/>
            <w:shd w:val="clear" w:color="auto" w:fill="auto"/>
            <w:vAlign w:val="center"/>
          </w:tcPr>
          <w:p w14:paraId="624A38FD">
            <w:pPr>
              <w:widowControl/>
              <w:spacing w:line="240" w:lineRule="auto"/>
              <w:ind w:firstLine="0" w:firstLineChars="0"/>
              <w:rPr>
                <w:rFonts w:ascii="微软雅黑" w:hAnsi="微软雅黑" w:eastAsia="微软雅黑" w:cs="宋体"/>
                <w:kern w:val="0"/>
                <w:sz w:val="20"/>
                <w:szCs w:val="20"/>
              </w:rPr>
            </w:pPr>
          </w:p>
        </w:tc>
      </w:tr>
      <w:tr w14:paraId="1D1C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22102" w:type="dxa"/>
            <w:gridSpan w:val="15"/>
            <w:shd w:val="clear" w:color="auto" w:fill="auto"/>
            <w:vAlign w:val="center"/>
          </w:tcPr>
          <w:p w14:paraId="17C9A50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588F0032">
            <w:pPr>
              <w:widowControl/>
              <w:numPr>
                <w:ilvl w:val="0"/>
                <w:numId w:val="1"/>
              </w:numPr>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2.《最高人民法院关于限制被执行人高消费及有关消费的若干规定》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被执行人为自然人的，被采取限制消费措施后，不得有以下高消费及非生活和工作必需的消费行为：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（一）乘坐交通工具时，选择飞机、列车软卧、轮船二等以上舱位；</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（二）在星级以上宾馆、酒店、夜总会、高尔夫球场等场所进行高消费；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（三）购买不动产或者新建、扩建、高档装修房屋；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（四）租赁高档写字楼、宾馆、公寓等场所办公；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（五）购买非经营必需车辆；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（六）旅游、度假；</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（七）子女就读高收费私立学校；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（八）支付高额保费购买保险理财产品；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（九）乘坐G字头动车组列车全部座位、其他动车组列车一等以上座位等其他非生活和工作必需的消费行为。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人民法院决定采取限制消费措施的，可以根据案件需要和被执行人的情况向有义务协助调查、执行的单位送达协助执行通知书，也可以在相关媒体上进行公告。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被限制消费的被执行人因生活或者经营必需而进行本规定禁止的消费活动的，应当向人民法院提出申请，获批准后方可进行。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有关单位在收到人民法院协助执行通知书后，仍允许被执行人进行高消费及非生活或者经营必需的有关消费的，人民法院可以依照《中华人民共和国民事诉讼法》第一百一十四条的规定，追究其法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3.《不动产登记暂行条例》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本条例所称不动产登记，是指不动产登记机构依法将不动产权利归属和其他法定事项记载于不动产登记簿的行为。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本条例所称不动产，是指土地、海域以及房屋、林木等定着物。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不动产登记由不动产所在地的县级人民政府不动产登记机构办理；直辖</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、设区的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人民政府可以确定本级不动产登记机构统一办理所属各区的不动产登记。</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跨县级行政区域的不动产登记，由所跨县级行政区域的不动产登记机构分别办理。不能分别办理的，由所跨县级行政区域的不动产登记机构协商办理；协商不成的，由共同的上一级人民政府不动产登记主管部门指定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国务院确定的重点国有林区的森林、林木和林地，国务院批准项目用海、用岛，中央国家机关使用的国有土地等不动产登记，由国务院国土资源主管部门会同有关部门规定。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第十二条 住房和城乡建设管理部门应当协助人民法院及时查询有关房屋权属登记、变更、抵押等情况，协助人民法院及时办理房屋查封、预查封和轮候查封及转移登记手续，并将有关情况及时告知人民法院。被执行人正在办理房屋所有权转移登记等手续的，根据人民法院协助执行通知书的要求，停止办理相关手续。轮候查封的人民法院违法要求协助办理房屋登记手续的，依法不予办理。债权人持生效法律文书申请办理房屋转移登记手续的，依法予以办理。协助人民法院查询有关工程项目的规划审批情况，向人民法院提供必要的经批准的规划文件和规划图纸等资料。被执行人正在申请办理涉案项目规划审批手续的，根据人民法院协助执行通知书的要求，停止办理相关手续。将房地产、建筑企业不依法履行生效法律文书义务的情况，记入房地产和建筑</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场信用档案，向社会披露有关信息。对拖欠房屋拆迁补偿安置资金的被执行人，依法采取制裁措施。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5.《最高人民法院、国土资源部、建设部关于依法规范人民法院执行和国土资源房地产管理部门协助执行若干问题的通知》（法发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2004</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5号）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土资源、房地产管理部门依法协助人民法院执行时，除复制有关材料所必需的工本费外，不得向人民法院收取其他费用。登记过户的费用按照国家有关规定收取。</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人民法院执行人员到国土资源、房地产管理部门查询土地、房屋权属情况时，应当出示本人工作证和执行公务证，并出具协助查询通知书。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人民法院执行人员到国土资源、房地产管理部门办理土地使用权或者房屋查封、预查封登记手续时，应当出示本人工作证和执行公务证，并出具查封、预查封裁定书和协助执行通知书。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案室（馆）加盖印章。无法查询或者查询无结果的，国土资源、房地产管理部门应当书面告知人民法院。</w:t>
            </w:r>
          </w:p>
          <w:p w14:paraId="5264C059">
            <w:pPr>
              <w:widowControl/>
              <w:numPr>
                <w:ilvl w:val="0"/>
                <w:numId w:val="0"/>
              </w:numPr>
              <w:spacing w:line="240" w:lineRule="auto"/>
              <w:jc w:val="left"/>
              <w:rPr>
                <w:rFonts w:hint="eastAsia" w:ascii="微软雅黑" w:hAnsi="微软雅黑" w:eastAsia="微软雅黑" w:cs="宋体"/>
                <w:kern w:val="0"/>
                <w:sz w:val="20"/>
                <w:szCs w:val="20"/>
              </w:rPr>
            </w:pPr>
          </w:p>
          <w:p w14:paraId="7789B07B">
            <w:pPr>
              <w:widowControl/>
              <w:numPr>
                <w:ilvl w:val="0"/>
                <w:numId w:val="0"/>
              </w:numPr>
              <w:spacing w:line="240" w:lineRule="auto"/>
              <w:jc w:val="left"/>
              <w:rPr>
                <w:rFonts w:hint="eastAsia" w:ascii="微软雅黑" w:hAnsi="微软雅黑" w:eastAsia="微软雅黑" w:cs="宋体"/>
                <w:kern w:val="0"/>
                <w:sz w:val="20"/>
                <w:szCs w:val="20"/>
              </w:rPr>
            </w:pPr>
          </w:p>
        </w:tc>
      </w:tr>
      <w:tr w14:paraId="6157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12CC443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shd w:val="clear" w:color="auto" w:fill="auto"/>
            <w:vAlign w:val="center"/>
          </w:tcPr>
          <w:p w14:paraId="292EAB8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17FF1F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E8402B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085B70A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公安</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35D51E9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依法查询失信被执行人身份、出入境证件信息及车辆信息，协助查封、扣押失信被执行人名下的车辆，协助查找、控制下落不明的失信被执行人，限制失信被执行人出境</w:t>
            </w:r>
          </w:p>
        </w:tc>
        <w:tc>
          <w:tcPr>
            <w:tcW w:w="1131" w:type="dxa"/>
            <w:shd w:val="clear" w:color="auto" w:fill="auto"/>
            <w:vAlign w:val="center"/>
          </w:tcPr>
          <w:p w14:paraId="64BC662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429BB0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16" w:type="dxa"/>
            <w:vMerge w:val="restart"/>
            <w:shd w:val="clear" w:color="auto" w:fill="auto"/>
            <w:vAlign w:val="center"/>
          </w:tcPr>
          <w:p w14:paraId="718E3C3D">
            <w:pPr>
              <w:widowControl/>
              <w:numPr>
                <w:ilvl w:val="0"/>
                <w:numId w:val="2"/>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第二百四十二条 被执行人未按执行通知履行法律文书确定的义务，人民法院有权向有关单位查询被执行人的存款、债券、股票、基金份额等财产情况。人民法院有权根据不同情形扣押、冻结、划拨、变价被执行人的财产。</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人民法院决定扣押、冻结、划拨、变价财产，应当作出裁定，并发出协助执行通知书，有关单位必须办理。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第二百四十四条 被执行人未按执行通知履行法律文书确定的义务，人民法院有权查封、扣押、冻结、拍卖、变卖被执行人应当履行义务部分的财产。但应当保留被执行人及其所扶养家属的生活必需品。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第二百五十一条 在执行中，需要办理有关财产权证照转移手续的，人民法院可以向有关单位发出协助执行通知书，有关单位必须办理。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2.《最高人民法院关于适用&lt;中华人民共和国民事诉讼法&gt;的解释》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第四百八十五条 人民法院有权查询被执行人的身份信息与财产信息，掌握相</w:t>
            </w:r>
          </w:p>
          <w:p w14:paraId="1151E78C">
            <w:pPr>
              <w:widowControl/>
              <w:numPr>
                <w:ilvl w:val="0"/>
                <w:numId w:val="0"/>
              </w:numPr>
              <w:spacing w:line="240" w:lineRule="auto"/>
              <w:ind w:left="0" w:leftChars="0"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关信息的单位和个人必须按照协助执行通知书办理。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第五百一十八条 被执行人不履行法律文书确定的义务的，人民法院除对被执行人予以处罚外，还可以根据情节将其纳入失信被执行人名单，将被执行人不履行或者不完全履行义务的信息向其所在单位、征信机构以及其他相关机构通报。</w:t>
            </w:r>
          </w:p>
        </w:tc>
        <w:tc>
          <w:tcPr>
            <w:tcW w:w="1450" w:type="dxa"/>
            <w:vMerge w:val="restart"/>
            <w:shd w:val="clear" w:color="auto" w:fill="auto"/>
            <w:vAlign w:val="center"/>
          </w:tcPr>
          <w:p w14:paraId="357682D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50" w:type="dxa"/>
            <w:shd w:val="clear" w:color="auto" w:fill="auto"/>
            <w:vAlign w:val="center"/>
          </w:tcPr>
          <w:p w14:paraId="237D55B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5515579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普通护照签发</w:t>
            </w:r>
          </w:p>
        </w:tc>
        <w:tc>
          <w:tcPr>
            <w:tcW w:w="1150" w:type="dxa"/>
            <w:shd w:val="clear" w:color="auto" w:fill="auto"/>
            <w:vAlign w:val="center"/>
          </w:tcPr>
          <w:p w14:paraId="4EB59E2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75" w:type="dxa"/>
            <w:shd w:val="clear" w:color="auto" w:fill="auto"/>
            <w:vAlign w:val="center"/>
          </w:tcPr>
          <w:p w14:paraId="1E374DA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否</w:t>
            </w:r>
          </w:p>
        </w:tc>
        <w:tc>
          <w:tcPr>
            <w:tcW w:w="3025" w:type="dxa"/>
            <w:shd w:val="clear" w:color="auto" w:fill="auto"/>
            <w:vAlign w:val="center"/>
          </w:tcPr>
          <w:p w14:paraId="1F8A948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《中华人民共和国护照法》第四条、第五条、第十条、第十一条。</w:t>
            </w:r>
          </w:p>
        </w:tc>
      </w:tr>
      <w:tr w14:paraId="6BFA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198684B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vAlign w:val="center"/>
          </w:tcPr>
          <w:p w14:paraId="327B21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A82974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AE68FC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vAlign w:val="center"/>
          </w:tcPr>
          <w:p w14:paraId="3E95F5D0">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公安</w:t>
            </w:r>
            <w:r>
              <w:rPr>
                <w:rFonts w:hint="eastAsia" w:ascii="微软雅黑" w:hAnsi="微软雅黑" w:eastAsia="微软雅黑" w:cs="宋体"/>
                <w:kern w:val="0"/>
                <w:sz w:val="20"/>
                <w:szCs w:val="20"/>
                <w:lang w:eastAsia="zh-CN"/>
              </w:rPr>
              <w:t>局</w:t>
            </w:r>
          </w:p>
        </w:tc>
        <w:tc>
          <w:tcPr>
            <w:tcW w:w="2082" w:type="dxa"/>
            <w:vMerge w:val="restart"/>
            <w:vAlign w:val="center"/>
          </w:tcPr>
          <w:p w14:paraId="207C189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依法查询失信被执行人身份、出入境证件信息及车辆信息，协助查封、扣押失信被执行人名下的车辆，协助查找、控制下落不明的失信被执行人，限制失信被执行人出境</w:t>
            </w:r>
          </w:p>
        </w:tc>
        <w:tc>
          <w:tcPr>
            <w:tcW w:w="1131" w:type="dxa"/>
            <w:shd w:val="clear" w:color="auto" w:fill="auto"/>
            <w:vAlign w:val="center"/>
          </w:tcPr>
          <w:p w14:paraId="073E58E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A14670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16" w:type="dxa"/>
            <w:vMerge w:val="continue"/>
            <w:shd w:val="clear" w:color="auto" w:fill="auto"/>
            <w:vAlign w:val="center"/>
          </w:tcPr>
          <w:p w14:paraId="6900B398">
            <w:pPr>
              <w:widowControl/>
              <w:spacing w:line="240" w:lineRule="auto"/>
              <w:ind w:firstLine="0" w:firstLineChars="0"/>
              <w:jc w:val="center"/>
              <w:rPr>
                <w:rFonts w:ascii="微软雅黑" w:hAnsi="微软雅黑" w:eastAsia="微软雅黑" w:cs="宋体"/>
                <w:kern w:val="0"/>
                <w:sz w:val="20"/>
                <w:szCs w:val="20"/>
              </w:rPr>
            </w:pPr>
          </w:p>
        </w:tc>
        <w:tc>
          <w:tcPr>
            <w:tcW w:w="1450" w:type="dxa"/>
            <w:vMerge w:val="continue"/>
            <w:shd w:val="clear" w:color="auto" w:fill="auto"/>
            <w:vAlign w:val="center"/>
          </w:tcPr>
          <w:p w14:paraId="796D43B7">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70B4913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2C436DD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内地居民前往港澳通行证、往来港澳通行证和签注签发</w:t>
            </w:r>
          </w:p>
        </w:tc>
        <w:tc>
          <w:tcPr>
            <w:tcW w:w="1150" w:type="dxa"/>
            <w:shd w:val="clear" w:color="auto" w:fill="auto"/>
            <w:vAlign w:val="center"/>
          </w:tcPr>
          <w:p w14:paraId="7B2808B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75" w:type="dxa"/>
            <w:vAlign w:val="center"/>
          </w:tcPr>
          <w:p w14:paraId="7BBEDC8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否</w:t>
            </w:r>
          </w:p>
        </w:tc>
        <w:tc>
          <w:tcPr>
            <w:tcW w:w="3025" w:type="dxa"/>
            <w:vAlign w:val="center"/>
          </w:tcPr>
          <w:p w14:paraId="4CC85897">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《中国公民因私事往来香港地区或者澳门地区的暂行管理办法》第三条、第六条、第二十二条。</w:t>
            </w:r>
          </w:p>
        </w:tc>
      </w:tr>
      <w:tr w14:paraId="29E5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30D6E14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vAlign w:val="center"/>
          </w:tcPr>
          <w:p w14:paraId="4340C39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3F76E27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9FFF63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vAlign w:val="center"/>
          </w:tcPr>
          <w:p w14:paraId="1935377A">
            <w:pPr>
              <w:widowControl/>
              <w:spacing w:line="240" w:lineRule="auto"/>
              <w:ind w:firstLine="0" w:firstLineChars="0"/>
              <w:jc w:val="left"/>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公安</w:t>
            </w:r>
            <w:r>
              <w:rPr>
                <w:rFonts w:hint="eastAsia" w:ascii="微软雅黑" w:hAnsi="微软雅黑" w:eastAsia="微软雅黑" w:cs="宋体"/>
                <w:kern w:val="0"/>
                <w:sz w:val="20"/>
                <w:szCs w:val="20"/>
                <w:lang w:eastAsia="zh-CN"/>
              </w:rPr>
              <w:t>局</w:t>
            </w:r>
          </w:p>
        </w:tc>
        <w:tc>
          <w:tcPr>
            <w:tcW w:w="2082" w:type="dxa"/>
            <w:vMerge w:val="continue"/>
            <w:vAlign w:val="center"/>
          </w:tcPr>
          <w:p w14:paraId="1F5FD766">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674CBD3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97C9A5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16" w:type="dxa"/>
            <w:vMerge w:val="continue"/>
            <w:shd w:val="clear" w:color="auto" w:fill="auto"/>
            <w:vAlign w:val="center"/>
          </w:tcPr>
          <w:p w14:paraId="66898CF9">
            <w:pPr>
              <w:widowControl/>
              <w:spacing w:line="240" w:lineRule="auto"/>
              <w:ind w:firstLine="0" w:firstLineChars="0"/>
              <w:jc w:val="center"/>
              <w:rPr>
                <w:rFonts w:ascii="微软雅黑" w:hAnsi="微软雅黑" w:eastAsia="微软雅黑" w:cs="宋体"/>
                <w:kern w:val="0"/>
                <w:sz w:val="20"/>
                <w:szCs w:val="20"/>
              </w:rPr>
            </w:pPr>
          </w:p>
        </w:tc>
        <w:tc>
          <w:tcPr>
            <w:tcW w:w="1450" w:type="dxa"/>
            <w:vMerge w:val="continue"/>
            <w:shd w:val="clear" w:color="auto" w:fill="auto"/>
            <w:vAlign w:val="center"/>
          </w:tcPr>
          <w:p w14:paraId="087A4F9C">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4A63BA8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2F99D22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大陆居民往来台湾通行证和签注签发</w:t>
            </w:r>
          </w:p>
        </w:tc>
        <w:tc>
          <w:tcPr>
            <w:tcW w:w="1150" w:type="dxa"/>
            <w:shd w:val="clear" w:color="auto" w:fill="auto"/>
            <w:vAlign w:val="center"/>
          </w:tcPr>
          <w:p w14:paraId="31119FC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75" w:type="dxa"/>
            <w:vAlign w:val="center"/>
          </w:tcPr>
          <w:p w14:paraId="63BBAE4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否</w:t>
            </w:r>
          </w:p>
        </w:tc>
        <w:tc>
          <w:tcPr>
            <w:tcW w:w="3025" w:type="dxa"/>
            <w:vAlign w:val="center"/>
          </w:tcPr>
          <w:p w14:paraId="5B60591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《中国公民往来台湾地区管理办法》第三条、第六条、第二十二条、第二十五条。</w:t>
            </w:r>
          </w:p>
        </w:tc>
      </w:tr>
      <w:tr w14:paraId="770B4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shd w:val="clear" w:color="auto" w:fill="auto"/>
            <w:vAlign w:val="center"/>
          </w:tcPr>
          <w:p w14:paraId="3804FD9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5</w:t>
            </w:r>
          </w:p>
        </w:tc>
        <w:tc>
          <w:tcPr>
            <w:tcW w:w="1078" w:type="dxa"/>
            <w:vAlign w:val="center"/>
          </w:tcPr>
          <w:p w14:paraId="50F3435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970E4F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351DA4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vAlign w:val="center"/>
          </w:tcPr>
          <w:p w14:paraId="496FD3F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公安</w:t>
            </w:r>
            <w:r>
              <w:rPr>
                <w:rFonts w:hint="eastAsia" w:ascii="微软雅黑" w:hAnsi="微软雅黑" w:eastAsia="微软雅黑" w:cs="宋体"/>
                <w:kern w:val="0"/>
                <w:sz w:val="20"/>
                <w:szCs w:val="20"/>
                <w:lang w:eastAsia="zh-CN"/>
              </w:rPr>
              <w:t>局</w:t>
            </w:r>
          </w:p>
        </w:tc>
        <w:tc>
          <w:tcPr>
            <w:tcW w:w="2082" w:type="dxa"/>
            <w:vAlign w:val="center"/>
          </w:tcPr>
          <w:p w14:paraId="1DD4E48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依法查询失信被执行人身份、出入境证件信息及车辆信息，协助查封、扣押失信被执行人名下的车辆，协助查找、控制下落不明的失信被执行人，限制失信被执行人出境</w:t>
            </w:r>
          </w:p>
        </w:tc>
        <w:tc>
          <w:tcPr>
            <w:tcW w:w="1131" w:type="dxa"/>
            <w:shd w:val="clear" w:color="auto" w:fill="auto"/>
            <w:vAlign w:val="center"/>
          </w:tcPr>
          <w:p w14:paraId="65944D9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0B836D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16" w:type="dxa"/>
            <w:vMerge w:val="continue"/>
            <w:shd w:val="clear" w:color="auto" w:fill="auto"/>
            <w:vAlign w:val="center"/>
          </w:tcPr>
          <w:p w14:paraId="7BE4025D">
            <w:pPr>
              <w:widowControl/>
              <w:spacing w:line="240" w:lineRule="auto"/>
              <w:ind w:firstLine="0" w:firstLineChars="0"/>
              <w:jc w:val="center"/>
              <w:rPr>
                <w:rFonts w:ascii="微软雅黑" w:hAnsi="微软雅黑" w:eastAsia="微软雅黑" w:cs="宋体"/>
                <w:kern w:val="0"/>
                <w:sz w:val="20"/>
                <w:szCs w:val="20"/>
              </w:rPr>
            </w:pPr>
          </w:p>
        </w:tc>
        <w:tc>
          <w:tcPr>
            <w:tcW w:w="1450" w:type="dxa"/>
            <w:vMerge w:val="continue"/>
            <w:shd w:val="clear" w:color="auto" w:fill="auto"/>
            <w:vAlign w:val="center"/>
          </w:tcPr>
          <w:p w14:paraId="74380D4C">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6A6E3ED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19CEAA2D">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出入境通行证签发</w:t>
            </w:r>
          </w:p>
        </w:tc>
        <w:tc>
          <w:tcPr>
            <w:tcW w:w="1150" w:type="dxa"/>
            <w:shd w:val="clear" w:color="auto" w:fill="auto"/>
            <w:vAlign w:val="center"/>
          </w:tcPr>
          <w:p w14:paraId="5F9B571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875" w:type="dxa"/>
            <w:vAlign w:val="center"/>
          </w:tcPr>
          <w:p w14:paraId="36B6C4B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否</w:t>
            </w:r>
          </w:p>
        </w:tc>
        <w:tc>
          <w:tcPr>
            <w:tcW w:w="3025" w:type="dxa"/>
            <w:vAlign w:val="center"/>
          </w:tcPr>
          <w:p w14:paraId="7BB7B81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1.《中华人民共和国护照法》第二十四条；</w:t>
            </w:r>
          </w:p>
          <w:p w14:paraId="3920C20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2.《中国公民因私事往来香港地区或者澳门地区的暂行管理办法》第十四条、第二十三条。</w:t>
            </w:r>
          </w:p>
        </w:tc>
      </w:tr>
      <w:tr w14:paraId="752AC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5" w:hRule="atLeast"/>
          <w:jc w:val="center"/>
        </w:trPr>
        <w:tc>
          <w:tcPr>
            <w:tcW w:w="700" w:type="dxa"/>
            <w:shd w:val="clear" w:color="auto" w:fill="auto"/>
            <w:vAlign w:val="center"/>
          </w:tcPr>
          <w:p w14:paraId="59C0B68D">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6</w:t>
            </w:r>
          </w:p>
        </w:tc>
        <w:tc>
          <w:tcPr>
            <w:tcW w:w="1078" w:type="dxa"/>
            <w:shd w:val="clear" w:color="auto" w:fill="auto"/>
            <w:vAlign w:val="center"/>
          </w:tcPr>
          <w:p w14:paraId="1FD690C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34668A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E67A2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086F036D">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公安</w:t>
            </w:r>
            <w:r>
              <w:rPr>
                <w:rFonts w:hint="eastAsia" w:ascii="微软雅黑" w:hAnsi="微软雅黑" w:eastAsia="微软雅黑" w:cs="宋体"/>
                <w:kern w:val="0"/>
                <w:sz w:val="20"/>
                <w:szCs w:val="20"/>
                <w:lang w:eastAsia="zh-CN"/>
              </w:rPr>
              <w:t>县</w:t>
            </w:r>
          </w:p>
        </w:tc>
        <w:tc>
          <w:tcPr>
            <w:tcW w:w="2082" w:type="dxa"/>
            <w:shd w:val="clear" w:color="auto" w:fill="auto"/>
            <w:vAlign w:val="center"/>
          </w:tcPr>
          <w:p w14:paraId="26971E7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公安、检察机关和人民法院对拒不执行生效判决、裁定以及其他妨碍执行构成犯罪的行为，要及时依法侦查、提起公诉和审判</w:t>
            </w:r>
          </w:p>
        </w:tc>
        <w:tc>
          <w:tcPr>
            <w:tcW w:w="1131" w:type="dxa"/>
            <w:shd w:val="clear" w:color="auto" w:fill="auto"/>
            <w:vAlign w:val="center"/>
          </w:tcPr>
          <w:p w14:paraId="1E95F88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AE209B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16" w:type="dxa"/>
            <w:shd w:val="clear" w:color="auto" w:fill="auto"/>
            <w:vAlign w:val="center"/>
          </w:tcPr>
          <w:p w14:paraId="3DED635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50" w:type="dxa"/>
            <w:shd w:val="clear" w:color="auto" w:fill="auto"/>
            <w:vAlign w:val="center"/>
          </w:tcPr>
          <w:p w14:paraId="317C2F8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50" w:type="dxa"/>
            <w:shd w:val="clear" w:color="auto" w:fill="auto"/>
            <w:vAlign w:val="center"/>
          </w:tcPr>
          <w:p w14:paraId="5C4BE2A2">
            <w:pPr>
              <w:widowControl/>
              <w:spacing w:line="240" w:lineRule="auto"/>
              <w:ind w:firstLine="0" w:firstLineChars="0"/>
              <w:jc w:val="center"/>
              <w:rPr>
                <w:rFonts w:ascii="微软雅黑" w:hAnsi="微软雅黑" w:eastAsia="微软雅黑" w:cs="宋体"/>
                <w:kern w:val="0"/>
                <w:sz w:val="20"/>
                <w:szCs w:val="20"/>
              </w:rPr>
            </w:pPr>
          </w:p>
        </w:tc>
        <w:tc>
          <w:tcPr>
            <w:tcW w:w="2275" w:type="dxa"/>
            <w:shd w:val="clear" w:color="auto" w:fill="auto"/>
            <w:vAlign w:val="center"/>
          </w:tcPr>
          <w:p w14:paraId="2488356E">
            <w:pPr>
              <w:widowControl/>
              <w:spacing w:line="240" w:lineRule="auto"/>
              <w:ind w:firstLine="0" w:firstLineChars="0"/>
              <w:jc w:val="center"/>
              <w:rPr>
                <w:rFonts w:ascii="微软雅黑" w:hAnsi="微软雅黑" w:eastAsia="微软雅黑" w:cs="宋体"/>
                <w:kern w:val="0"/>
                <w:sz w:val="20"/>
                <w:szCs w:val="20"/>
              </w:rPr>
            </w:pPr>
          </w:p>
        </w:tc>
        <w:tc>
          <w:tcPr>
            <w:tcW w:w="1150" w:type="dxa"/>
            <w:shd w:val="clear" w:color="auto" w:fill="auto"/>
            <w:vAlign w:val="center"/>
          </w:tcPr>
          <w:p w14:paraId="20BF62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75" w:type="dxa"/>
            <w:shd w:val="clear" w:color="auto" w:fill="auto"/>
            <w:vAlign w:val="center"/>
          </w:tcPr>
          <w:p w14:paraId="1904F083">
            <w:pPr>
              <w:widowControl/>
              <w:spacing w:line="240" w:lineRule="auto"/>
              <w:ind w:firstLine="0" w:firstLineChars="0"/>
              <w:jc w:val="center"/>
              <w:rPr>
                <w:rFonts w:ascii="微软雅黑" w:hAnsi="微软雅黑" w:eastAsia="微软雅黑" w:cs="宋体"/>
                <w:kern w:val="0"/>
                <w:sz w:val="20"/>
                <w:szCs w:val="20"/>
              </w:rPr>
            </w:pPr>
          </w:p>
        </w:tc>
        <w:tc>
          <w:tcPr>
            <w:tcW w:w="3025" w:type="dxa"/>
            <w:shd w:val="clear" w:color="auto" w:fill="auto"/>
            <w:vAlign w:val="center"/>
          </w:tcPr>
          <w:p w14:paraId="49260CFE">
            <w:pPr>
              <w:widowControl/>
              <w:spacing w:line="240" w:lineRule="auto"/>
              <w:ind w:firstLine="0" w:firstLineChars="0"/>
              <w:rPr>
                <w:rFonts w:ascii="微软雅黑" w:hAnsi="微软雅黑" w:eastAsia="微软雅黑" w:cs="宋体"/>
                <w:kern w:val="0"/>
                <w:sz w:val="20"/>
                <w:szCs w:val="20"/>
              </w:rPr>
            </w:pPr>
          </w:p>
        </w:tc>
      </w:tr>
      <w:tr w14:paraId="29BF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2" w:hRule="atLeast"/>
          <w:jc w:val="center"/>
        </w:trPr>
        <w:tc>
          <w:tcPr>
            <w:tcW w:w="22102" w:type="dxa"/>
            <w:gridSpan w:val="15"/>
            <w:tcBorders>
              <w:bottom w:val="single" w:color="auto" w:sz="4" w:space="0"/>
            </w:tcBorders>
            <w:shd w:val="clear" w:color="auto" w:fill="auto"/>
            <w:vAlign w:val="center"/>
          </w:tcPr>
          <w:p w14:paraId="6956825E">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28D530F0">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1.《最高人民法院关于审理拒不执行判决、裁定刑事案件适用法律若干问题的解释》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被执行人、协助执行义务人、担保人等负有执行义务的人对人民法院的判决、裁定有能力执行而拒不执行，情节严重的，应当依照刑法第三百一十三条的规定，以拒不执行判决、裁定罪处罚。</w:t>
            </w:r>
          </w:p>
          <w:p w14:paraId="3A6BD2D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第三条 申请执行人有证据证明同时具有下列情形，人民法院认为符合刑事诉讼法第二百零四条第三项规定的，以自诉案件立案审理：（一）负有执行义务的人拒不执行判决、裁定，侵犯了申请执行人的人身、财产权利，应当依法追究刑事责任的；（二）申请执行人曾经提出控告，而公安机关或者人民检察院对负有执行义务的人不予追究刑事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第五条 检察机关应当对拒不执行法院判决、裁定以及其他妨害执行构成犯罪的人员，及时依法从严进行追诉；依法查处执行工作中出现的渎职侵权、贪污受贿等职务犯罪案件。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公安机关应当依法严厉打击拒不执行法院判决、裁定和其他妨害执行的违法犯罪行为；对以暴力、威胁方法妨害或者抗拒执行的行为，在接到人民法院通报后立即出警，依法处置。协助人民法院查询被执行人户籍信息、下落，在履行职责过程中发现人民法院需要拘留、拘传的被执行人的，及时向人民法院通报情况；对人民法院在执行中决定拘留的人员，及时予以收押。协助限制被执行人出境；协助人民法院办理车辆查封、扣押和转移登记等手续；发现被执行人车辆等财产时，及时将有关信息通知负责执行的人民法院。</w:t>
            </w:r>
          </w:p>
        </w:tc>
      </w:tr>
    </w:tbl>
    <w:p w14:paraId="164C3CBC">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091"/>
        <w:gridCol w:w="1475"/>
        <w:gridCol w:w="1150"/>
        <w:gridCol w:w="2275"/>
        <w:gridCol w:w="1125"/>
        <w:gridCol w:w="875"/>
        <w:gridCol w:w="3050"/>
      </w:tblGrid>
      <w:tr w14:paraId="059D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43E1B582">
            <w:pPr>
              <w:pStyle w:val="2"/>
              <w:rPr>
                <w:rFonts w:hint="eastAsia" w:eastAsia="华文中宋"/>
                <w:lang w:eastAsia="zh-CN"/>
              </w:rPr>
            </w:pPr>
            <w:bookmarkStart w:id="11" w:name="_Toc20473854"/>
            <w:r>
              <w:rPr>
                <w:rFonts w:hint="eastAsia"/>
              </w:rPr>
              <w:t>1</w:t>
            </w:r>
            <w:r>
              <w:rPr>
                <w:rFonts w:hint="eastAsia"/>
                <w:lang w:val="en-US" w:eastAsia="zh-CN"/>
              </w:rPr>
              <w:t>2</w:t>
            </w:r>
            <w:r>
              <w:rPr>
                <w:rFonts w:hint="eastAsia"/>
              </w:rPr>
              <w:t>、</w:t>
            </w:r>
            <w:r>
              <w:rPr>
                <w:rFonts w:hint="eastAsia"/>
                <w:lang w:eastAsia="zh-CN"/>
              </w:rPr>
              <w:t>县</w:t>
            </w:r>
            <w:r>
              <w:rPr>
                <w:rFonts w:hint="eastAsia"/>
              </w:rPr>
              <w:t>民政</w:t>
            </w:r>
            <w:bookmarkEnd w:id="11"/>
            <w:r>
              <w:rPr>
                <w:rFonts w:hint="eastAsia"/>
                <w:lang w:eastAsia="zh-CN"/>
              </w:rPr>
              <w:t>局</w:t>
            </w:r>
          </w:p>
        </w:tc>
      </w:tr>
      <w:tr w14:paraId="38A7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76436AD0">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27" w:type="dxa"/>
            <w:gridSpan w:val="9"/>
            <w:shd w:val="clear" w:color="000000" w:fill="D6DCE4"/>
            <w:vAlign w:val="center"/>
          </w:tcPr>
          <w:p w14:paraId="1EF48E42">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75" w:type="dxa"/>
            <w:gridSpan w:val="5"/>
            <w:shd w:val="clear" w:color="000000" w:fill="D6DCE4"/>
            <w:vAlign w:val="center"/>
          </w:tcPr>
          <w:p w14:paraId="5853E83D">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1BF2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69BC32A3">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1A42526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3CD82DC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1B7A1EC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3343D12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72FEE8D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0DC9250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15832B3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091" w:type="dxa"/>
            <w:shd w:val="clear" w:color="000000" w:fill="D6DCE4"/>
            <w:vAlign w:val="center"/>
          </w:tcPr>
          <w:p w14:paraId="43D6E9E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75" w:type="dxa"/>
            <w:shd w:val="clear" w:color="000000" w:fill="D6DCE4"/>
            <w:vAlign w:val="center"/>
          </w:tcPr>
          <w:p w14:paraId="2830468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50" w:type="dxa"/>
            <w:shd w:val="clear" w:color="000000" w:fill="D6DCE4"/>
            <w:vAlign w:val="center"/>
          </w:tcPr>
          <w:p w14:paraId="5D89EE7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75" w:type="dxa"/>
            <w:shd w:val="clear" w:color="000000" w:fill="D6DCE4"/>
            <w:vAlign w:val="center"/>
          </w:tcPr>
          <w:p w14:paraId="680126F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25" w:type="dxa"/>
            <w:shd w:val="clear" w:color="000000" w:fill="D6DCE4"/>
            <w:vAlign w:val="center"/>
          </w:tcPr>
          <w:p w14:paraId="0551888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875" w:type="dxa"/>
            <w:shd w:val="clear" w:color="000000" w:fill="D6DCE4"/>
            <w:vAlign w:val="center"/>
          </w:tcPr>
          <w:p w14:paraId="778BCD3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50" w:type="dxa"/>
            <w:shd w:val="clear" w:color="000000" w:fill="D6DCE4"/>
            <w:vAlign w:val="center"/>
          </w:tcPr>
          <w:p w14:paraId="1489FB8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5FC7B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1" w:hRule="atLeast"/>
          <w:jc w:val="center"/>
        </w:trPr>
        <w:tc>
          <w:tcPr>
            <w:tcW w:w="700" w:type="dxa"/>
            <w:shd w:val="clear" w:color="auto" w:fill="auto"/>
            <w:vAlign w:val="center"/>
          </w:tcPr>
          <w:p w14:paraId="10087DF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7D922C0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DD0CC2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BBADE3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404F8076">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民政</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3E82525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协助查询失信被执行人的婚姻登记信息</w:t>
            </w:r>
          </w:p>
        </w:tc>
        <w:tc>
          <w:tcPr>
            <w:tcW w:w="1131" w:type="dxa"/>
            <w:shd w:val="clear" w:color="auto" w:fill="auto"/>
            <w:vAlign w:val="center"/>
          </w:tcPr>
          <w:p w14:paraId="7B5BB6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6E97E77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91" w:type="dxa"/>
            <w:shd w:val="clear" w:color="auto" w:fill="auto"/>
            <w:vAlign w:val="center"/>
          </w:tcPr>
          <w:p w14:paraId="6FD4A5A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75" w:type="dxa"/>
            <w:shd w:val="clear" w:color="auto" w:fill="auto"/>
            <w:vAlign w:val="center"/>
          </w:tcPr>
          <w:p w14:paraId="15BF719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08ED53A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50" w:type="dxa"/>
            <w:shd w:val="clear" w:color="auto" w:fill="auto"/>
            <w:vAlign w:val="center"/>
          </w:tcPr>
          <w:p w14:paraId="2838E3C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75" w:type="dxa"/>
            <w:shd w:val="clear" w:color="auto" w:fill="auto"/>
            <w:vAlign w:val="center"/>
          </w:tcPr>
          <w:p w14:paraId="4829A5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25" w:type="dxa"/>
            <w:shd w:val="clear" w:color="auto" w:fill="auto"/>
            <w:vAlign w:val="center"/>
          </w:tcPr>
          <w:p w14:paraId="6DFAAF9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75" w:type="dxa"/>
            <w:shd w:val="clear" w:color="auto" w:fill="auto"/>
            <w:vAlign w:val="center"/>
          </w:tcPr>
          <w:p w14:paraId="24C9B333">
            <w:pPr>
              <w:widowControl/>
              <w:spacing w:line="240" w:lineRule="auto"/>
              <w:ind w:firstLine="0" w:firstLineChars="0"/>
              <w:jc w:val="center"/>
              <w:rPr>
                <w:rFonts w:ascii="微软雅黑" w:hAnsi="微软雅黑" w:eastAsia="微软雅黑" w:cs="宋体"/>
                <w:kern w:val="0"/>
                <w:sz w:val="20"/>
                <w:szCs w:val="20"/>
              </w:rPr>
            </w:pPr>
          </w:p>
        </w:tc>
        <w:tc>
          <w:tcPr>
            <w:tcW w:w="3050" w:type="dxa"/>
            <w:shd w:val="clear" w:color="auto" w:fill="auto"/>
            <w:vAlign w:val="center"/>
          </w:tcPr>
          <w:p w14:paraId="455C905A">
            <w:pPr>
              <w:widowControl/>
              <w:spacing w:line="240" w:lineRule="auto"/>
              <w:ind w:firstLine="0" w:firstLineChars="0"/>
              <w:rPr>
                <w:rFonts w:ascii="微软雅黑" w:hAnsi="微软雅黑" w:eastAsia="微软雅黑" w:cs="宋体"/>
                <w:kern w:val="0"/>
                <w:sz w:val="20"/>
                <w:szCs w:val="20"/>
              </w:rPr>
            </w:pPr>
          </w:p>
        </w:tc>
      </w:tr>
      <w:tr w14:paraId="1CF9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5" w:hRule="atLeast"/>
          <w:jc w:val="center"/>
        </w:trPr>
        <w:tc>
          <w:tcPr>
            <w:tcW w:w="22102" w:type="dxa"/>
            <w:gridSpan w:val="15"/>
            <w:shd w:val="clear" w:color="auto" w:fill="auto"/>
            <w:vAlign w:val="center"/>
          </w:tcPr>
          <w:p w14:paraId="28B61132">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28BEFBF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第二百四十二条 被执行人未按执行通知履行法律文书确定的义务，人民法院有权向有关单位查询被执行人的存款、债券、股票、基金份额等财产情况。人民法院有权根据不同情形扣押、冻结、划拨、变价被执行人的财产。</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人民法院决定扣押、冻结、划拨、变价财产，应当作出裁定，并发出协助执行通知书，有关单位必须办理。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第二百五十一条 在执行中，需要办理有关财产权证照转移手续的，人民法院可以向有关单位发出协助执行通知书，有关单位必须办理。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2.最高人民法院关于适用《中华人民共和国民事诉讼法》的解释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第九十四条 民事诉讼法第六十四条第二款规定的当事人及其诉讼代理人因客观原因不能自行收集的证据包括：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（一）证据由国家有关部门保存，当事人及其诉讼代理人无权查阅调取的；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（二）涉及国家秘密、商业秘密或者个人隐私的；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（三）当事人及其诉讼代理人因客观原因不能自行收集的其他证据。</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当事人及其诉讼代理人因客观原因不能自行收集的证据，可以在举证期限届满前书面申请人民法院调查收集。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第九十六条 民事诉讼法第六十四条第二款规定的人民法院认为审理案件需要的证据包括：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（一）涉及可能损害国家利益、社会公共利益的；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（二）涉及身份关系的；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第四百八十五条 人民法院有权查询被执行人的身份信息与财产信息，掌握相关信息的单位和个人必须按照协助执行通知书办理。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第十条 司法行政部门应当加强法制宣传教育，提高人民群众的法律意识，提高债务人主动履行生效法律文书的自觉性。对各级领导干部加强依法支持人民法院执行工作的观念教育，克服地方和部门保护主义思想。对监狱、劳教单位作为被执行人的案件，督促被执行人及时履行。指导律师、公证人员和基层法律服务工作者做好当事人工作，积极履行生效法律文书确定的义务。监狱、劳教所、强制隔离戒毒所对服刑、劳教人员和强制隔离戒毒人员作为被执行人的案件，积极协助人民法院依法执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4.《国务院关于促进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场公平竞争维护</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场正常秩序的若干意见》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第四部分第（十五）条 建立健全守信激励和失信惩戒机制。将</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场主体的信用信息作为实施行政管理的重要参考。根据</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场主体信用状况实行分类分级、动态监管，建立健全经营异常名录制度，对违背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场竞争原则和侵犯消费者、劳动者合法权益的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建立“黑名单”制度。（工商总局牵头负责）对守信主体予以支持和激励，对失信主体在经营、投融资、取得政府供应土地、进出口、出入境、注册新公司、工程招投标、政府采购、获得荣誉、安全许可、生产许可、从业任职资格、资质审核等方面依法予以限制或禁止，对严重违法失信主体实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场禁入制度。（各相关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场监管部门按职责分工分别负责）</w:t>
            </w:r>
          </w:p>
        </w:tc>
      </w:tr>
      <w:tr w14:paraId="71EA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5" w:hRule="atLeast"/>
          <w:jc w:val="center"/>
        </w:trPr>
        <w:tc>
          <w:tcPr>
            <w:tcW w:w="700" w:type="dxa"/>
            <w:tcBorders>
              <w:bottom w:val="single" w:color="auto" w:sz="4" w:space="0"/>
            </w:tcBorders>
            <w:shd w:val="clear" w:color="auto" w:fill="auto"/>
            <w:vAlign w:val="center"/>
          </w:tcPr>
          <w:p w14:paraId="756311B6">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2</w:t>
            </w:r>
          </w:p>
        </w:tc>
        <w:tc>
          <w:tcPr>
            <w:tcW w:w="1078" w:type="dxa"/>
            <w:tcBorders>
              <w:bottom w:val="single" w:color="auto" w:sz="4" w:space="0"/>
            </w:tcBorders>
            <w:shd w:val="clear" w:color="auto" w:fill="auto"/>
            <w:vAlign w:val="center"/>
          </w:tcPr>
          <w:p w14:paraId="008022B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7261343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2E80CA4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shd w:val="clear" w:color="auto" w:fill="auto"/>
            <w:vAlign w:val="center"/>
          </w:tcPr>
          <w:p w14:paraId="0F7AFEA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民政</w:t>
            </w:r>
            <w:r>
              <w:rPr>
                <w:rFonts w:hint="eastAsia" w:ascii="微软雅黑" w:hAnsi="微软雅黑" w:eastAsia="微软雅黑" w:cs="宋体"/>
                <w:kern w:val="0"/>
                <w:sz w:val="20"/>
                <w:szCs w:val="20"/>
                <w:lang w:eastAsia="zh-CN"/>
              </w:rPr>
              <w:t>局</w:t>
            </w:r>
          </w:p>
        </w:tc>
        <w:tc>
          <w:tcPr>
            <w:tcW w:w="2082" w:type="dxa"/>
            <w:tcBorders>
              <w:bottom w:val="single" w:color="auto" w:sz="4" w:space="0"/>
            </w:tcBorders>
            <w:shd w:val="clear" w:color="auto" w:fill="auto"/>
            <w:vAlign w:val="center"/>
          </w:tcPr>
          <w:p w14:paraId="0A9128F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将履行人民法院生效裁判情况作为评选文明村镇、文明单位的前置条件，作为创建文明城</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的评测内容。有关机构及其法定代表人、实际控制人、董事、监事、高级管理人员为失信被执行人的，不得参加文明单位、慈善类奖项评选，列入失信被执行人后取得的各级文明单位、慈善类奖项予以撤销。失信被执行人为个人的，不得参加道德模范、慈善类奖项评选，列入失信被执行人后获得的道德模范荣誉称号、慈善类奖项予以撤销</w:t>
            </w:r>
          </w:p>
        </w:tc>
        <w:tc>
          <w:tcPr>
            <w:tcW w:w="1131" w:type="dxa"/>
            <w:tcBorders>
              <w:bottom w:val="single" w:color="auto" w:sz="4" w:space="0"/>
            </w:tcBorders>
            <w:shd w:val="clear" w:color="auto" w:fill="auto"/>
            <w:vAlign w:val="center"/>
          </w:tcPr>
          <w:p w14:paraId="0F80D55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15859AC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91" w:type="dxa"/>
            <w:tcBorders>
              <w:bottom w:val="single" w:color="auto" w:sz="4" w:space="0"/>
            </w:tcBorders>
            <w:shd w:val="clear" w:color="auto" w:fill="auto"/>
            <w:vAlign w:val="center"/>
          </w:tcPr>
          <w:p w14:paraId="3363BCA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《国务院关于建立完善守信联合激励和失信联合惩戒制度加快推进社会诚信建设的指导意见》</w:t>
            </w:r>
          </w:p>
          <w:p w14:paraId="373D47A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（十）依法依规加强对失信行为的行政性约束和惩戒</w:t>
            </w:r>
          </w:p>
          <w:p w14:paraId="35A406B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对严重失信主体，各地区、各有关部门应将其列为重点监管对象，依法依规采取行政性约束和惩戒措施。从严审核行政许可审批项目，从严控制生产许可证发放，限制新增项目审批、核准，限制股票发行上</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融资或发行债券，限制在全国股份转让系统挂牌、融资，限制发起设立或参股金融机构以及小额贷款公司、融资担保公司、创业投资公司、互联网融资平台等机构，限制从事互联网信息服务等。严格限制申请财政性资金项目，限制参与有关公共资源交易活动，限制参与基础设施和公用事业特许经营。对严重失信企业及其法定代表人、主要负责人和对失信行为负有直接责任的注册执业人员等实施</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场和行业禁入措施。及时撤销严重失信企业及其法定代表人、负责人、高级管理人员和对失信行为负有直接责任的董事、股东等人员的荣誉称号，取消参加评先评优资格。</w:t>
            </w:r>
          </w:p>
        </w:tc>
        <w:tc>
          <w:tcPr>
            <w:tcW w:w="1475" w:type="dxa"/>
            <w:tcBorders>
              <w:bottom w:val="single" w:color="auto" w:sz="4" w:space="0"/>
            </w:tcBorders>
            <w:shd w:val="clear" w:color="auto" w:fill="auto"/>
            <w:vAlign w:val="center"/>
          </w:tcPr>
          <w:p w14:paraId="55EC904D">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50" w:type="dxa"/>
            <w:tcBorders>
              <w:bottom w:val="single" w:color="auto" w:sz="4" w:space="0"/>
            </w:tcBorders>
            <w:shd w:val="clear" w:color="auto" w:fill="auto"/>
            <w:vAlign w:val="center"/>
          </w:tcPr>
          <w:p w14:paraId="015DAB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75" w:type="dxa"/>
            <w:tcBorders>
              <w:bottom w:val="single" w:color="auto" w:sz="4" w:space="0"/>
            </w:tcBorders>
            <w:shd w:val="clear" w:color="auto" w:fill="auto"/>
            <w:vAlign w:val="center"/>
          </w:tcPr>
          <w:p w14:paraId="3BA03E0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25" w:type="dxa"/>
            <w:tcBorders>
              <w:bottom w:val="single" w:color="auto" w:sz="4" w:space="0"/>
            </w:tcBorders>
            <w:shd w:val="clear" w:color="auto" w:fill="auto"/>
            <w:vAlign w:val="center"/>
          </w:tcPr>
          <w:p w14:paraId="7ADD8EE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875" w:type="dxa"/>
            <w:tcBorders>
              <w:bottom w:val="single" w:color="auto" w:sz="4" w:space="0"/>
            </w:tcBorders>
            <w:shd w:val="clear" w:color="auto" w:fill="auto"/>
            <w:vAlign w:val="center"/>
          </w:tcPr>
          <w:p w14:paraId="4263A564">
            <w:pPr>
              <w:widowControl/>
              <w:spacing w:line="240" w:lineRule="auto"/>
              <w:ind w:firstLine="0" w:firstLineChars="0"/>
              <w:rPr>
                <w:rFonts w:ascii="微软雅黑" w:hAnsi="微软雅黑" w:eastAsia="微软雅黑" w:cs="宋体"/>
                <w:kern w:val="0"/>
                <w:sz w:val="20"/>
                <w:szCs w:val="20"/>
              </w:rPr>
            </w:pPr>
          </w:p>
        </w:tc>
        <w:tc>
          <w:tcPr>
            <w:tcW w:w="3050" w:type="dxa"/>
            <w:tcBorders>
              <w:bottom w:val="single" w:color="auto" w:sz="4" w:space="0"/>
            </w:tcBorders>
            <w:shd w:val="clear" w:color="auto" w:fill="auto"/>
            <w:vAlign w:val="center"/>
          </w:tcPr>
          <w:p w14:paraId="2FB004FE">
            <w:pPr>
              <w:widowControl/>
              <w:spacing w:line="240" w:lineRule="auto"/>
              <w:ind w:firstLine="0" w:firstLineChars="0"/>
              <w:rPr>
                <w:rFonts w:ascii="微软雅黑" w:hAnsi="微软雅黑" w:eastAsia="微软雅黑" w:cs="宋体"/>
                <w:kern w:val="0"/>
                <w:sz w:val="20"/>
                <w:szCs w:val="20"/>
              </w:rPr>
            </w:pPr>
          </w:p>
        </w:tc>
      </w:tr>
      <w:tr w14:paraId="7BD4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16215323">
            <w:pPr>
              <w:pStyle w:val="2"/>
              <w:ind w:left="0" w:leftChars="0" w:firstLine="0" w:firstLineChars="0"/>
              <w:jc w:val="center"/>
              <w:rPr>
                <w:rFonts w:hint="eastAsia" w:eastAsia="华文中宋"/>
                <w:lang w:eastAsia="zh-CN"/>
              </w:rPr>
            </w:pPr>
            <w:bookmarkStart w:id="12" w:name="_Toc20473855"/>
            <w:r>
              <w:rPr>
                <w:rFonts w:hint="eastAsia"/>
              </w:rPr>
              <w:t>1</w:t>
            </w:r>
            <w:r>
              <w:rPr>
                <w:rFonts w:hint="eastAsia"/>
                <w:lang w:val="en-US" w:eastAsia="zh-CN"/>
              </w:rPr>
              <w:t>3</w:t>
            </w:r>
            <w:r>
              <w:rPr>
                <w:rFonts w:hint="eastAsia"/>
              </w:rPr>
              <w:t>、</w:t>
            </w:r>
            <w:r>
              <w:rPr>
                <w:rFonts w:hint="eastAsia"/>
                <w:lang w:eastAsia="zh-CN"/>
              </w:rPr>
              <w:t>县</w:t>
            </w:r>
            <w:r>
              <w:rPr>
                <w:rFonts w:hint="eastAsia"/>
              </w:rPr>
              <w:t>司法</w:t>
            </w:r>
            <w:bookmarkEnd w:id="12"/>
            <w:r>
              <w:rPr>
                <w:rFonts w:hint="eastAsia"/>
                <w:lang w:eastAsia="zh-CN"/>
              </w:rPr>
              <w:t>局</w:t>
            </w:r>
          </w:p>
        </w:tc>
      </w:tr>
      <w:tr w14:paraId="77C4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4CF69CAE">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27" w:type="dxa"/>
            <w:gridSpan w:val="9"/>
            <w:shd w:val="clear" w:color="000000" w:fill="D6DCE4"/>
            <w:vAlign w:val="center"/>
          </w:tcPr>
          <w:p w14:paraId="36A680EF">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75" w:type="dxa"/>
            <w:gridSpan w:val="5"/>
            <w:shd w:val="clear" w:color="000000" w:fill="D6DCE4"/>
            <w:vAlign w:val="center"/>
          </w:tcPr>
          <w:p w14:paraId="1F581912">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5F00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17871C95">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619F50E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36159C7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28251F5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3DFD958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2D479C0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2527F27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684F8EA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091" w:type="dxa"/>
            <w:shd w:val="clear" w:color="000000" w:fill="D6DCE4"/>
            <w:vAlign w:val="center"/>
          </w:tcPr>
          <w:p w14:paraId="15DA9FE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75" w:type="dxa"/>
            <w:shd w:val="clear" w:color="000000" w:fill="D6DCE4"/>
            <w:vAlign w:val="center"/>
          </w:tcPr>
          <w:p w14:paraId="7C5E5E6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50" w:type="dxa"/>
            <w:shd w:val="clear" w:color="000000" w:fill="D6DCE4"/>
            <w:vAlign w:val="center"/>
          </w:tcPr>
          <w:p w14:paraId="6FCF571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75" w:type="dxa"/>
            <w:shd w:val="clear" w:color="000000" w:fill="D6DCE4"/>
            <w:vAlign w:val="center"/>
          </w:tcPr>
          <w:p w14:paraId="535745D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25" w:type="dxa"/>
            <w:shd w:val="clear" w:color="000000" w:fill="D6DCE4"/>
            <w:vAlign w:val="center"/>
          </w:tcPr>
          <w:p w14:paraId="417B126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875" w:type="dxa"/>
            <w:shd w:val="clear" w:color="000000" w:fill="D6DCE4"/>
            <w:vAlign w:val="center"/>
          </w:tcPr>
          <w:p w14:paraId="4EFC90C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50" w:type="dxa"/>
            <w:shd w:val="clear" w:color="000000" w:fill="D6DCE4"/>
            <w:vAlign w:val="center"/>
          </w:tcPr>
          <w:p w14:paraId="714EBBE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3425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700" w:type="dxa"/>
            <w:shd w:val="clear" w:color="auto" w:fill="auto"/>
            <w:vAlign w:val="center"/>
          </w:tcPr>
          <w:p w14:paraId="2B96D5E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285283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F4BD28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31F4B7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10DAA9E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Merge w:val="restart"/>
            <w:shd w:val="clear" w:color="auto" w:fill="auto"/>
            <w:vAlign w:val="center"/>
          </w:tcPr>
          <w:p w14:paraId="1EAEF05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协助查询失信被执行人的律师身份信息、律师事务所登记信息；对失信被执行人为律师、律师事务所的，在一定期限内限制其参与评先、评优</w:t>
            </w:r>
          </w:p>
        </w:tc>
        <w:tc>
          <w:tcPr>
            <w:tcW w:w="1131" w:type="dxa"/>
            <w:shd w:val="clear" w:color="auto" w:fill="auto"/>
            <w:vAlign w:val="center"/>
          </w:tcPr>
          <w:p w14:paraId="35AB83E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AF95C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restart"/>
            <w:shd w:val="clear" w:color="auto" w:fill="auto"/>
            <w:vAlign w:val="center"/>
          </w:tcPr>
          <w:p w14:paraId="3C636F21">
            <w:pPr>
              <w:widowControl/>
              <w:spacing w:line="240" w:lineRule="auto"/>
              <w:ind w:firstLine="600" w:firstLineChars="300"/>
              <w:jc w:val="both"/>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475" w:type="dxa"/>
            <w:vMerge w:val="restart"/>
            <w:shd w:val="clear" w:color="auto" w:fill="auto"/>
            <w:vAlign w:val="center"/>
          </w:tcPr>
          <w:p w14:paraId="6B3CA23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50" w:type="dxa"/>
            <w:shd w:val="clear" w:color="auto" w:fill="auto"/>
            <w:vAlign w:val="center"/>
          </w:tcPr>
          <w:p w14:paraId="12FE62B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44D81D9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律师事务所设立许可</w:t>
            </w:r>
          </w:p>
        </w:tc>
        <w:tc>
          <w:tcPr>
            <w:tcW w:w="1125" w:type="dxa"/>
            <w:shd w:val="clear" w:color="auto" w:fill="auto"/>
            <w:vAlign w:val="center"/>
          </w:tcPr>
          <w:p w14:paraId="2CCFDBF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875" w:type="dxa"/>
            <w:shd w:val="clear" w:color="auto" w:fill="auto"/>
            <w:vAlign w:val="center"/>
          </w:tcPr>
          <w:p w14:paraId="074161E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否</w:t>
            </w:r>
          </w:p>
        </w:tc>
        <w:tc>
          <w:tcPr>
            <w:tcW w:w="3050" w:type="dxa"/>
            <w:shd w:val="clear" w:color="auto" w:fill="auto"/>
            <w:vAlign w:val="center"/>
          </w:tcPr>
          <w:p w14:paraId="2A71A54D">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《中华人民共和国律师法》第十八条。</w:t>
            </w:r>
          </w:p>
        </w:tc>
      </w:tr>
      <w:tr w14:paraId="69902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700" w:type="dxa"/>
            <w:shd w:val="clear" w:color="auto" w:fill="auto"/>
            <w:vAlign w:val="center"/>
          </w:tcPr>
          <w:p w14:paraId="02032D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vAlign w:val="center"/>
          </w:tcPr>
          <w:p w14:paraId="525DEB3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8D9203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08FA3A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04B8B1F1">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Merge w:val="continue"/>
            <w:vAlign w:val="center"/>
          </w:tcPr>
          <w:p w14:paraId="6F0DA9AD">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5C88FED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0EA2E4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7231A844">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3BE11891">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2FADA5E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7B34E01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律师事务所（分所）设立许可</w:t>
            </w:r>
          </w:p>
        </w:tc>
        <w:tc>
          <w:tcPr>
            <w:tcW w:w="1125" w:type="dxa"/>
            <w:shd w:val="clear" w:color="auto" w:fill="auto"/>
            <w:vAlign w:val="center"/>
          </w:tcPr>
          <w:p w14:paraId="768053B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875" w:type="dxa"/>
            <w:vAlign w:val="center"/>
          </w:tcPr>
          <w:p w14:paraId="73661EE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否</w:t>
            </w:r>
          </w:p>
        </w:tc>
        <w:tc>
          <w:tcPr>
            <w:tcW w:w="3050" w:type="dxa"/>
            <w:vAlign w:val="center"/>
          </w:tcPr>
          <w:p w14:paraId="7D128427">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《律师事务所管理办法》（司法部令第142号）第三十六条。</w:t>
            </w:r>
          </w:p>
        </w:tc>
      </w:tr>
      <w:tr w14:paraId="610B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jc w:val="center"/>
        </w:trPr>
        <w:tc>
          <w:tcPr>
            <w:tcW w:w="700" w:type="dxa"/>
            <w:shd w:val="clear" w:color="auto" w:fill="auto"/>
            <w:vAlign w:val="center"/>
          </w:tcPr>
          <w:p w14:paraId="07B9D59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vAlign w:val="center"/>
          </w:tcPr>
          <w:p w14:paraId="177570E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33C055D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694AA2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vAlign w:val="center"/>
          </w:tcPr>
          <w:p w14:paraId="0EEFB46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Merge w:val="continue"/>
            <w:vAlign w:val="center"/>
          </w:tcPr>
          <w:p w14:paraId="0A0D94CF">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3AD7BBB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3942D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77374DD7">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47590DFC">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7D48D93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280EE89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律师执业许可（专职律师）</w:t>
            </w:r>
          </w:p>
        </w:tc>
        <w:tc>
          <w:tcPr>
            <w:tcW w:w="1125" w:type="dxa"/>
            <w:shd w:val="clear" w:color="auto" w:fill="auto"/>
            <w:vAlign w:val="center"/>
          </w:tcPr>
          <w:p w14:paraId="6C2F858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875" w:type="dxa"/>
            <w:vAlign w:val="center"/>
          </w:tcPr>
          <w:p w14:paraId="67ED9E8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否</w:t>
            </w:r>
          </w:p>
        </w:tc>
        <w:tc>
          <w:tcPr>
            <w:tcW w:w="3050" w:type="dxa"/>
            <w:vAlign w:val="center"/>
          </w:tcPr>
          <w:p w14:paraId="067DAD1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《中华人民共和国律师法》第六条。</w:t>
            </w:r>
          </w:p>
        </w:tc>
      </w:tr>
      <w:tr w14:paraId="355F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jc w:val="center"/>
        </w:trPr>
        <w:tc>
          <w:tcPr>
            <w:tcW w:w="700" w:type="dxa"/>
            <w:shd w:val="clear" w:color="auto" w:fill="auto"/>
            <w:vAlign w:val="center"/>
          </w:tcPr>
          <w:p w14:paraId="2B98A74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vAlign w:val="center"/>
          </w:tcPr>
          <w:p w14:paraId="729FFC5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C020E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1473DA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vAlign w:val="center"/>
          </w:tcPr>
          <w:p w14:paraId="54D3F9C5">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Merge w:val="continue"/>
            <w:vAlign w:val="center"/>
          </w:tcPr>
          <w:p w14:paraId="7927DEA5">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477FDC3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69ABB2B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556D75EB">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741AD34A">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41DDDB4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034A610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律师执业许可（兼职律师）</w:t>
            </w:r>
          </w:p>
        </w:tc>
        <w:tc>
          <w:tcPr>
            <w:tcW w:w="1125" w:type="dxa"/>
            <w:shd w:val="clear" w:color="auto" w:fill="auto"/>
            <w:vAlign w:val="center"/>
          </w:tcPr>
          <w:p w14:paraId="4674ADF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875" w:type="dxa"/>
            <w:vAlign w:val="center"/>
          </w:tcPr>
          <w:p w14:paraId="3459955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否</w:t>
            </w:r>
          </w:p>
        </w:tc>
        <w:tc>
          <w:tcPr>
            <w:tcW w:w="3050" w:type="dxa"/>
            <w:vAlign w:val="center"/>
          </w:tcPr>
          <w:p w14:paraId="15D05AA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《中华人民共和国律师法》第十二条。</w:t>
            </w:r>
          </w:p>
        </w:tc>
      </w:tr>
      <w:tr w14:paraId="6A8F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700" w:type="dxa"/>
            <w:shd w:val="clear" w:color="auto" w:fill="auto"/>
            <w:vAlign w:val="center"/>
          </w:tcPr>
          <w:p w14:paraId="3B16ED5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5</w:t>
            </w:r>
          </w:p>
        </w:tc>
        <w:tc>
          <w:tcPr>
            <w:tcW w:w="1078" w:type="dxa"/>
            <w:vAlign w:val="center"/>
          </w:tcPr>
          <w:p w14:paraId="6792748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903EB5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0F8EE39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vAlign w:val="center"/>
          </w:tcPr>
          <w:p w14:paraId="4BAAB6EB">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Merge w:val="continue"/>
            <w:vAlign w:val="center"/>
          </w:tcPr>
          <w:p w14:paraId="2D9DB0CF">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40A39D9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431F32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5EA60AEB">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0B63E625">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7538FDE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75" w:type="dxa"/>
            <w:shd w:val="clear" w:color="auto" w:fill="auto"/>
            <w:vAlign w:val="center"/>
          </w:tcPr>
          <w:p w14:paraId="505E15B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律师执业许可（法律援助律师）</w:t>
            </w:r>
          </w:p>
        </w:tc>
        <w:tc>
          <w:tcPr>
            <w:tcW w:w="1125" w:type="dxa"/>
            <w:shd w:val="clear" w:color="auto" w:fill="auto"/>
            <w:vAlign w:val="center"/>
          </w:tcPr>
          <w:p w14:paraId="03749F7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875" w:type="dxa"/>
            <w:vAlign w:val="center"/>
          </w:tcPr>
          <w:p w14:paraId="065B417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否</w:t>
            </w:r>
          </w:p>
        </w:tc>
        <w:tc>
          <w:tcPr>
            <w:tcW w:w="3050" w:type="dxa"/>
            <w:vAlign w:val="center"/>
          </w:tcPr>
          <w:p w14:paraId="2361AD7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《司法部关于法律援助机构下设律师事务所脱钩改制及有关问题的通知》（司发通</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2000</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126号）第三条。</w:t>
            </w:r>
          </w:p>
        </w:tc>
      </w:tr>
      <w:tr w14:paraId="33DCB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jc w:val="center"/>
        </w:trPr>
        <w:tc>
          <w:tcPr>
            <w:tcW w:w="700" w:type="dxa"/>
            <w:shd w:val="clear" w:color="auto" w:fill="auto"/>
            <w:vAlign w:val="center"/>
          </w:tcPr>
          <w:p w14:paraId="4E8501B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6</w:t>
            </w:r>
          </w:p>
        </w:tc>
        <w:tc>
          <w:tcPr>
            <w:tcW w:w="1078" w:type="dxa"/>
            <w:vAlign w:val="center"/>
          </w:tcPr>
          <w:p w14:paraId="10D4D93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F6D864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6F36EF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3ED77BBD">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Merge w:val="continue"/>
            <w:vAlign w:val="center"/>
          </w:tcPr>
          <w:p w14:paraId="69E93869">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318C6E0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8F4406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6403ADB7">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0F0D97FA">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51AFB06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行政奖励</w:t>
            </w:r>
          </w:p>
        </w:tc>
        <w:tc>
          <w:tcPr>
            <w:tcW w:w="2275" w:type="dxa"/>
            <w:shd w:val="clear" w:color="auto" w:fill="auto"/>
            <w:vAlign w:val="center"/>
          </w:tcPr>
          <w:p w14:paraId="277E229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对在法律援助工作中作出突出贡献的组织和个人进行表彰奖励</w:t>
            </w:r>
          </w:p>
        </w:tc>
        <w:tc>
          <w:tcPr>
            <w:tcW w:w="1125" w:type="dxa"/>
            <w:shd w:val="clear" w:color="auto" w:fill="auto"/>
            <w:vAlign w:val="center"/>
          </w:tcPr>
          <w:p w14:paraId="1810252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75" w:type="dxa"/>
            <w:vAlign w:val="center"/>
          </w:tcPr>
          <w:p w14:paraId="3979817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vAlign w:val="center"/>
          </w:tcPr>
          <w:p w14:paraId="41758CA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《法律援助条例》（国务院令第385号）第九条。</w:t>
            </w:r>
          </w:p>
        </w:tc>
      </w:tr>
      <w:tr w14:paraId="5C8A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5A8E7C4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7</w:t>
            </w:r>
          </w:p>
        </w:tc>
        <w:tc>
          <w:tcPr>
            <w:tcW w:w="1078" w:type="dxa"/>
            <w:vAlign w:val="center"/>
          </w:tcPr>
          <w:p w14:paraId="2B4DE4C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4CE029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918D4E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1F5A8D5B">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Align w:val="center"/>
          </w:tcPr>
          <w:p w14:paraId="7CAD767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协助查询失信被执行人的律师身份信息、律师事务所登记信息；对失信被执行人为律师、律师事务所的，在一定期限内限制其参与评先、评优</w:t>
            </w:r>
          </w:p>
        </w:tc>
        <w:tc>
          <w:tcPr>
            <w:tcW w:w="1131" w:type="dxa"/>
            <w:shd w:val="clear" w:color="auto" w:fill="auto"/>
            <w:vAlign w:val="center"/>
          </w:tcPr>
          <w:p w14:paraId="1064A9A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19B8D1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6CAA01B7">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22D20CE7">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257FF9D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行政奖励</w:t>
            </w:r>
          </w:p>
        </w:tc>
        <w:tc>
          <w:tcPr>
            <w:tcW w:w="2275" w:type="dxa"/>
            <w:shd w:val="clear" w:color="auto" w:fill="auto"/>
            <w:vAlign w:val="center"/>
          </w:tcPr>
          <w:p w14:paraId="2F451CA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对基层法律服务所、基层法律服务工作者进行表彰奖励</w:t>
            </w:r>
          </w:p>
        </w:tc>
        <w:tc>
          <w:tcPr>
            <w:tcW w:w="1125" w:type="dxa"/>
            <w:shd w:val="clear" w:color="auto" w:fill="auto"/>
            <w:vAlign w:val="center"/>
          </w:tcPr>
          <w:p w14:paraId="55744B6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75" w:type="dxa"/>
            <w:vAlign w:val="center"/>
          </w:tcPr>
          <w:p w14:paraId="7C5D041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vAlign w:val="center"/>
          </w:tcPr>
          <w:p w14:paraId="5909F30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1.《基层法律服务所管理办法》（司法部令第137号）第三十五条；</w:t>
            </w:r>
          </w:p>
          <w:p w14:paraId="1C9A32C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2.《基层法律服务工作者管理办法》（司法部令第138号）第四十五条。</w:t>
            </w:r>
          </w:p>
        </w:tc>
      </w:tr>
      <w:tr w14:paraId="5804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055F416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8</w:t>
            </w:r>
          </w:p>
        </w:tc>
        <w:tc>
          <w:tcPr>
            <w:tcW w:w="1078" w:type="dxa"/>
            <w:vAlign w:val="center"/>
          </w:tcPr>
          <w:p w14:paraId="0FA61C1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39CC9C2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A7A845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0DD0D4A1">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司法</w:t>
            </w:r>
            <w:r>
              <w:rPr>
                <w:rFonts w:hint="eastAsia" w:ascii="微软雅黑" w:hAnsi="微软雅黑" w:eastAsia="微软雅黑" w:cs="宋体"/>
                <w:kern w:val="0"/>
                <w:sz w:val="20"/>
                <w:szCs w:val="20"/>
                <w:lang w:eastAsia="zh-CN"/>
              </w:rPr>
              <w:t>局</w:t>
            </w:r>
          </w:p>
        </w:tc>
        <w:tc>
          <w:tcPr>
            <w:tcW w:w="2082" w:type="dxa"/>
            <w:vAlign w:val="center"/>
          </w:tcPr>
          <w:p w14:paraId="24B03DF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协助查询失信被执行人的律师身份信息、律师事务所登记信息；对失信被执行人为律师、律师事务所的，在一定期限内限制其参与评先、评优</w:t>
            </w:r>
          </w:p>
        </w:tc>
        <w:tc>
          <w:tcPr>
            <w:tcW w:w="1131" w:type="dxa"/>
            <w:shd w:val="clear" w:color="auto" w:fill="auto"/>
            <w:vAlign w:val="center"/>
          </w:tcPr>
          <w:p w14:paraId="54DFC24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4D8DCE7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91" w:type="dxa"/>
            <w:vMerge w:val="continue"/>
            <w:shd w:val="clear" w:color="auto" w:fill="auto"/>
            <w:vAlign w:val="center"/>
          </w:tcPr>
          <w:p w14:paraId="55101BDE">
            <w:pPr>
              <w:widowControl/>
              <w:spacing w:line="240" w:lineRule="auto"/>
              <w:ind w:firstLine="0" w:firstLineChars="0"/>
              <w:jc w:val="center"/>
              <w:rPr>
                <w:rFonts w:ascii="微软雅黑" w:hAnsi="微软雅黑" w:eastAsia="微软雅黑" w:cs="宋体"/>
                <w:kern w:val="0"/>
                <w:sz w:val="20"/>
                <w:szCs w:val="20"/>
              </w:rPr>
            </w:pPr>
          </w:p>
        </w:tc>
        <w:tc>
          <w:tcPr>
            <w:tcW w:w="1475" w:type="dxa"/>
            <w:vMerge w:val="continue"/>
            <w:shd w:val="clear" w:color="auto" w:fill="auto"/>
            <w:vAlign w:val="center"/>
          </w:tcPr>
          <w:p w14:paraId="12562228">
            <w:pPr>
              <w:widowControl/>
              <w:spacing w:line="240" w:lineRule="auto"/>
              <w:ind w:firstLine="0" w:firstLineChars="0"/>
              <w:rPr>
                <w:rFonts w:ascii="微软雅黑" w:hAnsi="微软雅黑" w:eastAsia="微软雅黑" w:cs="宋体"/>
                <w:kern w:val="0"/>
                <w:sz w:val="20"/>
                <w:szCs w:val="20"/>
              </w:rPr>
            </w:pPr>
          </w:p>
        </w:tc>
        <w:tc>
          <w:tcPr>
            <w:tcW w:w="1150" w:type="dxa"/>
            <w:shd w:val="clear" w:color="auto" w:fill="auto"/>
            <w:vAlign w:val="center"/>
          </w:tcPr>
          <w:p w14:paraId="4A2881D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行政奖励</w:t>
            </w:r>
          </w:p>
        </w:tc>
        <w:tc>
          <w:tcPr>
            <w:tcW w:w="2275" w:type="dxa"/>
            <w:shd w:val="clear" w:color="auto" w:fill="auto"/>
            <w:vAlign w:val="center"/>
          </w:tcPr>
          <w:p w14:paraId="6DFDC37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对律师事务所、律师进行表彰奖励</w:t>
            </w:r>
          </w:p>
        </w:tc>
        <w:tc>
          <w:tcPr>
            <w:tcW w:w="1125" w:type="dxa"/>
            <w:shd w:val="clear" w:color="auto" w:fill="auto"/>
            <w:vAlign w:val="center"/>
          </w:tcPr>
          <w:p w14:paraId="5E23FCE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875" w:type="dxa"/>
            <w:vAlign w:val="center"/>
          </w:tcPr>
          <w:p w14:paraId="454E094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vAlign w:val="center"/>
          </w:tcPr>
          <w:p w14:paraId="19CCE47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1.《律师执业管理办法》（法部令第134号）第五条；</w:t>
            </w:r>
          </w:p>
          <w:p w14:paraId="37C4DA7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2.《律师事务所管理办法》（司法部令第133号）第六条。</w:t>
            </w:r>
          </w:p>
        </w:tc>
      </w:tr>
      <w:tr w14:paraId="5D19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0" w:hRule="atLeast"/>
          <w:jc w:val="center"/>
        </w:trPr>
        <w:tc>
          <w:tcPr>
            <w:tcW w:w="22102" w:type="dxa"/>
            <w:gridSpan w:val="15"/>
            <w:tcBorders>
              <w:bottom w:val="single" w:color="auto" w:sz="4" w:space="0"/>
            </w:tcBorders>
            <w:shd w:val="clear" w:color="auto" w:fill="auto"/>
            <w:vAlign w:val="center"/>
          </w:tcPr>
          <w:p w14:paraId="033200BA">
            <w:pPr>
              <w:widowControl/>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4170331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1</w:t>
            </w:r>
            <w:r>
              <w:rPr>
                <w:rFonts w:hint="eastAsia" w:ascii="微软雅黑" w:hAnsi="微软雅黑" w:eastAsia="微软雅黑" w:cs="宋体"/>
                <w:kern w:val="0"/>
                <w:sz w:val="20"/>
                <w:szCs w:val="20"/>
              </w:rPr>
              <w:t>.《中华人民共和国民事诉讼法》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第二百四十二条 被执行人未按执行通知履行法律文书确定的义务，人民法院有权向有关单位查询被执行人的存款、债券、股票、基金份额等财产情况。人民法院有权根据不同情形扣押、冻结、划拨、变价被执行人的财产。</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人民法院决定扣押、冻结、划拨、变价财产，应当作出裁定，并发出协助执行通知书，有关单位必须办理。</w:t>
            </w:r>
          </w:p>
          <w:p w14:paraId="69EB0BB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第二百五十一条 在执行中，需要办理有关财产权证照转移手续的，人民法院可以向有关单位发出协助执行通知书，有关单位必须办理。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2.河北省高级人民法院关于适用《中华人民共和国民事诉讼法》的解释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第九十四条 民事诉讼法第六十四条第二款规定的当事人及其诉讼代理人因客观原因不能自行收集的证据包括：</w:t>
            </w:r>
          </w:p>
          <w:p w14:paraId="6B57067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（一）证据由国家有关部门保存，当事人及其诉讼代理人无权查阅调取的；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（二）涉及国家秘密、商业秘密或者个人隐私的；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（三）当事人及其诉讼代理人因客观原因不能自行收集的其他证据。</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当事人及其诉讼代理人因客观原因不能自行收集的证据，可以在举证期限届满前书面申请人民法院调查收集。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第九十六条 民事诉讼法第六十四条第二款规定的人民法院认为审理案件需要的证据包括：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（一）涉及可能损害国家利益、社会公共利益的；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（二）涉及身份关系的；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第四百八十五条 人民法院有权查询被执行人的身份信息与财产信息，掌握相关信息的单位和个人必须按照协助执行通知书办理。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第十条 司法行政部门应当加强法制宣传教育，提高人民群众的法律意识，提高债务人主动履行生效法律文书的自觉性。对各级领导干部加强依法支持人民法院执行工作的观念教育，克服地方和部门保护主义思想。对监狱、劳教单位作为被执行人的案件，督促被执行人及时履行。指导律师、公证人员和基层法律服务工作者做好当事人工作，积极履行生效法律文书确定的义务。监狱、劳教所、强制隔离戒毒所对服刑、劳教人员和强制隔离戒毒人员作为被执行人的案件，积极协助人民法院依法执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4.《国务院关于促进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场公平竞争维护</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场正常秩序的若干意见》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第四部分第（十五）条 建立健全守信激励和失信惩戒机制。将</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场主体的信用信息作为实施行政管理的重要参考。根据</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场主体信用状况实行分类分级、动态监管，建立健全经营异常名录制度，对违背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场竞争原则和侵犯消费者、劳动者合法权益的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建立“黑名单”制度。（工商总局牵头负责）对守信主体予以支持和激励，对失信主体在经营、投融资、取得政府供应土地、进出口、出入境、注册新公司、工程招投标、政府采购、获得荣誉、安全许可、生产许可、从业任职资格、资质审核等方面依法予以限制或禁止，对严重违法失信主体实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场禁入制度。（各相关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场监管部门按职责分工分别负责）</w:t>
            </w:r>
          </w:p>
          <w:p w14:paraId="660E423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《中华人民共和国律师法》</w:t>
            </w:r>
          </w:p>
          <w:p w14:paraId="0C97B921">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第五条　申请律师执业，应当具备下列条件：</w:t>
            </w:r>
          </w:p>
          <w:p w14:paraId="5CC3E9E1">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（一）拥护中华人民共和国宪法；</w:t>
            </w:r>
          </w:p>
          <w:p w14:paraId="65A51312">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（二）通过国家统一法律职业资格考试取得法律职业资格；</w:t>
            </w:r>
          </w:p>
          <w:p w14:paraId="6B023EA3">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（三）在律师事务所实习满一年；</w:t>
            </w:r>
          </w:p>
          <w:p w14:paraId="299D3A09">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（四）品行良好。</w:t>
            </w:r>
          </w:p>
          <w:p w14:paraId="595BC5F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实行国家统一法律职业资格考试前取得的国家统一司法考试合格证书、律师资格凭证，与国家统一法律职业资格证书具有同等效力。</w:t>
            </w:r>
          </w:p>
          <w:p w14:paraId="165D501B">
            <w:pPr>
              <w:widowControl/>
              <w:spacing w:line="240" w:lineRule="auto"/>
              <w:ind w:firstLine="0" w:firstLineChars="0"/>
              <w:jc w:val="left"/>
              <w:rPr>
                <w:rFonts w:ascii="微软雅黑" w:hAnsi="微软雅黑" w:eastAsia="微软雅黑" w:cs="宋体"/>
                <w:kern w:val="0"/>
                <w:sz w:val="20"/>
                <w:szCs w:val="20"/>
              </w:rPr>
            </w:pPr>
          </w:p>
        </w:tc>
      </w:tr>
    </w:tbl>
    <w:p w14:paraId="2BD675F1">
      <w:pPr>
        <w:ind w:firstLine="640"/>
      </w:pPr>
      <w:r>
        <w:rPr>
          <w:bCs/>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142"/>
        <w:gridCol w:w="1463"/>
        <w:gridCol w:w="1162"/>
        <w:gridCol w:w="2250"/>
        <w:gridCol w:w="1088"/>
        <w:gridCol w:w="900"/>
        <w:gridCol w:w="3036"/>
      </w:tblGrid>
      <w:tr w14:paraId="3058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41445F37">
            <w:pPr>
              <w:pStyle w:val="2"/>
              <w:rPr>
                <w:rFonts w:hint="eastAsia" w:eastAsia="华文中宋"/>
                <w:lang w:eastAsia="zh-CN"/>
              </w:rPr>
            </w:pPr>
            <w:r>
              <w:br w:type="page"/>
            </w:r>
            <w:bookmarkStart w:id="13" w:name="_Toc20473856"/>
            <w:r>
              <w:rPr>
                <w:rFonts w:hint="eastAsia"/>
              </w:rPr>
              <w:t>1</w:t>
            </w:r>
            <w:r>
              <w:rPr>
                <w:rFonts w:hint="eastAsia"/>
                <w:lang w:val="en-US" w:eastAsia="zh-CN"/>
              </w:rPr>
              <w:t>4</w:t>
            </w:r>
            <w:r>
              <w:rPr>
                <w:rFonts w:hint="eastAsia"/>
              </w:rPr>
              <w:t>、</w:t>
            </w:r>
            <w:r>
              <w:rPr>
                <w:rFonts w:hint="eastAsia"/>
                <w:lang w:eastAsia="zh-CN"/>
              </w:rPr>
              <w:t>县</w:t>
            </w:r>
            <w:r>
              <w:rPr>
                <w:rFonts w:hint="eastAsia"/>
              </w:rPr>
              <w:t>财政</w:t>
            </w:r>
            <w:bookmarkEnd w:id="13"/>
            <w:r>
              <w:rPr>
                <w:rFonts w:hint="eastAsia"/>
                <w:lang w:eastAsia="zh-CN"/>
              </w:rPr>
              <w:t>局</w:t>
            </w:r>
          </w:p>
        </w:tc>
      </w:tr>
      <w:tr w14:paraId="1D39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457C6F1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66" w:type="dxa"/>
            <w:gridSpan w:val="9"/>
            <w:shd w:val="clear" w:color="000000" w:fill="D6DCE4"/>
            <w:vAlign w:val="center"/>
          </w:tcPr>
          <w:p w14:paraId="49DBBB6D">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36" w:type="dxa"/>
            <w:gridSpan w:val="5"/>
            <w:shd w:val="clear" w:color="000000" w:fill="D6DCE4"/>
            <w:vAlign w:val="center"/>
          </w:tcPr>
          <w:p w14:paraId="1E29C5AB">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77E0E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7FE1770A">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7EF2D77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1223EAE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0A77FFA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2371BC9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4509956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3307354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73B9896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142" w:type="dxa"/>
            <w:shd w:val="clear" w:color="000000" w:fill="D6DCE4"/>
            <w:vAlign w:val="center"/>
          </w:tcPr>
          <w:p w14:paraId="5F9684D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463" w:type="dxa"/>
            <w:shd w:val="clear" w:color="000000" w:fill="D6DCE4"/>
            <w:vAlign w:val="center"/>
          </w:tcPr>
          <w:p w14:paraId="64AB7B3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62" w:type="dxa"/>
            <w:shd w:val="clear" w:color="000000" w:fill="D6DCE4"/>
            <w:vAlign w:val="center"/>
          </w:tcPr>
          <w:p w14:paraId="239C1AD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50" w:type="dxa"/>
            <w:shd w:val="clear" w:color="000000" w:fill="D6DCE4"/>
            <w:vAlign w:val="center"/>
          </w:tcPr>
          <w:p w14:paraId="23AC013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88" w:type="dxa"/>
            <w:shd w:val="clear" w:color="000000" w:fill="D6DCE4"/>
            <w:vAlign w:val="center"/>
          </w:tcPr>
          <w:p w14:paraId="344C06F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00" w:type="dxa"/>
            <w:shd w:val="clear" w:color="000000" w:fill="D6DCE4"/>
            <w:vAlign w:val="center"/>
          </w:tcPr>
          <w:p w14:paraId="517882D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36" w:type="dxa"/>
            <w:shd w:val="clear" w:color="000000" w:fill="D6DCE4"/>
            <w:vAlign w:val="center"/>
          </w:tcPr>
          <w:p w14:paraId="7BF55C6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3D3D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7" w:hRule="atLeast"/>
          <w:jc w:val="center"/>
        </w:trPr>
        <w:tc>
          <w:tcPr>
            <w:tcW w:w="700" w:type="dxa"/>
            <w:shd w:val="clear" w:color="auto" w:fill="auto"/>
            <w:vAlign w:val="center"/>
          </w:tcPr>
          <w:p w14:paraId="54F0C9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3EB50C1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C22A6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5E274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3BDF9968">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财政</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1058682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协助查询政府采购项目信息</w:t>
            </w:r>
          </w:p>
        </w:tc>
        <w:tc>
          <w:tcPr>
            <w:tcW w:w="1131" w:type="dxa"/>
            <w:shd w:val="clear" w:color="auto" w:fill="auto"/>
            <w:vAlign w:val="center"/>
          </w:tcPr>
          <w:p w14:paraId="6650C8F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C96292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42" w:type="dxa"/>
            <w:vMerge w:val="restart"/>
            <w:shd w:val="clear" w:color="auto" w:fill="auto"/>
            <w:vAlign w:val="center"/>
          </w:tcPr>
          <w:p w14:paraId="150A532A">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详见下方</w:t>
            </w:r>
          </w:p>
          <w:p w14:paraId="5FFFEDB5">
            <w:pPr>
              <w:widowControl/>
              <w:spacing w:line="240" w:lineRule="auto"/>
              <w:ind w:firstLine="0" w:firstLineChars="0"/>
              <w:jc w:val="center"/>
              <w:rPr>
                <w:rFonts w:ascii="微软雅黑" w:hAnsi="微软雅黑" w:eastAsia="微软雅黑" w:cs="宋体"/>
                <w:kern w:val="0"/>
                <w:sz w:val="20"/>
                <w:szCs w:val="20"/>
              </w:rPr>
            </w:pPr>
          </w:p>
        </w:tc>
        <w:tc>
          <w:tcPr>
            <w:tcW w:w="1463" w:type="dxa"/>
            <w:shd w:val="clear" w:color="auto" w:fill="auto"/>
            <w:vAlign w:val="center"/>
          </w:tcPr>
          <w:p w14:paraId="5DB1A31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2A52354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62" w:type="dxa"/>
            <w:shd w:val="clear" w:color="auto" w:fill="auto"/>
            <w:vAlign w:val="center"/>
          </w:tcPr>
          <w:p w14:paraId="68716C5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50" w:type="dxa"/>
            <w:shd w:val="clear" w:color="auto" w:fill="auto"/>
            <w:vAlign w:val="center"/>
          </w:tcPr>
          <w:p w14:paraId="223411C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88" w:type="dxa"/>
            <w:shd w:val="clear" w:color="auto" w:fill="auto"/>
            <w:vAlign w:val="center"/>
          </w:tcPr>
          <w:p w14:paraId="688BC8A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00" w:type="dxa"/>
            <w:vMerge w:val="restart"/>
            <w:shd w:val="clear" w:color="auto" w:fill="auto"/>
            <w:vAlign w:val="center"/>
          </w:tcPr>
          <w:p w14:paraId="0191E97A">
            <w:pPr>
              <w:widowControl/>
              <w:spacing w:line="240" w:lineRule="auto"/>
              <w:ind w:firstLine="0" w:firstLineChars="0"/>
              <w:jc w:val="center"/>
              <w:rPr>
                <w:rFonts w:ascii="微软雅黑" w:hAnsi="微软雅黑" w:eastAsia="微软雅黑" w:cs="宋体"/>
                <w:kern w:val="0"/>
                <w:sz w:val="20"/>
                <w:szCs w:val="20"/>
              </w:rPr>
            </w:pPr>
          </w:p>
        </w:tc>
        <w:tc>
          <w:tcPr>
            <w:tcW w:w="3036" w:type="dxa"/>
            <w:shd w:val="clear" w:color="auto" w:fill="auto"/>
            <w:vAlign w:val="center"/>
          </w:tcPr>
          <w:p w14:paraId="19169E44">
            <w:pPr>
              <w:widowControl/>
              <w:spacing w:line="240" w:lineRule="auto"/>
              <w:ind w:firstLine="0" w:firstLineChars="0"/>
              <w:rPr>
                <w:rFonts w:ascii="微软雅黑" w:hAnsi="微软雅黑" w:eastAsia="微软雅黑" w:cs="宋体"/>
                <w:kern w:val="0"/>
                <w:sz w:val="20"/>
                <w:szCs w:val="20"/>
              </w:rPr>
            </w:pPr>
          </w:p>
        </w:tc>
      </w:tr>
      <w:tr w14:paraId="3004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6" w:hRule="atLeast"/>
          <w:jc w:val="center"/>
        </w:trPr>
        <w:tc>
          <w:tcPr>
            <w:tcW w:w="700" w:type="dxa"/>
            <w:shd w:val="clear" w:color="auto" w:fill="auto"/>
            <w:vAlign w:val="center"/>
          </w:tcPr>
          <w:p w14:paraId="61A9F72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shd w:val="clear" w:color="auto" w:fill="auto"/>
            <w:vAlign w:val="center"/>
          </w:tcPr>
          <w:p w14:paraId="25F4939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B4EF2E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7675C2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17E8BBFC">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财政</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05E09A7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依法限制失信被执行人作为供应商参加政府采购活动</w:t>
            </w:r>
          </w:p>
        </w:tc>
        <w:tc>
          <w:tcPr>
            <w:tcW w:w="1131" w:type="dxa"/>
            <w:shd w:val="clear" w:color="auto" w:fill="auto"/>
            <w:vAlign w:val="center"/>
          </w:tcPr>
          <w:p w14:paraId="07C7127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406DF9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142" w:type="dxa"/>
            <w:vMerge w:val="continue"/>
            <w:shd w:val="clear" w:color="auto" w:fill="auto"/>
            <w:vAlign w:val="center"/>
          </w:tcPr>
          <w:p w14:paraId="00E3AD2B">
            <w:pPr>
              <w:widowControl/>
              <w:spacing w:line="240" w:lineRule="auto"/>
              <w:ind w:firstLine="0" w:firstLineChars="0"/>
              <w:jc w:val="center"/>
              <w:rPr>
                <w:rFonts w:ascii="微软雅黑" w:hAnsi="微软雅黑" w:eastAsia="微软雅黑" w:cs="宋体"/>
                <w:kern w:val="0"/>
                <w:sz w:val="20"/>
                <w:szCs w:val="20"/>
              </w:rPr>
            </w:pPr>
          </w:p>
        </w:tc>
        <w:tc>
          <w:tcPr>
            <w:tcW w:w="1463" w:type="dxa"/>
            <w:shd w:val="clear" w:color="auto" w:fill="auto"/>
            <w:vAlign w:val="center"/>
          </w:tcPr>
          <w:p w14:paraId="6D5521E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w:t>
            </w:r>
            <w:r>
              <w:rPr>
                <w:rFonts w:hint="eastAsia" w:ascii="微软雅黑" w:hAnsi="微软雅黑" w:eastAsia="微软雅黑" w:cs="宋体"/>
                <w:kern w:val="0"/>
                <w:sz w:val="20"/>
                <w:szCs w:val="20"/>
                <w:lang w:eastAsia="zh-CN"/>
              </w:rPr>
              <w:t>发</w:t>
            </w:r>
            <w:r>
              <w:rPr>
                <w:rFonts w:hint="eastAsia" w:ascii="微软雅黑" w:hAnsi="微软雅黑" w:eastAsia="微软雅黑" w:cs="宋体"/>
                <w:kern w:val="0"/>
                <w:sz w:val="20"/>
                <w:szCs w:val="20"/>
              </w:rPr>
              <w:t>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　</w:t>
            </w:r>
          </w:p>
        </w:tc>
        <w:tc>
          <w:tcPr>
            <w:tcW w:w="1162" w:type="dxa"/>
            <w:shd w:val="clear" w:color="auto" w:fill="auto"/>
            <w:vAlign w:val="center"/>
          </w:tcPr>
          <w:p w14:paraId="7B11BD6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50" w:type="dxa"/>
            <w:shd w:val="clear" w:color="auto" w:fill="auto"/>
            <w:vAlign w:val="center"/>
          </w:tcPr>
          <w:p w14:paraId="7DEF904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88" w:type="dxa"/>
            <w:shd w:val="clear" w:color="auto" w:fill="auto"/>
            <w:vAlign w:val="center"/>
          </w:tcPr>
          <w:p w14:paraId="4D8DC49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00" w:type="dxa"/>
            <w:vMerge w:val="continue"/>
            <w:shd w:val="clear" w:color="auto" w:fill="auto"/>
            <w:vAlign w:val="center"/>
          </w:tcPr>
          <w:p w14:paraId="7422E7A9">
            <w:pPr>
              <w:widowControl/>
              <w:spacing w:line="240" w:lineRule="auto"/>
              <w:ind w:firstLine="0" w:firstLineChars="0"/>
              <w:jc w:val="center"/>
              <w:rPr>
                <w:rFonts w:ascii="微软雅黑" w:hAnsi="微软雅黑" w:eastAsia="微软雅黑" w:cs="宋体"/>
                <w:kern w:val="0"/>
                <w:sz w:val="20"/>
                <w:szCs w:val="20"/>
              </w:rPr>
            </w:pPr>
          </w:p>
        </w:tc>
        <w:tc>
          <w:tcPr>
            <w:tcW w:w="3036" w:type="dxa"/>
            <w:shd w:val="clear" w:color="auto" w:fill="auto"/>
            <w:vAlign w:val="center"/>
          </w:tcPr>
          <w:p w14:paraId="532EDA92">
            <w:pPr>
              <w:widowControl/>
              <w:spacing w:line="240" w:lineRule="auto"/>
              <w:ind w:firstLine="0" w:firstLineChars="0"/>
              <w:rPr>
                <w:rFonts w:ascii="微软雅黑" w:hAnsi="微软雅黑" w:eastAsia="微软雅黑" w:cs="宋体"/>
                <w:kern w:val="0"/>
                <w:sz w:val="20"/>
                <w:szCs w:val="20"/>
              </w:rPr>
            </w:pPr>
          </w:p>
        </w:tc>
      </w:tr>
      <w:tr w14:paraId="306D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0" w:hRule="atLeast"/>
          <w:jc w:val="center"/>
        </w:trPr>
        <w:tc>
          <w:tcPr>
            <w:tcW w:w="22102" w:type="dxa"/>
            <w:gridSpan w:val="15"/>
            <w:shd w:val="clear" w:color="auto" w:fill="auto"/>
            <w:vAlign w:val="center"/>
          </w:tcPr>
          <w:p w14:paraId="3D1FA984">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110D237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1.《中华人民共和国政府采购法》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第二十二条 供应商参加政府采购活动应当具备下列条件：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（1）具有独立承担民事责任的能力；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（2）具有良好的商业信誉和健全的财务会计制度；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（3）具有履行合同所必需的设备和专业技术能力；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（4）有依法缴纳税收和社会保障资金的良好记录；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（5）参加政府采购活动前三年内，在经营活动中没有重大违法记录；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（6）法律、行政法规规定的其他条件。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2.《社会信用体系建设规划纲要（2014-2020年）》</w:t>
            </w:r>
          </w:p>
          <w:p w14:paraId="3258914B">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第二部分第（一）（二）条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（一）加快推进政务诚信建设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（二）深入推进商务诚信建设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政府采购领域信用建设。加强政府采购信用管理，强化联动惩戒，保护政府采购当事人的合法权益。制定供应商、评审专家、政府采购代理机构以及相关从业人员的信用记录标准。依法建立政府采购供应商不良行为记录名单，对列入不良行为记录名单的供应商，在一定期限内禁止参加政府采购活动。完善政府采购</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的准入和退出机制，充分利用工商、税务、金融、检察等其他部门提供的信用信息，加强对政府采购当事人和相关人员的信用管理。加快建设全国统一的政府采购管理交易系统，提高政府采购活动透明度，实现信用信息的统一发布和共享。</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招标投标领域信用建设。扩大招标投标信用信息公开和共享范围，建立涵盖招标投标情况的信用评价指标和评价标准体系，健全招标投标信用信息公开和共享制度。进一步贯彻落实招标投标违法行为记录公告制度，推动完善奖惩联动机制。依托电子招标投标系统及其公共服务平台，实现招标投标和合同履行等信用信息的互联互通、实时交换和整合共享。鼓励</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场主体运用基本信用信息和第三方信用评价结果，并将其作为投标人资格审查、评标、定标和合同签订的重要依据。</w:t>
            </w:r>
          </w:p>
        </w:tc>
      </w:tr>
    </w:tbl>
    <w:p w14:paraId="6534CE5E">
      <w:pPr>
        <w:ind w:firstLine="640"/>
      </w:pPr>
      <w:r>
        <w:rPr>
          <w:bCs/>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089"/>
        <w:gridCol w:w="1500"/>
        <w:gridCol w:w="1125"/>
        <w:gridCol w:w="2175"/>
        <w:gridCol w:w="1163"/>
        <w:gridCol w:w="937"/>
        <w:gridCol w:w="3052"/>
      </w:tblGrid>
      <w:tr w14:paraId="1DDA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1AD4F4B1">
            <w:pPr>
              <w:pStyle w:val="2"/>
              <w:rPr>
                <w:rFonts w:hint="eastAsia" w:eastAsia="华文中宋"/>
                <w:lang w:eastAsia="zh-CN"/>
              </w:rPr>
            </w:pPr>
            <w:bookmarkStart w:id="14" w:name="_Toc20473857"/>
            <w:r>
              <w:rPr>
                <w:rFonts w:hint="eastAsia"/>
              </w:rPr>
              <w:t>1</w:t>
            </w:r>
            <w:r>
              <w:rPr>
                <w:rFonts w:hint="eastAsia"/>
                <w:lang w:val="en-US" w:eastAsia="zh-CN"/>
              </w:rPr>
              <w:t>5</w:t>
            </w:r>
            <w:r>
              <w:rPr>
                <w:rFonts w:hint="eastAsia"/>
              </w:rPr>
              <w:t>、</w:t>
            </w:r>
            <w:r>
              <w:rPr>
                <w:rFonts w:hint="eastAsia"/>
                <w:lang w:eastAsia="zh-CN"/>
              </w:rPr>
              <w:t>县</w:t>
            </w:r>
            <w:r>
              <w:rPr>
                <w:rFonts w:hint="eastAsia"/>
              </w:rPr>
              <w:t>人力资源和社会保障</w:t>
            </w:r>
            <w:bookmarkEnd w:id="14"/>
            <w:r>
              <w:rPr>
                <w:rFonts w:hint="eastAsia"/>
                <w:lang w:eastAsia="zh-CN"/>
              </w:rPr>
              <w:t>局</w:t>
            </w:r>
          </w:p>
        </w:tc>
      </w:tr>
      <w:tr w14:paraId="1147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434E055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50" w:type="dxa"/>
            <w:gridSpan w:val="9"/>
            <w:shd w:val="clear" w:color="000000" w:fill="D6DCE4"/>
            <w:vAlign w:val="center"/>
          </w:tcPr>
          <w:p w14:paraId="0335ACEA">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52" w:type="dxa"/>
            <w:gridSpan w:val="5"/>
            <w:shd w:val="clear" w:color="000000" w:fill="D6DCE4"/>
            <w:vAlign w:val="center"/>
          </w:tcPr>
          <w:p w14:paraId="74ED29E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0712A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45A6B6C1">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3E2BEAA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58393D7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78EAC56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5615D99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5BBC3E1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342A404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1B581AC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089" w:type="dxa"/>
            <w:shd w:val="clear" w:color="000000" w:fill="D6DCE4"/>
            <w:vAlign w:val="center"/>
          </w:tcPr>
          <w:p w14:paraId="71EE028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500" w:type="dxa"/>
            <w:shd w:val="clear" w:color="000000" w:fill="D6DCE4"/>
            <w:vAlign w:val="center"/>
          </w:tcPr>
          <w:p w14:paraId="2C2C0A1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25" w:type="dxa"/>
            <w:shd w:val="clear" w:color="000000" w:fill="D6DCE4"/>
            <w:vAlign w:val="center"/>
          </w:tcPr>
          <w:p w14:paraId="22D31E9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75" w:type="dxa"/>
            <w:shd w:val="clear" w:color="000000" w:fill="D6DCE4"/>
            <w:vAlign w:val="center"/>
          </w:tcPr>
          <w:p w14:paraId="5191198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63" w:type="dxa"/>
            <w:shd w:val="clear" w:color="000000" w:fill="D6DCE4"/>
            <w:vAlign w:val="center"/>
          </w:tcPr>
          <w:p w14:paraId="0213A65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37" w:type="dxa"/>
            <w:shd w:val="clear" w:color="000000" w:fill="D6DCE4"/>
            <w:vAlign w:val="center"/>
          </w:tcPr>
          <w:p w14:paraId="50456ED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52" w:type="dxa"/>
            <w:shd w:val="clear" w:color="000000" w:fill="D6DCE4"/>
            <w:vAlign w:val="center"/>
          </w:tcPr>
          <w:p w14:paraId="3AFA23F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08EE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700" w:type="dxa"/>
            <w:shd w:val="clear" w:color="auto" w:fill="auto"/>
            <w:vAlign w:val="center"/>
          </w:tcPr>
          <w:p w14:paraId="68A1B2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38C5E7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D329D7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66966E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3B391CE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2321F2C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5C9072F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2F7633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7526F19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5C433B2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135EBFB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55E114B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32F0687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0EFC45A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职业培训补贴申领</w:t>
            </w:r>
          </w:p>
        </w:tc>
        <w:tc>
          <w:tcPr>
            <w:tcW w:w="1163" w:type="dxa"/>
            <w:shd w:val="clear" w:color="auto" w:fill="auto"/>
            <w:vAlign w:val="center"/>
          </w:tcPr>
          <w:p w14:paraId="27B4F32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0A3334A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326E67E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1.《关于东部7省（</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）扩大失业保险基金支出范围试点有关问题的通知》（人社部发〔2011〕95号）；</w:t>
            </w:r>
          </w:p>
          <w:p w14:paraId="7020E5B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2.《失业保险条例》（国务院令第258号）第十条；</w:t>
            </w:r>
          </w:p>
          <w:p w14:paraId="25FDB27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3.《关于东部7省（</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）扩大失业保险基金支出范围试点有关问题的通知》（人社部发〔2012〕32号）；</w:t>
            </w:r>
          </w:p>
          <w:p w14:paraId="425BB30E">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4.《关于适当扩大失业保险基金支出范围试点有关问题的通知》（劳社部发〔2006〕5号）。</w:t>
            </w:r>
          </w:p>
          <w:p w14:paraId="2BB3104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5</w:t>
            </w:r>
            <w:r>
              <w:rPr>
                <w:rFonts w:hint="eastAsia" w:ascii="微软雅黑" w:hAnsi="微软雅黑" w:eastAsia="微软雅黑" w:cs="宋体"/>
                <w:kern w:val="0"/>
                <w:sz w:val="20"/>
                <w:szCs w:val="20"/>
              </w:rPr>
              <w:t>.《关于印发〈就业补助资金管理办法〉的通知》（财社〔2017〕164号）第四条；</w:t>
            </w:r>
          </w:p>
          <w:p w14:paraId="12F6E84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6</w:t>
            </w:r>
            <w:r>
              <w:rPr>
                <w:rFonts w:hint="eastAsia" w:ascii="微软雅黑" w:hAnsi="微软雅黑" w:eastAsia="微软雅黑" w:cs="宋体"/>
                <w:kern w:val="0"/>
                <w:sz w:val="20"/>
                <w:szCs w:val="20"/>
              </w:rPr>
              <w:t>.《关于进一步加大就业扶贫政策支持力度着力提高劳务组织化程度的通知》（人社部发〔2018〕46号）第一条；</w:t>
            </w:r>
          </w:p>
          <w:p w14:paraId="00CD0E7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7</w:t>
            </w:r>
            <w:r>
              <w:rPr>
                <w:rFonts w:hint="eastAsia" w:ascii="微软雅黑" w:hAnsi="微软雅黑" w:eastAsia="微软雅黑" w:cs="宋体"/>
                <w:kern w:val="0"/>
                <w:sz w:val="20"/>
                <w:szCs w:val="20"/>
              </w:rPr>
              <w:t>.《国务院关于进一步做好新形势下就业创业工作的意见》（国发〔2015〕23号）第二十条；</w:t>
            </w:r>
          </w:p>
          <w:p w14:paraId="416B39F3">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8</w:t>
            </w:r>
            <w:r>
              <w:rPr>
                <w:rFonts w:hint="eastAsia" w:ascii="微软雅黑" w:hAnsi="微软雅黑" w:eastAsia="微软雅黑" w:cs="宋体"/>
                <w:kern w:val="0"/>
                <w:sz w:val="20"/>
                <w:szCs w:val="20"/>
              </w:rPr>
              <w:t>.《中华人民共和国就业促进法》第十五条。</w:t>
            </w:r>
          </w:p>
        </w:tc>
      </w:tr>
      <w:tr w14:paraId="1856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700" w:type="dxa"/>
            <w:shd w:val="clear" w:color="auto" w:fill="auto"/>
            <w:vAlign w:val="center"/>
          </w:tcPr>
          <w:p w14:paraId="639EB08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vAlign w:val="center"/>
          </w:tcPr>
          <w:p w14:paraId="3C0731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6C8A86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E7603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601E2E8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55266B3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5F3644F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CD495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4D6115C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7B544FF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18374E9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5706A0B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3E3F383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4637ACF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职业介绍补贴申领</w:t>
            </w:r>
          </w:p>
        </w:tc>
        <w:tc>
          <w:tcPr>
            <w:tcW w:w="1163" w:type="dxa"/>
            <w:shd w:val="clear" w:color="auto" w:fill="auto"/>
            <w:vAlign w:val="center"/>
          </w:tcPr>
          <w:p w14:paraId="1EA8116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0727C7B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6ED104D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1.《失业保险金申领发放办法》（劳动和社会保障部令第8号）第十一条；</w:t>
            </w:r>
          </w:p>
          <w:p w14:paraId="08040E0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2.《失业保险条例》（国务院令第258号）第十条；</w:t>
            </w:r>
          </w:p>
          <w:p w14:paraId="5900486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3.《关于印发优化失业保险经办业务流程指南的通知》（劳社厅发〔2006〕24号）第五章第二条。</w:t>
            </w:r>
          </w:p>
        </w:tc>
      </w:tr>
      <w:tr w14:paraId="2B5C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0" w:hRule="atLeast"/>
          <w:jc w:val="center"/>
        </w:trPr>
        <w:tc>
          <w:tcPr>
            <w:tcW w:w="700" w:type="dxa"/>
            <w:shd w:val="clear" w:color="auto" w:fill="auto"/>
            <w:vAlign w:val="center"/>
          </w:tcPr>
          <w:p w14:paraId="3BF64EC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vAlign w:val="center"/>
          </w:tcPr>
          <w:p w14:paraId="48144EC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6F874E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8CC20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2B97A7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4E409F2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7D54AB5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816306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5101574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4BEFF68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3CEBECB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67C9FCD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715F1DD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245725B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价格临时补贴申领</w:t>
            </w:r>
          </w:p>
        </w:tc>
        <w:tc>
          <w:tcPr>
            <w:tcW w:w="1163" w:type="dxa"/>
            <w:shd w:val="clear" w:color="auto" w:fill="auto"/>
            <w:vAlign w:val="center"/>
          </w:tcPr>
          <w:p w14:paraId="2A2CC83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675B500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1FF29A7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1.《关于建立社会救助和保障标准与物价上涨挂钩的联动机制的通知》（发改价格〔2011〕431号）第二条；</w:t>
            </w:r>
          </w:p>
          <w:p w14:paraId="40D7F79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2.《关于完善社会救助和保障标准与物价上涨挂钩联动机制的通知》（发改价格〔2014〕182号）第五条；</w:t>
            </w:r>
          </w:p>
          <w:p w14:paraId="1798FED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3.《关于进一步完善社会救助和保障标准与物价上涨挂钩联动机制的通知》（发改价格规〔2016〕1835号）第三条。</w:t>
            </w:r>
          </w:p>
        </w:tc>
      </w:tr>
      <w:tr w14:paraId="2C63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0" w:hRule="atLeast"/>
          <w:jc w:val="center"/>
        </w:trPr>
        <w:tc>
          <w:tcPr>
            <w:tcW w:w="700" w:type="dxa"/>
            <w:shd w:val="clear" w:color="auto" w:fill="auto"/>
            <w:vAlign w:val="center"/>
          </w:tcPr>
          <w:p w14:paraId="1BF24BE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vAlign w:val="center"/>
          </w:tcPr>
          <w:p w14:paraId="0B9F46B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C15A79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8E15C0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52800AF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28C7E0B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51BA15F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AFA846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restart"/>
            <w:shd w:val="clear" w:color="auto" w:fill="auto"/>
            <w:vAlign w:val="center"/>
          </w:tcPr>
          <w:p w14:paraId="26C9D1B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6479EEC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6D9C0D7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vMerge w:val="restart"/>
            <w:shd w:val="clear" w:color="auto" w:fill="auto"/>
            <w:vAlign w:val="center"/>
          </w:tcPr>
          <w:p w14:paraId="652E1A3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7317C7F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697B68A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稳岗补贴申领</w:t>
            </w:r>
          </w:p>
        </w:tc>
        <w:tc>
          <w:tcPr>
            <w:tcW w:w="1163" w:type="dxa"/>
            <w:shd w:val="clear" w:color="auto" w:fill="auto"/>
            <w:vAlign w:val="center"/>
          </w:tcPr>
          <w:p w14:paraId="7E751B6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649B993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vMerge w:val="restart"/>
            <w:shd w:val="clear" w:color="auto" w:fill="auto"/>
            <w:vAlign w:val="center"/>
          </w:tcPr>
          <w:p w14:paraId="635CEB9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1.《国务院关于做好当前和今后一个时期促进就业工作的若干意见》（国发〔2018〕39号）；</w:t>
            </w:r>
          </w:p>
          <w:p w14:paraId="3C1F4C9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2.《关于失业保险支持企业稳定就业岗位的通知》（人社部发〔2019〕23号）；</w:t>
            </w:r>
          </w:p>
          <w:p w14:paraId="551E423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3.《国务院关于做好当前和今后一段时期就业创业工作的意见》（国发〔2017〕28号）第十二条；</w:t>
            </w:r>
          </w:p>
          <w:p w14:paraId="4372F3B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4.《关于失业保险支持企业稳定岗位有关问题的通知》（人社部发〔2014〕76号第二部分；</w:t>
            </w:r>
          </w:p>
          <w:p w14:paraId="724D436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5.《国务院关于进一步做好新形势下就业创业工作的意见》（国发〔2015〕23号）第四部分。</w:t>
            </w:r>
          </w:p>
        </w:tc>
      </w:tr>
      <w:tr w14:paraId="799B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31098CE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5</w:t>
            </w:r>
          </w:p>
        </w:tc>
        <w:tc>
          <w:tcPr>
            <w:tcW w:w="1078" w:type="dxa"/>
            <w:vAlign w:val="center"/>
          </w:tcPr>
          <w:p w14:paraId="2D0A70C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44C9EE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8C6EDF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244F21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6581D9F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2D61722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53484E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continue"/>
            <w:shd w:val="clear" w:color="auto" w:fill="auto"/>
            <w:vAlign w:val="center"/>
          </w:tcPr>
          <w:p w14:paraId="6554AA0F">
            <w:pPr>
              <w:widowControl/>
              <w:spacing w:line="240" w:lineRule="auto"/>
              <w:ind w:firstLine="0" w:firstLineChars="0"/>
              <w:jc w:val="center"/>
              <w:rPr>
                <w:rFonts w:ascii="微软雅黑" w:hAnsi="微软雅黑" w:eastAsia="微软雅黑" w:cs="宋体"/>
                <w:kern w:val="0"/>
                <w:sz w:val="20"/>
                <w:szCs w:val="20"/>
              </w:rPr>
            </w:pPr>
          </w:p>
        </w:tc>
        <w:tc>
          <w:tcPr>
            <w:tcW w:w="1500" w:type="dxa"/>
            <w:vMerge w:val="continue"/>
            <w:shd w:val="clear" w:color="auto" w:fill="auto"/>
            <w:vAlign w:val="center"/>
          </w:tcPr>
          <w:p w14:paraId="48065C3B">
            <w:pPr>
              <w:widowControl/>
              <w:spacing w:line="240" w:lineRule="auto"/>
              <w:ind w:firstLine="0" w:firstLineChars="0"/>
              <w:rPr>
                <w:rFonts w:ascii="微软雅黑" w:hAnsi="微软雅黑" w:eastAsia="微软雅黑" w:cs="宋体"/>
                <w:kern w:val="0"/>
                <w:sz w:val="20"/>
                <w:szCs w:val="20"/>
              </w:rPr>
            </w:pPr>
          </w:p>
        </w:tc>
        <w:tc>
          <w:tcPr>
            <w:tcW w:w="1125" w:type="dxa"/>
            <w:shd w:val="clear" w:color="auto" w:fill="auto"/>
            <w:vAlign w:val="center"/>
          </w:tcPr>
          <w:p w14:paraId="6A24EAC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5964B6C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技能提升补贴申领</w:t>
            </w:r>
          </w:p>
        </w:tc>
        <w:tc>
          <w:tcPr>
            <w:tcW w:w="1163" w:type="dxa"/>
            <w:shd w:val="clear" w:color="auto" w:fill="auto"/>
            <w:vAlign w:val="center"/>
          </w:tcPr>
          <w:p w14:paraId="6644327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69AB925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vMerge w:val="continue"/>
            <w:shd w:val="clear" w:color="auto" w:fill="auto"/>
            <w:vAlign w:val="center"/>
          </w:tcPr>
          <w:p w14:paraId="05AD53D5">
            <w:pPr>
              <w:widowControl/>
              <w:spacing w:line="240" w:lineRule="auto"/>
              <w:ind w:firstLine="0" w:firstLineChars="0"/>
              <w:jc w:val="left"/>
              <w:rPr>
                <w:rFonts w:ascii="微软雅黑" w:hAnsi="微软雅黑" w:eastAsia="微软雅黑" w:cs="宋体"/>
                <w:kern w:val="0"/>
                <w:sz w:val="20"/>
                <w:szCs w:val="20"/>
              </w:rPr>
            </w:pPr>
          </w:p>
        </w:tc>
      </w:tr>
      <w:tr w14:paraId="6D6E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700" w:type="dxa"/>
            <w:shd w:val="clear" w:color="auto" w:fill="auto"/>
            <w:vAlign w:val="center"/>
          </w:tcPr>
          <w:p w14:paraId="78A694A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6</w:t>
            </w:r>
          </w:p>
        </w:tc>
        <w:tc>
          <w:tcPr>
            <w:tcW w:w="1078" w:type="dxa"/>
            <w:vAlign w:val="center"/>
          </w:tcPr>
          <w:p w14:paraId="3039B0C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24030F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4731C2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54D6D1E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4F2B512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51C267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D6F354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restart"/>
            <w:shd w:val="clear" w:color="auto" w:fill="auto"/>
            <w:vAlign w:val="center"/>
          </w:tcPr>
          <w:p w14:paraId="64DB85FE">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6E48A85E">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25B77490">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vMerge w:val="restart"/>
            <w:shd w:val="clear" w:color="auto" w:fill="auto"/>
            <w:vAlign w:val="center"/>
          </w:tcPr>
          <w:p w14:paraId="0A03DB7C">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7002133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3D90BC0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就业困难人员社会保险补贴申领</w:t>
            </w:r>
          </w:p>
        </w:tc>
        <w:tc>
          <w:tcPr>
            <w:tcW w:w="1163" w:type="dxa"/>
            <w:shd w:val="clear" w:color="auto" w:fill="auto"/>
            <w:vAlign w:val="center"/>
          </w:tcPr>
          <w:p w14:paraId="7331AC3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7C81BF4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091E213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1.《关于印发〈就业补助资金管理办法〉的通知》（财社〔2017〕164号）；</w:t>
            </w:r>
          </w:p>
          <w:p w14:paraId="664D66E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2.《关于进一步加大就业扶贫政策支持力度着力提高劳务组织化程度的通知》（人社部发〔2018〕46号）；</w:t>
            </w:r>
          </w:p>
          <w:p w14:paraId="1FEEB254">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3.《国务院关于进一步做好新形势下就业创业工作的意见》（国发〔2015〕23号）。</w:t>
            </w:r>
          </w:p>
        </w:tc>
      </w:tr>
      <w:tr w14:paraId="274E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700" w:type="dxa"/>
            <w:shd w:val="clear" w:color="auto" w:fill="auto"/>
            <w:vAlign w:val="center"/>
          </w:tcPr>
          <w:p w14:paraId="50BE0EC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7</w:t>
            </w:r>
          </w:p>
        </w:tc>
        <w:tc>
          <w:tcPr>
            <w:tcW w:w="1078" w:type="dxa"/>
            <w:vAlign w:val="center"/>
          </w:tcPr>
          <w:p w14:paraId="59B657A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11E1A3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F4C960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5017C21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43CC5C2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1F828AE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604388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continue"/>
            <w:shd w:val="clear" w:color="auto" w:fill="auto"/>
            <w:vAlign w:val="center"/>
          </w:tcPr>
          <w:p w14:paraId="272F79C9">
            <w:pPr>
              <w:widowControl/>
              <w:spacing w:line="240" w:lineRule="auto"/>
              <w:ind w:firstLine="0" w:firstLineChars="0"/>
              <w:jc w:val="center"/>
              <w:rPr>
                <w:rFonts w:ascii="微软雅黑" w:hAnsi="微软雅黑" w:eastAsia="微软雅黑" w:cs="宋体"/>
                <w:kern w:val="0"/>
                <w:sz w:val="20"/>
                <w:szCs w:val="20"/>
              </w:rPr>
            </w:pPr>
          </w:p>
        </w:tc>
        <w:tc>
          <w:tcPr>
            <w:tcW w:w="1500" w:type="dxa"/>
            <w:vMerge w:val="continue"/>
            <w:shd w:val="clear" w:color="auto" w:fill="auto"/>
            <w:vAlign w:val="center"/>
          </w:tcPr>
          <w:p w14:paraId="74344CA4">
            <w:pPr>
              <w:widowControl/>
              <w:spacing w:line="240" w:lineRule="auto"/>
              <w:ind w:firstLine="0" w:firstLineChars="0"/>
              <w:rPr>
                <w:rFonts w:ascii="微软雅黑" w:hAnsi="微软雅黑" w:eastAsia="微软雅黑" w:cs="宋体"/>
                <w:kern w:val="0"/>
                <w:sz w:val="20"/>
                <w:szCs w:val="20"/>
              </w:rPr>
            </w:pPr>
          </w:p>
        </w:tc>
        <w:tc>
          <w:tcPr>
            <w:tcW w:w="1125" w:type="dxa"/>
            <w:shd w:val="clear" w:color="auto" w:fill="auto"/>
            <w:vAlign w:val="center"/>
          </w:tcPr>
          <w:p w14:paraId="0F1AF81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03969A8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公益性岗位补贴申领</w:t>
            </w:r>
          </w:p>
        </w:tc>
        <w:tc>
          <w:tcPr>
            <w:tcW w:w="1163" w:type="dxa"/>
            <w:shd w:val="clear" w:color="auto" w:fill="auto"/>
            <w:vAlign w:val="center"/>
          </w:tcPr>
          <w:p w14:paraId="22AC67A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08B53B4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1005AED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1.《关于进一步加大就业扶贫政策支持力度着力提高劳务组织化程度的通知》（人社部发〔2018〕46号）；</w:t>
            </w:r>
          </w:p>
          <w:p w14:paraId="759CCA2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2《关于印发〈就业补助资金管理办法〉的通知》（财社〔2017〕164号）第四条、第七条；</w:t>
            </w:r>
          </w:p>
          <w:p w14:paraId="21CA336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3.《国务院关于进一步做好新形势下就业创业工作的意见》（国发〔2015〕23号）。</w:t>
            </w:r>
          </w:p>
        </w:tc>
      </w:tr>
      <w:tr w14:paraId="7691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00" w:type="dxa"/>
            <w:shd w:val="clear" w:color="auto" w:fill="auto"/>
            <w:vAlign w:val="center"/>
          </w:tcPr>
          <w:p w14:paraId="63C1C43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8</w:t>
            </w:r>
          </w:p>
        </w:tc>
        <w:tc>
          <w:tcPr>
            <w:tcW w:w="1078" w:type="dxa"/>
            <w:vAlign w:val="center"/>
          </w:tcPr>
          <w:p w14:paraId="727AE2C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436398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B21141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12FCCE2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465FD01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6924FC1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5B193B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421BD84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5CB10AC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763260B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638FD54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01C7EDA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748F039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求职创业补贴申领</w:t>
            </w:r>
          </w:p>
        </w:tc>
        <w:tc>
          <w:tcPr>
            <w:tcW w:w="1163" w:type="dxa"/>
            <w:shd w:val="clear" w:color="auto" w:fill="auto"/>
            <w:vAlign w:val="center"/>
          </w:tcPr>
          <w:p w14:paraId="78727CA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0DDDA4C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150E3F6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1.《关于进一步加大就业扶贫政策支持力度着力提高劳务组织化程度的通知》（人社部发〔2018〕46号）；</w:t>
            </w:r>
          </w:p>
          <w:p w14:paraId="1E10609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2.《关于印发〈就业补助资金管理办法〉的通知》（财社〔2017〕164号）第十一条。</w:t>
            </w:r>
          </w:p>
        </w:tc>
      </w:tr>
      <w:tr w14:paraId="7776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0" w:hRule="atLeast"/>
          <w:jc w:val="center"/>
        </w:trPr>
        <w:tc>
          <w:tcPr>
            <w:tcW w:w="700" w:type="dxa"/>
            <w:shd w:val="clear" w:color="auto" w:fill="auto"/>
            <w:vAlign w:val="center"/>
          </w:tcPr>
          <w:p w14:paraId="1A81244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9</w:t>
            </w:r>
          </w:p>
        </w:tc>
        <w:tc>
          <w:tcPr>
            <w:tcW w:w="1078" w:type="dxa"/>
            <w:vAlign w:val="center"/>
          </w:tcPr>
          <w:p w14:paraId="7CE94A3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2609C3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730F31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3163262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6AAA38B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113CCC0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C2B384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40414F0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7B1F59C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0179D0A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68A75A6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《关于对失信被执行人实施联合惩戒的合作备忘录》（发改财金﹝2016﹞141号）；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4B45B9A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5D87AE3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就业见习补贴申领</w:t>
            </w:r>
          </w:p>
        </w:tc>
        <w:tc>
          <w:tcPr>
            <w:tcW w:w="1163" w:type="dxa"/>
            <w:shd w:val="clear" w:color="auto" w:fill="auto"/>
            <w:vAlign w:val="center"/>
          </w:tcPr>
          <w:p w14:paraId="5B968A6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184BD93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0F0DF52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1.《关于印发〈就业补助资金管理办法〉的通知》（财社〔2017〕164号）第四条；</w:t>
            </w:r>
          </w:p>
          <w:p w14:paraId="12D5094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2.《国务院关于做好当前和今后一个时期促进就业工作的若干意见》（国发〔2018〕39号）第五部分；</w:t>
            </w:r>
          </w:p>
          <w:p w14:paraId="5DF1CE4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3.《国务院关于做好当前和今后一段时期就业创业工作的意见》（国发〔2017〕28号）第十一条；</w:t>
            </w:r>
          </w:p>
          <w:p w14:paraId="29BF43F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4.《国务院关于进一步做好新形势下就业创业工作的意见》（国发〔2015〕23号）第十三条。</w:t>
            </w:r>
          </w:p>
        </w:tc>
      </w:tr>
      <w:tr w14:paraId="7676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700" w:type="dxa"/>
            <w:shd w:val="clear" w:color="auto" w:fill="auto"/>
            <w:vAlign w:val="center"/>
          </w:tcPr>
          <w:p w14:paraId="1338D37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10</w:t>
            </w:r>
          </w:p>
        </w:tc>
        <w:tc>
          <w:tcPr>
            <w:tcW w:w="1078" w:type="dxa"/>
            <w:vAlign w:val="center"/>
          </w:tcPr>
          <w:p w14:paraId="60B5D64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69912A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DE5130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6FF8D73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48C5F0E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3C9027E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B779AF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2D12679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7C7D080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2C1903C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032771E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30DC509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683C7A7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求职创业补贴申领</w:t>
            </w:r>
          </w:p>
        </w:tc>
        <w:tc>
          <w:tcPr>
            <w:tcW w:w="1163" w:type="dxa"/>
            <w:shd w:val="clear" w:color="auto" w:fill="auto"/>
            <w:vAlign w:val="center"/>
          </w:tcPr>
          <w:p w14:paraId="56B5B74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5FD4FBD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7533D21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1.《关于做好高校毕业生求职补贴发放工作的通知》（人社部发〔2013〕43号）；</w:t>
            </w:r>
          </w:p>
          <w:p w14:paraId="5D62184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2.《国务院关于进一步做好新形势下就业创业工作的意见》（国发〔2015〕23号）；</w:t>
            </w:r>
          </w:p>
          <w:p w14:paraId="5A9FB13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3.《关于印发〈就业补助资金管理办法〉的通知》（财社〔2017〕164号）。</w:t>
            </w:r>
          </w:p>
        </w:tc>
      </w:tr>
      <w:tr w14:paraId="0C28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shd w:val="clear" w:color="auto" w:fill="auto"/>
            <w:vAlign w:val="center"/>
          </w:tcPr>
          <w:p w14:paraId="7E7FC88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11</w:t>
            </w:r>
          </w:p>
        </w:tc>
        <w:tc>
          <w:tcPr>
            <w:tcW w:w="1078" w:type="dxa"/>
            <w:vAlign w:val="center"/>
          </w:tcPr>
          <w:p w14:paraId="7786D55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3AFE7A0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F29249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5FF0DC5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22AB265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4500697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D0D00F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54286F94">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771CE040">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7C8F3778">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shd w:val="clear" w:color="auto" w:fill="auto"/>
            <w:vAlign w:val="center"/>
          </w:tcPr>
          <w:p w14:paraId="11DD31C1">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17C5376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77BAEE8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高校毕业生社保补贴申领</w:t>
            </w:r>
          </w:p>
        </w:tc>
        <w:tc>
          <w:tcPr>
            <w:tcW w:w="1163" w:type="dxa"/>
            <w:shd w:val="clear" w:color="auto" w:fill="auto"/>
            <w:vAlign w:val="center"/>
          </w:tcPr>
          <w:p w14:paraId="0A720F7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0C7A6E3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7B781B2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1.《国务院关于进一步做好新形势下就业创业工作的意见》（国发〔2015〕23号）第十三部分；</w:t>
            </w:r>
          </w:p>
          <w:p w14:paraId="246E240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2.《关于印发〈就业补助资金管理办法〉的通知》（财社〔2017〕164号）第四条。</w:t>
            </w:r>
          </w:p>
        </w:tc>
      </w:tr>
      <w:tr w14:paraId="0C90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shd w:val="clear" w:color="auto" w:fill="auto"/>
            <w:vAlign w:val="center"/>
          </w:tcPr>
          <w:p w14:paraId="669DE9AF">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2</w:t>
            </w:r>
          </w:p>
        </w:tc>
        <w:tc>
          <w:tcPr>
            <w:tcW w:w="1078" w:type="dxa"/>
            <w:vAlign w:val="center"/>
          </w:tcPr>
          <w:p w14:paraId="1D10ACF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3C7F903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F5A070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332A1EC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1DEFDDC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522DEB4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0C1C6A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restart"/>
            <w:shd w:val="clear" w:color="auto" w:fill="auto"/>
            <w:vAlign w:val="center"/>
          </w:tcPr>
          <w:p w14:paraId="4DD446E4">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《社会信用体系建设规划纲要（2014-2024年）》</w:t>
            </w:r>
          </w:p>
          <w:p w14:paraId="26C479A1">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p>
          <w:p w14:paraId="2255EC59">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vMerge w:val="restart"/>
            <w:shd w:val="clear" w:color="auto" w:fill="auto"/>
            <w:vAlign w:val="center"/>
          </w:tcPr>
          <w:p w14:paraId="0EA55721">
            <w:pPr>
              <w:spacing w:line="240" w:lineRule="auto"/>
              <w:ind w:firstLine="400" w:firstLineChars="20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218016E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42F3FA8D">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生活费补贴申领</w:t>
            </w:r>
          </w:p>
        </w:tc>
        <w:tc>
          <w:tcPr>
            <w:tcW w:w="1163" w:type="dxa"/>
            <w:shd w:val="clear" w:color="auto" w:fill="auto"/>
            <w:vAlign w:val="center"/>
          </w:tcPr>
          <w:p w14:paraId="087D57D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304CD80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250DFA3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1.《关于印发〈就业补助资金管理办法〉的通知》（财社〔2017〕164号）第五条；</w:t>
            </w:r>
          </w:p>
          <w:p w14:paraId="1C8CD019">
            <w:pPr>
              <w:spacing w:line="240" w:lineRule="auto"/>
              <w:ind w:firstLine="40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2.《关于进一步加大就业扶贫政策支持力度着力提高劳务组织化程度的通知》（人社部发〔2018〕46号）第五条。</w:t>
            </w:r>
          </w:p>
        </w:tc>
      </w:tr>
      <w:tr w14:paraId="2375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6F7D5F30">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3</w:t>
            </w:r>
          </w:p>
        </w:tc>
        <w:tc>
          <w:tcPr>
            <w:tcW w:w="1078" w:type="dxa"/>
            <w:vAlign w:val="center"/>
          </w:tcPr>
          <w:p w14:paraId="1EB858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701240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89E90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094715B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2B2689A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72C1EC5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0E5D37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continue"/>
            <w:shd w:val="clear" w:color="auto" w:fill="auto"/>
            <w:vAlign w:val="center"/>
          </w:tcPr>
          <w:p w14:paraId="720538C2">
            <w:pPr>
              <w:widowControl/>
              <w:spacing w:line="240" w:lineRule="auto"/>
              <w:ind w:firstLine="0" w:firstLineChars="0"/>
              <w:jc w:val="center"/>
              <w:rPr>
                <w:rFonts w:ascii="微软雅黑" w:hAnsi="微软雅黑" w:eastAsia="微软雅黑" w:cs="宋体"/>
                <w:kern w:val="0"/>
                <w:sz w:val="20"/>
                <w:szCs w:val="20"/>
              </w:rPr>
            </w:pPr>
          </w:p>
        </w:tc>
        <w:tc>
          <w:tcPr>
            <w:tcW w:w="1500" w:type="dxa"/>
            <w:vMerge w:val="continue"/>
            <w:shd w:val="clear" w:color="auto" w:fill="auto"/>
            <w:vAlign w:val="center"/>
          </w:tcPr>
          <w:p w14:paraId="50B5B560">
            <w:pPr>
              <w:widowControl/>
              <w:spacing w:line="240" w:lineRule="auto"/>
              <w:ind w:firstLine="0" w:firstLineChars="0"/>
              <w:rPr>
                <w:rFonts w:ascii="微软雅黑" w:hAnsi="微软雅黑" w:eastAsia="微软雅黑" w:cs="宋体"/>
                <w:kern w:val="0"/>
                <w:sz w:val="20"/>
                <w:szCs w:val="20"/>
              </w:rPr>
            </w:pPr>
          </w:p>
        </w:tc>
        <w:tc>
          <w:tcPr>
            <w:tcW w:w="1125" w:type="dxa"/>
            <w:shd w:val="clear" w:color="auto" w:fill="auto"/>
            <w:vAlign w:val="center"/>
          </w:tcPr>
          <w:p w14:paraId="57609C2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2C24BB4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职业技能鉴定补贴申领</w:t>
            </w:r>
          </w:p>
        </w:tc>
        <w:tc>
          <w:tcPr>
            <w:tcW w:w="1163" w:type="dxa"/>
            <w:shd w:val="clear" w:color="auto" w:fill="auto"/>
            <w:vAlign w:val="center"/>
          </w:tcPr>
          <w:p w14:paraId="63EE0AB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66E11ED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1C1207C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1.《关于印发〈就业补助资金管理办法〉的通知》（财社〔2017〕164号）第六条；</w:t>
            </w:r>
          </w:p>
          <w:p w14:paraId="06A327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2《中华人民共和国就业促进法》第十五条。</w:t>
            </w:r>
          </w:p>
        </w:tc>
      </w:tr>
      <w:tr w14:paraId="568D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6EC79A38">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4</w:t>
            </w:r>
          </w:p>
        </w:tc>
        <w:tc>
          <w:tcPr>
            <w:tcW w:w="1078" w:type="dxa"/>
            <w:vAlign w:val="center"/>
          </w:tcPr>
          <w:p w14:paraId="5D5CF5D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9ECF05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E9E31E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104CE72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5F0733C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协助限制失信被执行人社会保障资金支持</w:t>
            </w:r>
          </w:p>
        </w:tc>
        <w:tc>
          <w:tcPr>
            <w:tcW w:w="1131" w:type="dxa"/>
            <w:shd w:val="clear" w:color="auto" w:fill="auto"/>
            <w:vAlign w:val="center"/>
          </w:tcPr>
          <w:p w14:paraId="1B2BF8E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963118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continue"/>
            <w:shd w:val="clear" w:color="auto" w:fill="auto"/>
            <w:vAlign w:val="center"/>
          </w:tcPr>
          <w:p w14:paraId="455D43FD">
            <w:pPr>
              <w:widowControl/>
              <w:spacing w:line="240" w:lineRule="auto"/>
              <w:ind w:firstLine="0" w:firstLineChars="0"/>
              <w:jc w:val="center"/>
              <w:rPr>
                <w:rFonts w:ascii="微软雅黑" w:hAnsi="微软雅黑" w:eastAsia="微软雅黑" w:cs="宋体"/>
                <w:kern w:val="0"/>
                <w:sz w:val="20"/>
                <w:szCs w:val="20"/>
              </w:rPr>
            </w:pPr>
          </w:p>
        </w:tc>
        <w:tc>
          <w:tcPr>
            <w:tcW w:w="1500" w:type="dxa"/>
            <w:vMerge w:val="continue"/>
            <w:shd w:val="clear" w:color="auto" w:fill="auto"/>
            <w:vAlign w:val="center"/>
          </w:tcPr>
          <w:p w14:paraId="078774D7">
            <w:pPr>
              <w:widowControl/>
              <w:spacing w:line="240" w:lineRule="auto"/>
              <w:ind w:firstLine="0" w:firstLineChars="0"/>
              <w:rPr>
                <w:rFonts w:ascii="微软雅黑" w:hAnsi="微软雅黑" w:eastAsia="微软雅黑" w:cs="宋体"/>
                <w:kern w:val="0"/>
                <w:sz w:val="20"/>
                <w:szCs w:val="20"/>
              </w:rPr>
            </w:pPr>
          </w:p>
        </w:tc>
        <w:tc>
          <w:tcPr>
            <w:tcW w:w="1125" w:type="dxa"/>
            <w:shd w:val="clear" w:color="auto" w:fill="auto"/>
            <w:vAlign w:val="center"/>
          </w:tcPr>
          <w:p w14:paraId="37A9AEC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行政给付</w:t>
            </w:r>
          </w:p>
        </w:tc>
        <w:tc>
          <w:tcPr>
            <w:tcW w:w="2175" w:type="dxa"/>
            <w:shd w:val="clear" w:color="auto" w:fill="auto"/>
            <w:vAlign w:val="center"/>
          </w:tcPr>
          <w:p w14:paraId="54D2C48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就业创业补贴核定发放</w:t>
            </w:r>
          </w:p>
        </w:tc>
        <w:tc>
          <w:tcPr>
            <w:tcW w:w="1163" w:type="dxa"/>
            <w:shd w:val="clear" w:color="auto" w:fill="auto"/>
            <w:vAlign w:val="center"/>
          </w:tcPr>
          <w:p w14:paraId="326EF0C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6BB9B96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7EF8759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《中华人民共和国就业促进法》第十五条。</w:t>
            </w:r>
          </w:p>
        </w:tc>
      </w:tr>
      <w:tr w14:paraId="2EEE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8" w:hRule="atLeast"/>
          <w:jc w:val="center"/>
        </w:trPr>
        <w:tc>
          <w:tcPr>
            <w:tcW w:w="700" w:type="dxa"/>
            <w:shd w:val="clear" w:color="auto" w:fill="auto"/>
            <w:vAlign w:val="center"/>
          </w:tcPr>
          <w:p w14:paraId="49D7B5F2">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5</w:t>
            </w:r>
          </w:p>
        </w:tc>
        <w:tc>
          <w:tcPr>
            <w:tcW w:w="1078" w:type="dxa"/>
            <w:shd w:val="clear" w:color="auto" w:fill="auto"/>
            <w:vAlign w:val="center"/>
          </w:tcPr>
          <w:p w14:paraId="20A548B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5850E6C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C9B57F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6873BF6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7BCDFD4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限制招聘失信被执行人为事业单位工作人员</w:t>
            </w:r>
            <w:r>
              <w:rPr>
                <w:rFonts w:hint="eastAsia" w:ascii="微软雅黑" w:hAnsi="微软雅黑" w:eastAsia="微软雅黑" w:cs="宋体"/>
                <w:kern w:val="0"/>
                <w:sz w:val="20"/>
                <w:szCs w:val="20"/>
              </w:rPr>
              <w:t>，在职公务员或事业单位工作人员被确定为失信被执行人的，失信情况应作为其评先、评优、晋职晋级的参考</w:t>
            </w:r>
          </w:p>
        </w:tc>
        <w:tc>
          <w:tcPr>
            <w:tcW w:w="1131" w:type="dxa"/>
            <w:shd w:val="clear" w:color="auto" w:fill="auto"/>
            <w:vAlign w:val="center"/>
          </w:tcPr>
          <w:p w14:paraId="487AA34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497E46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shd w:val="clear" w:color="auto" w:fill="auto"/>
            <w:vAlign w:val="center"/>
          </w:tcPr>
          <w:p w14:paraId="7CCF63C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详见下方</w:t>
            </w:r>
          </w:p>
        </w:tc>
        <w:tc>
          <w:tcPr>
            <w:tcW w:w="1500" w:type="dxa"/>
            <w:shd w:val="clear" w:color="auto" w:fill="auto"/>
            <w:vAlign w:val="center"/>
          </w:tcPr>
          <w:p w14:paraId="63D54F3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707C0B8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公共服务</w:t>
            </w:r>
          </w:p>
        </w:tc>
        <w:tc>
          <w:tcPr>
            <w:tcW w:w="2175" w:type="dxa"/>
            <w:shd w:val="clear" w:color="auto" w:fill="auto"/>
            <w:vAlign w:val="center"/>
          </w:tcPr>
          <w:p w14:paraId="3340128B">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事业单位拟聘人员审批备案</w:t>
            </w:r>
          </w:p>
        </w:tc>
        <w:tc>
          <w:tcPr>
            <w:tcW w:w="1163" w:type="dxa"/>
            <w:shd w:val="clear" w:color="auto" w:fill="auto"/>
            <w:vAlign w:val="center"/>
          </w:tcPr>
          <w:p w14:paraId="4603125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shd w:val="clear" w:color="auto" w:fill="auto"/>
            <w:vAlign w:val="center"/>
          </w:tcPr>
          <w:p w14:paraId="2B5B4E8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62D19A3D">
            <w:pPr>
              <w:widowControl/>
              <w:spacing w:line="240" w:lineRule="auto"/>
              <w:ind w:firstLine="0" w:firstLineChars="0"/>
              <w:rPr>
                <w:rFonts w:ascii="微软雅黑" w:hAnsi="微软雅黑" w:eastAsia="微软雅黑" w:cs="宋体"/>
                <w:kern w:val="0"/>
                <w:sz w:val="20"/>
                <w:szCs w:val="20"/>
              </w:rPr>
            </w:pPr>
          </w:p>
        </w:tc>
      </w:tr>
      <w:tr w14:paraId="4161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2" w:hRule="atLeast"/>
          <w:jc w:val="center"/>
        </w:trPr>
        <w:tc>
          <w:tcPr>
            <w:tcW w:w="22102" w:type="dxa"/>
            <w:gridSpan w:val="15"/>
            <w:shd w:val="clear" w:color="auto" w:fill="auto"/>
            <w:vAlign w:val="center"/>
          </w:tcPr>
          <w:p w14:paraId="7301B178">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686EBC6F">
            <w:pPr>
              <w:widowControl/>
              <w:spacing w:line="240" w:lineRule="auto"/>
              <w:ind w:firstLine="0" w:firstLineChars="0"/>
              <w:jc w:val="left"/>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《关于印发</w:t>
            </w:r>
            <w:r>
              <w:rPr>
                <w:rFonts w:hint="eastAsia" w:ascii="微软雅黑" w:hAnsi="微软雅黑" w:eastAsia="微软雅黑" w:cs="宋体"/>
                <w:kern w:val="0"/>
                <w:sz w:val="20"/>
                <w:szCs w:val="20"/>
                <w:lang w:val="en-US" w:eastAsia="zh-CN"/>
              </w:rPr>
              <w:t>&lt;河北省事业单位公开招聘工作人员暂行办法&gt;的通知</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w:t>
            </w:r>
            <w:r>
              <w:rPr>
                <w:rFonts w:hint="eastAsia" w:ascii="微软雅黑" w:hAnsi="微软雅黑" w:eastAsia="微软雅黑" w:cs="宋体"/>
                <w:kern w:val="0"/>
                <w:sz w:val="20"/>
                <w:szCs w:val="20"/>
                <w:lang w:eastAsia="zh-CN"/>
              </w:rPr>
              <w:t>九条</w:t>
            </w:r>
            <w:r>
              <w:rPr>
                <w:rFonts w:hint="eastAsia" w:ascii="微软雅黑" w:hAnsi="微软雅黑" w:eastAsia="微软雅黑" w:cs="宋体"/>
                <w:kern w:val="0"/>
                <w:sz w:val="20"/>
                <w:szCs w:val="20"/>
                <w:lang w:val="en-US" w:eastAsia="zh-CN"/>
              </w:rPr>
              <w:t xml:space="preserve"> 曾因犯罪受过刑事处罚的、曾被开除公职的人员，法律、法规规定不得招聘为事业单位工作人员的其他情形人员，不得应聘。</w:t>
            </w:r>
          </w:p>
          <w:p w14:paraId="610382E5">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r>
              <w:rPr>
                <w:rFonts w:hint="eastAsia" w:ascii="微软雅黑" w:hAnsi="微软雅黑" w:eastAsia="微软雅黑" w:cs="宋体"/>
                <w:kern w:val="0"/>
                <w:sz w:val="20"/>
                <w:szCs w:val="20"/>
                <w:lang w:eastAsia="zh-CN"/>
              </w:rPr>
              <w:t>事业单位工作人员考核暂行规定</w:t>
            </w:r>
            <w:r>
              <w:rPr>
                <w:rFonts w:hint="eastAsia" w:ascii="微软雅黑" w:hAnsi="微软雅黑" w:eastAsia="微软雅黑" w:cs="宋体"/>
                <w:kern w:val="0"/>
                <w:sz w:val="20"/>
                <w:szCs w:val="20"/>
              </w:rPr>
              <w:t>》</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eastAsia="zh-CN"/>
              </w:rPr>
              <w:t>第四条</w:t>
            </w:r>
            <w:r>
              <w:rPr>
                <w:rFonts w:hint="eastAsia" w:ascii="微软雅黑" w:hAnsi="微软雅黑" w:eastAsia="微软雅黑" w:cs="宋体"/>
                <w:kern w:val="0"/>
                <w:sz w:val="20"/>
                <w:szCs w:val="20"/>
                <w:lang w:val="en-US" w:eastAsia="zh-CN"/>
              </w:rPr>
              <w:t xml:space="preserve"> 考核的内容包括德、能、勤、绩四个方面，重点考核工作实绩。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纪检监察机关对人民法院移送的在执行工作中发现的党员、行政监察对象妨碍人民法院执行工作和违反规定干预人民法院执行工作的违法违纪线索，应当及时组织核查；必要时，应当立案调查。对于党员、行政监察对象妨碍人民法院执行工作或者违反规定干预人民法院执行工作，以及拒不履行生效法律文书确定义务的，应当依法依纪追究党纪政纪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组织人事部门应当通过群众信访举报、干部考察考核等多种途径，及时了解和掌握党员、公务员拒不履行生效法律文书以及非法干预、妨害执行等情况，对有上述问题的党员、公务员，通过诫勉谈话、函询等形式，督促其及时改正。对拒不履行生效法律文书、非法干预或妨碍执行的党员、公务员，按照《中国共产党纪律处分条例》和《行政机关公务员处分条例》等有关规定处理。</w:t>
            </w:r>
          </w:p>
        </w:tc>
      </w:tr>
      <w:tr w14:paraId="6BD8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14794A4D">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6</w:t>
            </w:r>
          </w:p>
        </w:tc>
        <w:tc>
          <w:tcPr>
            <w:tcW w:w="1078" w:type="dxa"/>
            <w:shd w:val="clear" w:color="auto" w:fill="auto"/>
            <w:vAlign w:val="center"/>
          </w:tcPr>
          <w:p w14:paraId="2584284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39DE434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DFD21D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6635D0D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039EC34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限制失信被执行人申请政府补贴资金</w:t>
            </w:r>
          </w:p>
        </w:tc>
        <w:tc>
          <w:tcPr>
            <w:tcW w:w="1131" w:type="dxa"/>
            <w:shd w:val="clear" w:color="auto" w:fill="auto"/>
            <w:vAlign w:val="center"/>
          </w:tcPr>
          <w:p w14:paraId="1CE0AD9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130F56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restart"/>
            <w:shd w:val="clear" w:color="auto" w:fill="auto"/>
            <w:vAlign w:val="center"/>
          </w:tcPr>
          <w:p w14:paraId="63267DD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《社会信用体系建设规划纲要（2014-2020年）》</w:t>
            </w:r>
          </w:p>
          <w:p w14:paraId="40E7BFE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p>
        </w:tc>
        <w:tc>
          <w:tcPr>
            <w:tcW w:w="1500" w:type="dxa"/>
            <w:vMerge w:val="restart"/>
            <w:shd w:val="clear" w:color="auto" w:fill="auto"/>
            <w:vAlign w:val="center"/>
          </w:tcPr>
          <w:p w14:paraId="0882B85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25" w:type="dxa"/>
            <w:shd w:val="clear" w:color="auto" w:fill="auto"/>
            <w:vAlign w:val="center"/>
          </w:tcPr>
          <w:p w14:paraId="34480EC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75" w:type="dxa"/>
            <w:shd w:val="clear" w:color="auto" w:fill="auto"/>
            <w:vAlign w:val="center"/>
          </w:tcPr>
          <w:p w14:paraId="73FB261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保持荣誉称号职工退休提高待遇核准</w:t>
            </w:r>
          </w:p>
        </w:tc>
        <w:tc>
          <w:tcPr>
            <w:tcW w:w="1163" w:type="dxa"/>
            <w:shd w:val="clear" w:color="auto" w:fill="auto"/>
            <w:vAlign w:val="center"/>
          </w:tcPr>
          <w:p w14:paraId="5D0305E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937" w:type="dxa"/>
            <w:shd w:val="clear" w:color="auto" w:fill="auto"/>
            <w:vAlign w:val="center"/>
          </w:tcPr>
          <w:p w14:paraId="541CB8D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shd w:val="clear" w:color="auto" w:fill="auto"/>
            <w:vAlign w:val="center"/>
          </w:tcPr>
          <w:p w14:paraId="25A91AD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《国务院关于工人退休、退职的暂行办法》（国发〔1978〕104号）第四条。</w:t>
            </w:r>
          </w:p>
        </w:tc>
      </w:tr>
      <w:tr w14:paraId="138C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0" w:hRule="atLeast"/>
          <w:jc w:val="center"/>
        </w:trPr>
        <w:tc>
          <w:tcPr>
            <w:tcW w:w="700" w:type="dxa"/>
            <w:shd w:val="clear" w:color="auto" w:fill="auto"/>
            <w:vAlign w:val="center"/>
          </w:tcPr>
          <w:p w14:paraId="17346027">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7</w:t>
            </w:r>
          </w:p>
        </w:tc>
        <w:tc>
          <w:tcPr>
            <w:tcW w:w="1078" w:type="dxa"/>
            <w:vAlign w:val="center"/>
          </w:tcPr>
          <w:p w14:paraId="584DFB2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73A956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F9A5EF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0529E3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vAlign w:val="center"/>
          </w:tcPr>
          <w:p w14:paraId="73831AE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限制失信被执行人申请政府补贴资金</w:t>
            </w:r>
          </w:p>
        </w:tc>
        <w:tc>
          <w:tcPr>
            <w:tcW w:w="1131" w:type="dxa"/>
            <w:shd w:val="clear" w:color="auto" w:fill="auto"/>
            <w:vAlign w:val="center"/>
          </w:tcPr>
          <w:p w14:paraId="638C3FC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EC0A12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continue"/>
            <w:shd w:val="clear" w:color="auto" w:fill="auto"/>
            <w:vAlign w:val="center"/>
          </w:tcPr>
          <w:p w14:paraId="0F564B46">
            <w:pPr>
              <w:widowControl/>
              <w:spacing w:line="240" w:lineRule="auto"/>
              <w:ind w:firstLine="0" w:firstLineChars="0"/>
              <w:jc w:val="center"/>
              <w:rPr>
                <w:rFonts w:ascii="微软雅黑" w:hAnsi="微软雅黑" w:eastAsia="微软雅黑" w:cs="宋体"/>
                <w:kern w:val="0"/>
                <w:sz w:val="20"/>
                <w:szCs w:val="20"/>
              </w:rPr>
            </w:pPr>
          </w:p>
        </w:tc>
        <w:tc>
          <w:tcPr>
            <w:tcW w:w="1500" w:type="dxa"/>
            <w:vMerge w:val="continue"/>
            <w:shd w:val="clear" w:color="auto" w:fill="auto"/>
            <w:vAlign w:val="center"/>
          </w:tcPr>
          <w:p w14:paraId="5ADED7B1">
            <w:pPr>
              <w:widowControl/>
              <w:spacing w:line="240" w:lineRule="auto"/>
              <w:ind w:firstLine="0" w:firstLineChars="0"/>
              <w:rPr>
                <w:rFonts w:ascii="微软雅黑" w:hAnsi="微软雅黑" w:eastAsia="微软雅黑" w:cs="宋体"/>
                <w:kern w:val="0"/>
                <w:sz w:val="20"/>
                <w:szCs w:val="20"/>
              </w:rPr>
            </w:pPr>
          </w:p>
        </w:tc>
        <w:tc>
          <w:tcPr>
            <w:tcW w:w="1125" w:type="dxa"/>
            <w:shd w:val="clear" w:color="auto" w:fill="auto"/>
            <w:vAlign w:val="center"/>
          </w:tcPr>
          <w:p w14:paraId="5C43C6C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行政奖励</w:t>
            </w:r>
          </w:p>
        </w:tc>
        <w:tc>
          <w:tcPr>
            <w:tcW w:w="2175" w:type="dxa"/>
            <w:shd w:val="clear" w:color="auto" w:fill="auto"/>
            <w:vAlign w:val="center"/>
          </w:tcPr>
          <w:p w14:paraId="7C55B65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河北省政府特殊津贴专家</w:t>
            </w:r>
            <w:r>
              <w:rPr>
                <w:rFonts w:hint="eastAsia" w:ascii="微软雅黑" w:hAnsi="微软雅黑" w:eastAsia="微软雅黑" w:cs="宋体"/>
                <w:kern w:val="0"/>
                <w:sz w:val="20"/>
                <w:szCs w:val="20"/>
                <w:lang w:eastAsia="zh-CN"/>
              </w:rPr>
              <w:t>选拔</w:t>
            </w:r>
          </w:p>
        </w:tc>
        <w:tc>
          <w:tcPr>
            <w:tcW w:w="1163" w:type="dxa"/>
            <w:shd w:val="clear" w:color="auto" w:fill="auto"/>
            <w:vAlign w:val="center"/>
          </w:tcPr>
          <w:p w14:paraId="1D292F5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vAlign w:val="center"/>
          </w:tcPr>
          <w:p w14:paraId="60D2650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vAlign w:val="center"/>
          </w:tcPr>
          <w:p w14:paraId="0FC94D7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1.《关于继续实行政府特殊津贴制度的通知》（中发〔2011〕12号）；</w:t>
            </w:r>
          </w:p>
          <w:p w14:paraId="013D5F7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2.《中共河北省委 河北省人民政府关于印发河北省政府特殊津贴专家选拔管理办法的通知》（冀字〔2014〕29号）；</w:t>
            </w:r>
          </w:p>
          <w:p w14:paraId="7D34F08B">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3.《关于对做出突出贡献的专家、学者、技术人员继续实行政府特殊津贴制度的通知》（中发〔2001〕10号）第四部分第（五）条。</w:t>
            </w:r>
          </w:p>
        </w:tc>
      </w:tr>
      <w:tr w14:paraId="196A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0" w:hRule="atLeast"/>
          <w:jc w:val="center"/>
        </w:trPr>
        <w:tc>
          <w:tcPr>
            <w:tcW w:w="700" w:type="dxa"/>
            <w:tcBorders>
              <w:bottom w:val="single" w:color="auto" w:sz="4" w:space="0"/>
            </w:tcBorders>
            <w:shd w:val="clear" w:color="auto" w:fill="auto"/>
            <w:vAlign w:val="center"/>
          </w:tcPr>
          <w:p w14:paraId="79F47478">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8</w:t>
            </w:r>
          </w:p>
        </w:tc>
        <w:tc>
          <w:tcPr>
            <w:tcW w:w="1078" w:type="dxa"/>
            <w:tcBorders>
              <w:bottom w:val="single" w:color="auto" w:sz="4" w:space="0"/>
            </w:tcBorders>
            <w:vAlign w:val="center"/>
          </w:tcPr>
          <w:p w14:paraId="7C95BA0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vAlign w:val="center"/>
          </w:tcPr>
          <w:p w14:paraId="43E1EE8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19D2512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tcBorders>
              <w:bottom w:val="single" w:color="auto" w:sz="4" w:space="0"/>
            </w:tcBorders>
            <w:shd w:val="clear" w:color="auto" w:fill="auto"/>
            <w:vAlign w:val="center"/>
          </w:tcPr>
          <w:p w14:paraId="4E7DAB96">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人力资源和社会保障</w:t>
            </w:r>
            <w:r>
              <w:rPr>
                <w:rFonts w:hint="eastAsia" w:ascii="微软雅黑" w:hAnsi="微软雅黑" w:eastAsia="微软雅黑" w:cs="宋体"/>
                <w:kern w:val="0"/>
                <w:sz w:val="20"/>
                <w:szCs w:val="20"/>
                <w:lang w:eastAsia="zh-CN"/>
              </w:rPr>
              <w:t>局</w:t>
            </w:r>
          </w:p>
        </w:tc>
        <w:tc>
          <w:tcPr>
            <w:tcW w:w="2082" w:type="dxa"/>
            <w:tcBorders>
              <w:bottom w:val="single" w:color="auto" w:sz="4" w:space="0"/>
            </w:tcBorders>
            <w:vAlign w:val="center"/>
          </w:tcPr>
          <w:p w14:paraId="4195D1A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限制失信被执行人申请政府补贴资金</w:t>
            </w:r>
          </w:p>
        </w:tc>
        <w:tc>
          <w:tcPr>
            <w:tcW w:w="1131" w:type="dxa"/>
            <w:tcBorders>
              <w:bottom w:val="single" w:color="auto" w:sz="4" w:space="0"/>
            </w:tcBorders>
            <w:shd w:val="clear" w:color="auto" w:fill="auto"/>
            <w:vAlign w:val="center"/>
          </w:tcPr>
          <w:p w14:paraId="77CE53B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4FFB669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89" w:type="dxa"/>
            <w:vMerge w:val="continue"/>
            <w:tcBorders>
              <w:bottom w:val="single" w:color="auto" w:sz="4" w:space="0"/>
            </w:tcBorders>
            <w:shd w:val="clear" w:color="auto" w:fill="auto"/>
            <w:vAlign w:val="center"/>
          </w:tcPr>
          <w:p w14:paraId="2610742C">
            <w:pPr>
              <w:widowControl/>
              <w:spacing w:line="240" w:lineRule="auto"/>
              <w:ind w:firstLine="0" w:firstLineChars="0"/>
              <w:jc w:val="center"/>
              <w:rPr>
                <w:rFonts w:ascii="微软雅黑" w:hAnsi="微软雅黑" w:eastAsia="微软雅黑" w:cs="宋体"/>
                <w:kern w:val="0"/>
                <w:sz w:val="20"/>
                <w:szCs w:val="20"/>
              </w:rPr>
            </w:pPr>
          </w:p>
        </w:tc>
        <w:tc>
          <w:tcPr>
            <w:tcW w:w="1500" w:type="dxa"/>
            <w:vMerge w:val="continue"/>
            <w:tcBorders>
              <w:bottom w:val="single" w:color="auto" w:sz="4" w:space="0"/>
            </w:tcBorders>
            <w:shd w:val="clear" w:color="auto" w:fill="auto"/>
            <w:vAlign w:val="center"/>
          </w:tcPr>
          <w:p w14:paraId="0F6B68F8">
            <w:pPr>
              <w:widowControl/>
              <w:spacing w:line="240" w:lineRule="auto"/>
              <w:ind w:firstLine="0" w:firstLineChars="0"/>
              <w:rPr>
                <w:rFonts w:ascii="微软雅黑" w:hAnsi="微软雅黑" w:eastAsia="微软雅黑" w:cs="宋体"/>
                <w:kern w:val="0"/>
                <w:sz w:val="20"/>
                <w:szCs w:val="20"/>
              </w:rPr>
            </w:pPr>
          </w:p>
        </w:tc>
        <w:tc>
          <w:tcPr>
            <w:tcW w:w="1125" w:type="dxa"/>
            <w:tcBorders>
              <w:bottom w:val="single" w:color="auto" w:sz="4" w:space="0"/>
            </w:tcBorders>
            <w:shd w:val="clear" w:color="auto" w:fill="auto"/>
            <w:vAlign w:val="center"/>
          </w:tcPr>
          <w:p w14:paraId="6732C24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其他行政权力</w:t>
            </w:r>
          </w:p>
        </w:tc>
        <w:tc>
          <w:tcPr>
            <w:tcW w:w="2175" w:type="dxa"/>
            <w:tcBorders>
              <w:bottom w:val="single" w:color="auto" w:sz="4" w:space="0"/>
            </w:tcBorders>
            <w:shd w:val="clear" w:color="auto" w:fill="auto"/>
            <w:vAlign w:val="center"/>
          </w:tcPr>
          <w:p w14:paraId="00F9122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享受国务院政府特殊津贴专家选拔</w:t>
            </w:r>
          </w:p>
        </w:tc>
        <w:tc>
          <w:tcPr>
            <w:tcW w:w="1163" w:type="dxa"/>
            <w:tcBorders>
              <w:bottom w:val="single" w:color="auto" w:sz="4" w:space="0"/>
            </w:tcBorders>
            <w:shd w:val="clear" w:color="auto" w:fill="auto"/>
            <w:vAlign w:val="center"/>
          </w:tcPr>
          <w:p w14:paraId="6E801E5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37" w:type="dxa"/>
            <w:tcBorders>
              <w:bottom w:val="single" w:color="auto" w:sz="4" w:space="0"/>
            </w:tcBorders>
            <w:vAlign w:val="center"/>
          </w:tcPr>
          <w:p w14:paraId="5F055AA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2" w:type="dxa"/>
            <w:tcBorders>
              <w:bottom w:val="single" w:color="auto" w:sz="4" w:space="0"/>
            </w:tcBorders>
            <w:vAlign w:val="center"/>
          </w:tcPr>
          <w:p w14:paraId="03A10C6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1.《关于对做出突出贡献的专家、学者、技术人员继续实行政府特殊津贴制度的通知》（中发〔2001〕10号）；</w:t>
            </w:r>
          </w:p>
          <w:p w14:paraId="029F943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2.《关于高技能人才享受国务院颁发政府特殊津贴的意见》（国人部发[2008]24号）；</w:t>
            </w:r>
          </w:p>
          <w:p w14:paraId="148CDECD">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3.《转发中央组织部 中央宣传部 中央统战部 人事部 财政部&lt;关于改革和完善政府特殊津贴制度的意见&gt;的通知》（中办发〔2004〕20号）。</w:t>
            </w:r>
          </w:p>
        </w:tc>
      </w:tr>
    </w:tbl>
    <w:p w14:paraId="319B386D">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3066"/>
        <w:gridCol w:w="1550"/>
        <w:gridCol w:w="1125"/>
        <w:gridCol w:w="2150"/>
        <w:gridCol w:w="1150"/>
        <w:gridCol w:w="950"/>
        <w:gridCol w:w="3050"/>
      </w:tblGrid>
      <w:tr w14:paraId="4370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1E690612">
            <w:pPr>
              <w:pStyle w:val="2"/>
              <w:rPr>
                <w:rFonts w:hint="eastAsia" w:eastAsia="华文中宋"/>
                <w:lang w:eastAsia="zh-CN"/>
              </w:rPr>
            </w:pPr>
            <w:bookmarkStart w:id="15" w:name="_Toc20473858"/>
            <w:r>
              <w:rPr>
                <w:rFonts w:hint="eastAsia"/>
              </w:rPr>
              <w:t>1</w:t>
            </w:r>
            <w:r>
              <w:rPr>
                <w:rFonts w:hint="eastAsia"/>
                <w:lang w:val="en-US" w:eastAsia="zh-CN"/>
              </w:rPr>
              <w:t>6</w:t>
            </w:r>
            <w:r>
              <w:rPr>
                <w:rFonts w:hint="eastAsia"/>
              </w:rPr>
              <w:t>、</w:t>
            </w:r>
            <w:r>
              <w:rPr>
                <w:rFonts w:hint="eastAsia"/>
                <w:lang w:eastAsia="zh-CN"/>
              </w:rPr>
              <w:t>县</w:t>
            </w:r>
            <w:r>
              <w:rPr>
                <w:rFonts w:hint="eastAsia"/>
              </w:rPr>
              <w:t>自然资源</w:t>
            </w:r>
            <w:bookmarkEnd w:id="15"/>
            <w:r>
              <w:rPr>
                <w:rFonts w:hint="eastAsia"/>
                <w:lang w:eastAsia="zh-CN"/>
              </w:rPr>
              <w:t>和规划局</w:t>
            </w:r>
          </w:p>
        </w:tc>
      </w:tr>
      <w:tr w14:paraId="16D9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381ED27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77" w:type="dxa"/>
            <w:gridSpan w:val="9"/>
            <w:shd w:val="clear" w:color="000000" w:fill="D6DCE4"/>
            <w:vAlign w:val="center"/>
          </w:tcPr>
          <w:p w14:paraId="1F17FB2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25" w:type="dxa"/>
            <w:gridSpan w:val="5"/>
            <w:shd w:val="clear" w:color="000000" w:fill="D6DCE4"/>
            <w:vAlign w:val="center"/>
          </w:tcPr>
          <w:p w14:paraId="191A42CF">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79C1F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55E1A286">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47E7F28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2B3AA78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50CD3F2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41F4C28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4CC4FCA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4073D09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1654BFC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3066" w:type="dxa"/>
            <w:shd w:val="clear" w:color="000000" w:fill="D6DCE4"/>
            <w:vAlign w:val="center"/>
          </w:tcPr>
          <w:p w14:paraId="222CD91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550" w:type="dxa"/>
            <w:shd w:val="clear" w:color="000000" w:fill="D6DCE4"/>
            <w:vAlign w:val="center"/>
          </w:tcPr>
          <w:p w14:paraId="3BFBB8D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25" w:type="dxa"/>
            <w:shd w:val="clear" w:color="000000" w:fill="D6DCE4"/>
            <w:vAlign w:val="center"/>
          </w:tcPr>
          <w:p w14:paraId="399D729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50" w:type="dxa"/>
            <w:shd w:val="clear" w:color="000000" w:fill="D6DCE4"/>
            <w:vAlign w:val="center"/>
          </w:tcPr>
          <w:p w14:paraId="3F48D5A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50" w:type="dxa"/>
            <w:shd w:val="clear" w:color="000000" w:fill="D6DCE4"/>
            <w:vAlign w:val="center"/>
          </w:tcPr>
          <w:p w14:paraId="60BF9A3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50" w:type="dxa"/>
            <w:shd w:val="clear" w:color="000000" w:fill="D6DCE4"/>
            <w:vAlign w:val="center"/>
          </w:tcPr>
          <w:p w14:paraId="19EF23F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50" w:type="dxa"/>
            <w:shd w:val="clear" w:color="000000" w:fill="D6DCE4"/>
            <w:vAlign w:val="center"/>
          </w:tcPr>
          <w:p w14:paraId="4EB0700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2D020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3068403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1533D40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9C4890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B47FF7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3F16157">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shd w:val="clear" w:color="auto" w:fill="auto"/>
            <w:vAlign w:val="center"/>
          </w:tcPr>
          <w:p w14:paraId="6136C53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限制失信被执行人及失信被执行人的法定代表人、主要负责人、影响债务履行的直接责任人员、实际控制人购买房产、土地（使用权）等不动产</w:t>
            </w:r>
          </w:p>
        </w:tc>
        <w:tc>
          <w:tcPr>
            <w:tcW w:w="1131" w:type="dxa"/>
            <w:shd w:val="clear" w:color="auto" w:fill="auto"/>
            <w:vAlign w:val="center"/>
          </w:tcPr>
          <w:p w14:paraId="16D8558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9C6593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restart"/>
            <w:shd w:val="clear" w:color="auto" w:fill="auto"/>
            <w:vAlign w:val="center"/>
          </w:tcPr>
          <w:p w14:paraId="7FFBD55B">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详见下方</w:t>
            </w:r>
          </w:p>
          <w:p w14:paraId="79D1045B">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135E10A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25" w:type="dxa"/>
            <w:shd w:val="clear" w:color="auto" w:fill="auto"/>
            <w:vAlign w:val="center"/>
          </w:tcPr>
          <w:p w14:paraId="5EA66ED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6DC2788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国有建设用地使用权出让后土地使用权分割转让批准</w:t>
            </w:r>
          </w:p>
        </w:tc>
        <w:tc>
          <w:tcPr>
            <w:tcW w:w="1150" w:type="dxa"/>
            <w:shd w:val="clear" w:color="auto" w:fill="auto"/>
            <w:vAlign w:val="center"/>
          </w:tcPr>
          <w:p w14:paraId="3666E1D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shd w:val="clear" w:color="auto" w:fill="auto"/>
            <w:vAlign w:val="center"/>
          </w:tcPr>
          <w:p w14:paraId="66A8372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shd w:val="clear" w:color="auto" w:fill="auto"/>
            <w:vAlign w:val="center"/>
          </w:tcPr>
          <w:p w14:paraId="6ECDFE3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《中华人民共和国城镇国有土地使用权出让和转让暂行条例》（国务院令第55号）第二十五条。</w:t>
            </w:r>
          </w:p>
        </w:tc>
      </w:tr>
      <w:tr w14:paraId="75B3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shd w:val="clear" w:color="auto" w:fill="auto"/>
            <w:vAlign w:val="center"/>
          </w:tcPr>
          <w:p w14:paraId="745216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vAlign w:val="center"/>
          </w:tcPr>
          <w:p w14:paraId="3512CD8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2B5AE5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C242E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4F88948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Align w:val="center"/>
          </w:tcPr>
          <w:p w14:paraId="358C1CE8">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限制失信被执行及失信被执行人的法定代表人、主要负责人、影响债务履行的直接责任人员、实际控制人以协议方式购买土地使用权。</w:t>
            </w:r>
          </w:p>
        </w:tc>
        <w:tc>
          <w:tcPr>
            <w:tcW w:w="1131" w:type="dxa"/>
            <w:shd w:val="clear" w:color="auto" w:fill="auto"/>
            <w:vAlign w:val="center"/>
          </w:tcPr>
          <w:p w14:paraId="2DF90E2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3A8943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17D80BA9">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0DCD469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25" w:type="dxa"/>
            <w:shd w:val="clear" w:color="auto" w:fill="auto"/>
            <w:vAlign w:val="center"/>
          </w:tcPr>
          <w:p w14:paraId="79D16F9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其他行政审批事项</w:t>
            </w:r>
          </w:p>
        </w:tc>
        <w:tc>
          <w:tcPr>
            <w:tcW w:w="2150" w:type="dxa"/>
            <w:shd w:val="clear" w:color="auto" w:fill="auto"/>
            <w:vAlign w:val="center"/>
          </w:tcPr>
          <w:p w14:paraId="317EE26F">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协议出让（租赁）国有土地使用权审查。</w:t>
            </w:r>
          </w:p>
        </w:tc>
        <w:tc>
          <w:tcPr>
            <w:tcW w:w="1150" w:type="dxa"/>
            <w:shd w:val="clear" w:color="auto" w:fill="auto"/>
            <w:vAlign w:val="center"/>
          </w:tcPr>
          <w:p w14:paraId="3F316AB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4CD2290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是</w:t>
            </w:r>
          </w:p>
        </w:tc>
        <w:tc>
          <w:tcPr>
            <w:tcW w:w="3050" w:type="dxa"/>
            <w:vAlign w:val="center"/>
          </w:tcPr>
          <w:p w14:paraId="698D328E">
            <w:pPr>
              <w:widowControl/>
              <w:spacing w:line="240" w:lineRule="auto"/>
              <w:ind w:firstLine="0" w:firstLineChars="0"/>
              <w:rPr>
                <w:rFonts w:hint="default"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《协议出让国有土地使用权规定》</w:t>
            </w:r>
            <w:r>
              <w:rPr>
                <w:rFonts w:hint="eastAsia" w:ascii="微软雅黑" w:hAnsi="微软雅黑" w:eastAsia="微软雅黑" w:cs="宋体"/>
                <w:kern w:val="0"/>
                <w:sz w:val="20"/>
                <w:szCs w:val="20"/>
                <w:lang w:val="en-US" w:eastAsia="zh-CN"/>
              </w:rPr>
              <w:t>(国土资源部令第21号）</w:t>
            </w:r>
          </w:p>
        </w:tc>
      </w:tr>
      <w:tr w14:paraId="6F4D9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5" w:hRule="atLeast"/>
          <w:jc w:val="center"/>
        </w:trPr>
        <w:tc>
          <w:tcPr>
            <w:tcW w:w="700" w:type="dxa"/>
            <w:shd w:val="clear" w:color="auto" w:fill="auto"/>
            <w:vAlign w:val="center"/>
          </w:tcPr>
          <w:p w14:paraId="7B219F2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3</w:t>
            </w:r>
          </w:p>
        </w:tc>
        <w:tc>
          <w:tcPr>
            <w:tcW w:w="1078" w:type="dxa"/>
            <w:vAlign w:val="center"/>
          </w:tcPr>
          <w:p w14:paraId="31DDA6D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2E3D31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6C30FE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3D396D5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Merge w:val="restart"/>
            <w:vAlign w:val="center"/>
          </w:tcPr>
          <w:p w14:paraId="2604094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限制失信被执行人及失信被执行人的法定代表人、主要负责人、影响债务履行的直接责任人员、实际控制人购买房产、土地（使用权）等不动产</w:t>
            </w:r>
          </w:p>
        </w:tc>
        <w:tc>
          <w:tcPr>
            <w:tcW w:w="1131" w:type="dxa"/>
            <w:shd w:val="clear" w:color="auto" w:fill="auto"/>
            <w:vAlign w:val="center"/>
          </w:tcPr>
          <w:p w14:paraId="2C968E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1B7E40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47E64C5E">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73A0EAD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25" w:type="dxa"/>
            <w:shd w:val="clear" w:color="auto" w:fill="auto"/>
            <w:vAlign w:val="center"/>
          </w:tcPr>
          <w:p w14:paraId="02E8CD5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6CE2D0C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划拨土地使用权和地上建筑物及附着物所有权转让、出租、抵押审批</w:t>
            </w:r>
          </w:p>
        </w:tc>
        <w:tc>
          <w:tcPr>
            <w:tcW w:w="1150" w:type="dxa"/>
            <w:shd w:val="clear" w:color="auto" w:fill="auto"/>
            <w:vAlign w:val="center"/>
          </w:tcPr>
          <w:p w14:paraId="7D0DC69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Merge w:val="restart"/>
            <w:vAlign w:val="center"/>
          </w:tcPr>
          <w:p w14:paraId="3D37010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vAlign w:val="center"/>
          </w:tcPr>
          <w:p w14:paraId="05E6C05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《中华人民共和国城镇国有土地使用权出让和转让暂行条例》（国务院令第55号）第四十五条。</w:t>
            </w:r>
          </w:p>
        </w:tc>
      </w:tr>
      <w:tr w14:paraId="0178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shd w:val="clear" w:color="auto" w:fill="auto"/>
            <w:vAlign w:val="center"/>
          </w:tcPr>
          <w:p w14:paraId="72CB8154">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4</w:t>
            </w:r>
          </w:p>
        </w:tc>
        <w:tc>
          <w:tcPr>
            <w:tcW w:w="1078" w:type="dxa"/>
            <w:vAlign w:val="center"/>
          </w:tcPr>
          <w:p w14:paraId="2E4A37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4CBDE3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F890C9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2072B52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Merge w:val="restart"/>
            <w:vAlign w:val="center"/>
          </w:tcPr>
          <w:p w14:paraId="0777C2F4">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限制失信被执行人及失信被执行人的法定代表人、主要负责人、影响债务履行的直接责任人员、实际控制人购买房产、土地（使用权）等不动产</w:t>
            </w:r>
          </w:p>
        </w:tc>
        <w:tc>
          <w:tcPr>
            <w:tcW w:w="1131" w:type="dxa"/>
            <w:shd w:val="clear" w:color="auto" w:fill="auto"/>
            <w:vAlign w:val="center"/>
          </w:tcPr>
          <w:p w14:paraId="341967D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BAC2A3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5F588D7C">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214D4F9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25" w:type="dxa"/>
            <w:shd w:val="clear" w:color="auto" w:fill="auto"/>
            <w:vAlign w:val="center"/>
          </w:tcPr>
          <w:p w14:paraId="5F60F35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62B60A7D">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采矿权设立登记</w:t>
            </w:r>
          </w:p>
        </w:tc>
        <w:tc>
          <w:tcPr>
            <w:tcW w:w="1150" w:type="dxa"/>
            <w:shd w:val="clear" w:color="auto" w:fill="auto"/>
            <w:vAlign w:val="center"/>
          </w:tcPr>
          <w:p w14:paraId="59F342F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37C4C1B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50" w:type="dxa"/>
            <w:vAlign w:val="center"/>
          </w:tcPr>
          <w:p w14:paraId="44BE9F1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1.《中华人民共和国矿产资源法》第三条；</w:t>
            </w:r>
          </w:p>
          <w:p w14:paraId="78CB1E0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2.《矿产资源开采登记管理办法》（国务院令第241号）第三条。</w:t>
            </w:r>
          </w:p>
        </w:tc>
      </w:tr>
      <w:tr w14:paraId="6C6C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shd w:val="clear" w:color="auto" w:fill="auto"/>
            <w:vAlign w:val="center"/>
          </w:tcPr>
          <w:p w14:paraId="07F13867">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5</w:t>
            </w:r>
          </w:p>
        </w:tc>
        <w:tc>
          <w:tcPr>
            <w:tcW w:w="1078" w:type="dxa"/>
            <w:vAlign w:val="center"/>
          </w:tcPr>
          <w:p w14:paraId="3F930B7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121C31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646000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0FAA03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Merge w:val="continue"/>
            <w:vAlign w:val="center"/>
          </w:tcPr>
          <w:p w14:paraId="5FD9EDBE">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32FABEE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41ADFE1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5C5B528E">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024F0DC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25" w:type="dxa"/>
            <w:shd w:val="clear" w:color="auto" w:fill="auto"/>
            <w:vAlign w:val="center"/>
          </w:tcPr>
          <w:p w14:paraId="15CF44E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6FB6277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采矿权变更登记</w:t>
            </w:r>
          </w:p>
        </w:tc>
        <w:tc>
          <w:tcPr>
            <w:tcW w:w="1150" w:type="dxa"/>
            <w:shd w:val="clear" w:color="auto" w:fill="auto"/>
            <w:vAlign w:val="center"/>
          </w:tcPr>
          <w:p w14:paraId="5C4FA03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19A7928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50" w:type="dxa"/>
            <w:vAlign w:val="center"/>
          </w:tcPr>
          <w:p w14:paraId="50DF643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《矿产资源开采登记管理办法》</w:t>
            </w:r>
          </w:p>
        </w:tc>
      </w:tr>
      <w:tr w14:paraId="6002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3D24108D">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6</w:t>
            </w:r>
          </w:p>
        </w:tc>
        <w:tc>
          <w:tcPr>
            <w:tcW w:w="1078" w:type="dxa"/>
            <w:vAlign w:val="center"/>
          </w:tcPr>
          <w:p w14:paraId="79F9699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6D8E94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A3120D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13D826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Align w:val="center"/>
          </w:tcPr>
          <w:p w14:paraId="2EE15EF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限制失信被执行人及失信被执行人的法定代表人、主要负责人、影响债务履行的直接责任人员、实际控制人购买房产、土地（使用权）等不动产</w:t>
            </w:r>
          </w:p>
        </w:tc>
        <w:tc>
          <w:tcPr>
            <w:tcW w:w="1131" w:type="dxa"/>
            <w:shd w:val="clear" w:color="auto" w:fill="auto"/>
            <w:vAlign w:val="center"/>
          </w:tcPr>
          <w:p w14:paraId="2F8BF61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5F1A69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7242A70B">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3E307B9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25" w:type="dxa"/>
            <w:shd w:val="clear" w:color="auto" w:fill="auto"/>
            <w:vAlign w:val="center"/>
          </w:tcPr>
          <w:p w14:paraId="3591F42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0DF3EF4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采矿权转让审批</w:t>
            </w:r>
          </w:p>
        </w:tc>
        <w:tc>
          <w:tcPr>
            <w:tcW w:w="1150" w:type="dxa"/>
            <w:shd w:val="clear" w:color="auto" w:fill="auto"/>
            <w:vAlign w:val="center"/>
          </w:tcPr>
          <w:p w14:paraId="7FBAA2D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0B1FBD1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50" w:type="dxa"/>
            <w:vAlign w:val="center"/>
          </w:tcPr>
          <w:p w14:paraId="1E013E2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1.《中华人民共和国矿产资源法》第六条；</w:t>
            </w:r>
          </w:p>
          <w:p w14:paraId="3351912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2.《探矿权采矿权转让管理办法》（国务院242号令）第六条。</w:t>
            </w:r>
          </w:p>
        </w:tc>
      </w:tr>
      <w:tr w14:paraId="6D69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22102" w:type="dxa"/>
            <w:gridSpan w:val="15"/>
            <w:shd w:val="clear" w:color="auto" w:fill="auto"/>
            <w:vAlign w:val="center"/>
          </w:tcPr>
          <w:p w14:paraId="1A268495">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285D413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2.《河北省高级人民法院关于限制被执行人高消费及有关消费的若干规定》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被执行人为自然人的，被采取限制消费措施后，不得有以下高消费及非生活和工作必需的消费行为：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（一）乘坐交通工具时，选择飞机、列车软卧、轮船二等以上舱位；</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（二）在星级以上宾馆、酒店、夜总会、高尔夫球场等场所进行高消费；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（三）购买不动产或者新建、扩建、高档装修房屋；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（四）租赁高档写字楼、宾馆、公寓等场所办公；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（五）购买非经营必需车辆；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（六）旅游、度假；</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（七）子女就读高收费私立学校；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（八）支付高额保费购买保险理财产品；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（九）乘坐G字头动车组列车全部座位、其他动车组列车一等以上座位等其他非生活和工作必需的消费行为。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人民法院决定采取限制消费措施的，可以根据案件需要和被执行人的情况向有义务协助调查、执行的单位送达协助执行通知书，也可以在相关媒体上进行公告。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被限制消费的被执行人因生活或者经营必需而进行本规定禁止的消费活动的，应当向人民法院提出申请，获批准后方可进行。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有关单位在收到人民法院协助执行通知书后，仍允许被执行人进行高消费及非生活或者经营必需的有关消费的，人民法院可以依照《中华人民共和国民事诉讼法》第一百一十四条的规定，追究其法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3.《不动产登记暂行条例》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本条例所称不动产登记，是指不动产登记机构依法将不动产权利归属和其他法定事项记载于不动产登记簿的行为。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本条例所称不动产，是指土地、海域以及房屋、林木等定着物。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不动产登记由不动产所在地的县级人民政府不动产登记机构办理；直辖</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、设区的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人民政府可以确定本级不动产登记机构统一办理所属各区的不动产登记。</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跨县级行政区域的不动产登记，由所跨县级行政区域的不动产登记机构分别办理。不能分别办理的，由所跨县级行政区域的不动产登记机构协商办理；协商不成的，由共同的上一级人民政府不动产登记主管部门指定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国务院确定的重点国有林区的森林、林木和林地，国务院批准项目用海、用岛，中央国家机关使用的国有土地等不动产登记，由国务院国土资源主管部门会同有关部门规定。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第十二条 住房和城乡建设管理部门应当协助人民法院及时查询有关房屋权属登记、变更、抵押等情况，协助人民法院及时办理房屋查封、预查封和轮候查封及转移登记手续，并将有关情况及时告知人民法院。被执行人正在办理房屋所有权转移登记等手续的，根据人民法院协助执行通知书的要求，停止办理相关手续。轮候查封的人民法院违法要求协助办理房屋登记手续的，依法不予办理。债权人持生效法律文书申请办理房屋转移登记手续的，依法予以办理。协助人民法院查询有关工程项目的规划审批情况，向人民法院提供必要的经批准的规划文件和规划图纸等资料。被执行人正在申请办理涉案项目规划审批手续的，根据人民法院协助执行通知书的要求，停止办理相关手续。将房地产、建筑企业不依法履行生效法律文书义务的情况，记入房地产和建筑</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场信用档案，向社会披露有关信息。对拖欠房屋拆迁补偿安置资金的被执行人，依法采取制裁措施。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w:t>
            </w:r>
            <w:r>
              <w:rPr>
                <w:rFonts w:hint="eastAsia"/>
              </w:rPr>
              <w:t xml:space="preserve"> </w:t>
            </w:r>
            <w:r>
              <w:rPr>
                <w:rFonts w:hint="eastAsia" w:ascii="微软雅黑" w:hAnsi="微软雅黑" w:eastAsia="微软雅黑" w:cs="宋体"/>
                <w:kern w:val="0"/>
                <w:sz w:val="20"/>
                <w:szCs w:val="20"/>
              </w:rPr>
              <w:t>《最高人民法院、国土资源部、建设部关于依法规范人民法院执行和国土资源房地产管理部门协助执行若干问题的通知》（法发〔2004〕5号）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国土资源、房地产管理部门依法协助人民法院执行时，除复制有关材料所必需的工本费外，不得向人民法院收取其他费用。登记过户的费用按照国家有关规定收取。</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p>
          <w:p w14:paraId="40087DF4">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人民法院执行人员到国土资源、房地产管理部门查询土地、房屋权属情况时，应当出示本人工作证和执行公务证，并出具协助查询通知书。人民法院执行人员到国土资源、房地产管理部门办理土地使用权或者房屋查封、预查封登记手续时，应当出示本人工作证和执行公务证，并出具查封预查封裁定书和协助执行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案室（馆）加盖印章。无法查询或者查询无结果的，国土资源、房地产管理部门应当书面告知人民法院。</w:t>
            </w:r>
          </w:p>
        </w:tc>
      </w:tr>
      <w:tr w14:paraId="088AF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373063A5">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7</w:t>
            </w:r>
          </w:p>
        </w:tc>
        <w:tc>
          <w:tcPr>
            <w:tcW w:w="1078" w:type="dxa"/>
            <w:shd w:val="clear" w:color="auto" w:fill="auto"/>
            <w:vAlign w:val="center"/>
          </w:tcPr>
          <w:p w14:paraId="7302F6B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CAAFB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失信被执行人及失信被执行人的法定代表人、主要负责人、实际控制人、影响债务履行的直接责任人员</w:t>
            </w:r>
          </w:p>
        </w:tc>
        <w:tc>
          <w:tcPr>
            <w:tcW w:w="819" w:type="dxa"/>
            <w:shd w:val="clear" w:color="auto" w:fill="auto"/>
            <w:vAlign w:val="center"/>
          </w:tcPr>
          <w:p w14:paraId="4B224E5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p w14:paraId="3A5DA8C8">
            <w:pPr>
              <w:widowControl/>
              <w:spacing w:line="240" w:lineRule="auto"/>
              <w:ind w:firstLine="0" w:firstLineChars="0"/>
              <w:jc w:val="center"/>
              <w:rPr>
                <w:rFonts w:ascii="微软雅黑" w:hAnsi="微软雅黑" w:eastAsia="微软雅黑" w:cs="宋体"/>
                <w:kern w:val="0"/>
                <w:sz w:val="20"/>
                <w:szCs w:val="20"/>
              </w:rPr>
            </w:pPr>
          </w:p>
        </w:tc>
        <w:tc>
          <w:tcPr>
            <w:tcW w:w="1039" w:type="dxa"/>
            <w:shd w:val="clear" w:color="auto" w:fill="auto"/>
            <w:vAlign w:val="center"/>
          </w:tcPr>
          <w:p w14:paraId="194F61E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shd w:val="clear" w:color="auto" w:fill="auto"/>
            <w:vAlign w:val="center"/>
          </w:tcPr>
          <w:p w14:paraId="4A58AB5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办理转移、抵押、变更等涉及不动产产权变化的不动产登记时，应将相关信息通报给人民法院，便于人民法院依法采取执行措施</w:t>
            </w:r>
          </w:p>
        </w:tc>
        <w:tc>
          <w:tcPr>
            <w:tcW w:w="1131" w:type="dxa"/>
            <w:shd w:val="clear" w:color="auto" w:fill="auto"/>
            <w:vAlign w:val="center"/>
          </w:tcPr>
          <w:p w14:paraId="4569140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31C22F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shd w:val="clear" w:color="auto" w:fill="auto"/>
            <w:vAlign w:val="center"/>
          </w:tcPr>
          <w:p w14:paraId="73EBDB2A">
            <w:pPr>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详见下方</w:t>
            </w:r>
          </w:p>
        </w:tc>
        <w:tc>
          <w:tcPr>
            <w:tcW w:w="1550" w:type="dxa"/>
            <w:shd w:val="clear" w:color="auto" w:fill="auto"/>
            <w:vAlign w:val="center"/>
          </w:tcPr>
          <w:p w14:paraId="53B133D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《关于对失信被执行人实施限制不动产交易惩戒措施的通知》（发改财金〔2018〕370号）</w:t>
            </w:r>
          </w:p>
        </w:tc>
        <w:tc>
          <w:tcPr>
            <w:tcW w:w="1125" w:type="dxa"/>
            <w:shd w:val="clear" w:color="auto" w:fill="auto"/>
            <w:vAlign w:val="center"/>
          </w:tcPr>
          <w:p w14:paraId="583E5C6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1B90449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国有建设用地使用权出让后土地使用权分割转让批准</w:t>
            </w:r>
          </w:p>
        </w:tc>
        <w:tc>
          <w:tcPr>
            <w:tcW w:w="1150" w:type="dxa"/>
            <w:shd w:val="clear" w:color="auto" w:fill="auto"/>
            <w:vAlign w:val="center"/>
          </w:tcPr>
          <w:p w14:paraId="3EE93A9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shd w:val="clear" w:color="auto" w:fill="auto"/>
            <w:vAlign w:val="center"/>
          </w:tcPr>
          <w:p w14:paraId="2C5E2197">
            <w:pPr>
              <w:spacing w:line="240" w:lineRule="auto"/>
              <w:ind w:firstLine="0" w:firstLineChars="0"/>
              <w:jc w:val="center"/>
              <w:rPr>
                <w:rFonts w:hint="eastAsia" w:ascii="微软雅黑" w:hAnsi="微软雅黑" w:eastAsia="微软雅黑" w:cs="宋体"/>
                <w:kern w:val="0"/>
                <w:sz w:val="20"/>
                <w:szCs w:val="20"/>
                <w:lang w:eastAsia="zh-CN"/>
              </w:rPr>
            </w:pPr>
          </w:p>
        </w:tc>
        <w:tc>
          <w:tcPr>
            <w:tcW w:w="3050" w:type="dxa"/>
            <w:shd w:val="clear" w:color="auto" w:fill="auto"/>
            <w:vAlign w:val="center"/>
          </w:tcPr>
          <w:p w14:paraId="392D122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《中华人民共和国城镇国有土地使用权出让和转让暂行条例》（国务院令第55号）第二十五条。</w:t>
            </w:r>
          </w:p>
        </w:tc>
      </w:tr>
      <w:tr w14:paraId="23028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0" w:hRule="atLeast"/>
          <w:jc w:val="center"/>
        </w:trPr>
        <w:tc>
          <w:tcPr>
            <w:tcW w:w="22102" w:type="dxa"/>
            <w:gridSpan w:val="15"/>
            <w:shd w:val="clear" w:color="auto" w:fill="auto"/>
            <w:vAlign w:val="center"/>
          </w:tcPr>
          <w:p w14:paraId="18353E83">
            <w:pPr>
              <w:widowControl/>
              <w:spacing w:line="240" w:lineRule="auto"/>
              <w:ind w:firstLine="0" w:firstLineChars="0"/>
              <w:jc w:val="left"/>
              <w:rPr>
                <w:rFonts w:hint="eastAsia" w:ascii="微软雅黑" w:hAnsi="微软雅黑" w:eastAsia="微软雅黑" w:cs="宋体"/>
                <w:b/>
                <w:bCs/>
                <w:kern w:val="0"/>
                <w:sz w:val="20"/>
                <w:szCs w:val="20"/>
              </w:rPr>
            </w:pPr>
          </w:p>
          <w:p w14:paraId="3D4CFB6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2881208D">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1《关于建立和完善执行联动机制若干问题的意见》</w:t>
            </w:r>
          </w:p>
          <w:p w14:paraId="4354DDD9">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一条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p>
          <w:p w14:paraId="573FA1D6">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2.《最高人民法院、国土资源部、建设部关于依法规范人民法院执行和国土资源房地产管理部门协助执行若干问题的通知》法发〔2004〕5号</w:t>
            </w:r>
          </w:p>
          <w:p w14:paraId="4530ABD7">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p>
          <w:p w14:paraId="12A325B4">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国土资源、房地产管理部门依法协助人民法院执行时，除复制有关材料所必需的工本费外，不得向人民法院收取其他费用。登记过户的费用按照国家有关规定收取。</w:t>
            </w:r>
          </w:p>
          <w:p w14:paraId="35950DA1">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p>
          <w:p w14:paraId="797D2D8D">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人民法院执行人员到国土资源、房地产管理部门查询土地、房屋权属情况时，应当出示本人工作证和执行公务证，并出具协助查询通知书。</w:t>
            </w:r>
          </w:p>
          <w:p w14:paraId="66E5A51A">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人民法院执行人员到国土资源、房地产管理部门办理土地使用权或者房屋查封、预查封登记手续时，应当出示本人工作证和执行公务证，并出具查封、预查封裁定书和协助执行通知书。</w:t>
            </w:r>
          </w:p>
          <w:p w14:paraId="5C2D4873">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案室（馆）加盖印章。无法查询或者查询无结果的，国土资源、房地产管理部门应当书面告知人民法院。</w:t>
            </w:r>
          </w:p>
          <w:p w14:paraId="540FC6C0">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3.《中华人民共和国民事诉讼法》</w:t>
            </w:r>
          </w:p>
          <w:p w14:paraId="6D499CC0">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百四十二条被执行人未按执行通知履行法律文书确定的义务，人民法院有权向有关单位查询被执行人的存款、债券、股票、基金份额等财产情况。人民法院有权根据不同情形扣押、冻结、划拨、变价被执行人的财产。</w:t>
            </w:r>
          </w:p>
          <w:p w14:paraId="65886E7B">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人民法院决定扣押、冻结、划拨、变价财产，应当作出裁定，并发出协助执行通知书，有关单位必须办理</w:t>
            </w:r>
            <w:r>
              <w:rPr>
                <w:rFonts w:hint="eastAsia" w:ascii="微软雅黑" w:hAnsi="微软雅黑" w:eastAsia="微软雅黑" w:cs="宋体"/>
                <w:kern w:val="0"/>
                <w:sz w:val="20"/>
                <w:szCs w:val="20"/>
                <w:lang w:eastAsia="zh-CN"/>
              </w:rPr>
              <w:t>。</w:t>
            </w:r>
          </w:p>
          <w:p w14:paraId="702D74D7">
            <w:pPr>
              <w:widowControl/>
              <w:spacing w:line="240" w:lineRule="auto"/>
              <w:ind w:firstLine="0" w:firstLineChars="0"/>
              <w:rPr>
                <w:rFonts w:hint="eastAsia" w:ascii="微软雅黑" w:hAnsi="微软雅黑" w:eastAsia="微软雅黑" w:cs="宋体"/>
                <w:kern w:val="0"/>
                <w:sz w:val="20"/>
                <w:szCs w:val="20"/>
                <w:lang w:eastAsia="zh-CN"/>
              </w:rPr>
            </w:pPr>
          </w:p>
        </w:tc>
      </w:tr>
      <w:tr w14:paraId="4FFA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6B96E43D">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8</w:t>
            </w:r>
          </w:p>
        </w:tc>
        <w:tc>
          <w:tcPr>
            <w:tcW w:w="1078" w:type="dxa"/>
            <w:vAlign w:val="center"/>
          </w:tcPr>
          <w:p w14:paraId="7404429E">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486F544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失信被执行人及失信被执行人的法定代表人、主要负责人、实际控制人、影响债务履行的直接责任人员</w:t>
            </w:r>
          </w:p>
        </w:tc>
        <w:tc>
          <w:tcPr>
            <w:tcW w:w="819" w:type="dxa"/>
            <w:shd w:val="clear" w:color="auto" w:fill="auto"/>
            <w:vAlign w:val="center"/>
          </w:tcPr>
          <w:p w14:paraId="04A2FCC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1866692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Align w:val="center"/>
          </w:tcPr>
          <w:p w14:paraId="517AF3C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办理转移、抵押、变更等涉及不动产产权变化的不动产登记时，应将相关信息通报给人民法院，便于人民法院依法采取执行措施</w:t>
            </w:r>
          </w:p>
        </w:tc>
        <w:tc>
          <w:tcPr>
            <w:tcW w:w="1131" w:type="dxa"/>
            <w:shd w:val="clear" w:color="auto" w:fill="auto"/>
            <w:vAlign w:val="center"/>
          </w:tcPr>
          <w:p w14:paraId="3A4F137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ACC289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restart"/>
            <w:shd w:val="clear" w:color="auto" w:fill="auto"/>
            <w:vAlign w:val="center"/>
          </w:tcPr>
          <w:p w14:paraId="2253ED1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详见下方</w:t>
            </w:r>
          </w:p>
        </w:tc>
        <w:tc>
          <w:tcPr>
            <w:tcW w:w="1550" w:type="dxa"/>
            <w:shd w:val="clear" w:color="auto" w:fill="auto"/>
            <w:vAlign w:val="center"/>
          </w:tcPr>
          <w:p w14:paraId="17AB3E3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《关于对失信被执行人实施限制不动产交易惩戒措施的通知》（发改财金〔2018〕370号）</w:t>
            </w:r>
          </w:p>
        </w:tc>
        <w:tc>
          <w:tcPr>
            <w:tcW w:w="1125" w:type="dxa"/>
            <w:shd w:val="clear" w:color="auto" w:fill="auto"/>
            <w:vAlign w:val="center"/>
          </w:tcPr>
          <w:p w14:paraId="6E36360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46D003D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划拨土地使用权和地上建筑物及附着物所有权转让、出租、抵押审批</w:t>
            </w:r>
          </w:p>
        </w:tc>
        <w:tc>
          <w:tcPr>
            <w:tcW w:w="1150" w:type="dxa"/>
            <w:shd w:val="clear" w:color="auto" w:fill="auto"/>
            <w:vAlign w:val="center"/>
          </w:tcPr>
          <w:p w14:paraId="6842F86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593AF7D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vAlign w:val="center"/>
          </w:tcPr>
          <w:p w14:paraId="5A0BEDB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《中华人民共和国城镇国有土地使用权出让和转让暂行条例》（国务院令第55号）第四十五条。</w:t>
            </w:r>
          </w:p>
        </w:tc>
      </w:tr>
      <w:tr w14:paraId="493E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0" w:hRule="atLeast"/>
          <w:jc w:val="center"/>
        </w:trPr>
        <w:tc>
          <w:tcPr>
            <w:tcW w:w="700" w:type="dxa"/>
            <w:shd w:val="clear" w:color="auto" w:fill="auto"/>
            <w:vAlign w:val="center"/>
          </w:tcPr>
          <w:p w14:paraId="7BE1600F">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9</w:t>
            </w:r>
          </w:p>
        </w:tc>
        <w:tc>
          <w:tcPr>
            <w:tcW w:w="1078" w:type="dxa"/>
            <w:vAlign w:val="center"/>
          </w:tcPr>
          <w:p w14:paraId="428B0A9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36258D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失信被执行人及失信被执行人的法定代表人、主要负责人、实际控制人、影响债务履行的直接责任人员</w:t>
            </w:r>
          </w:p>
        </w:tc>
        <w:tc>
          <w:tcPr>
            <w:tcW w:w="819" w:type="dxa"/>
            <w:shd w:val="clear" w:color="auto" w:fill="auto"/>
            <w:vAlign w:val="center"/>
          </w:tcPr>
          <w:p w14:paraId="2C6911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4F42C5A2">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Align w:val="center"/>
          </w:tcPr>
          <w:p w14:paraId="345870A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办理转移、抵押、变更等涉及不动产产权变化的不动产登记时，应将相关信息通报给人民法院，便于人民法院依法采取执行措施</w:t>
            </w:r>
          </w:p>
        </w:tc>
        <w:tc>
          <w:tcPr>
            <w:tcW w:w="1131" w:type="dxa"/>
            <w:shd w:val="clear" w:color="auto" w:fill="auto"/>
            <w:vAlign w:val="center"/>
          </w:tcPr>
          <w:p w14:paraId="50D5B32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46F5A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3C4224AD">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0A1A9F2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《关于对失信被执行人实施限制不动产交易惩戒措施的通知》（发改财金〔2018〕370号）</w:t>
            </w:r>
          </w:p>
        </w:tc>
        <w:tc>
          <w:tcPr>
            <w:tcW w:w="1125" w:type="dxa"/>
            <w:shd w:val="clear" w:color="auto" w:fill="auto"/>
            <w:vAlign w:val="center"/>
          </w:tcPr>
          <w:p w14:paraId="27A90A5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0F9041D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采矿权变更登记</w:t>
            </w:r>
          </w:p>
        </w:tc>
        <w:tc>
          <w:tcPr>
            <w:tcW w:w="1150" w:type="dxa"/>
            <w:shd w:val="clear" w:color="auto" w:fill="auto"/>
            <w:vAlign w:val="center"/>
          </w:tcPr>
          <w:p w14:paraId="702DE72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592C32F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50" w:type="dxa"/>
            <w:vAlign w:val="center"/>
          </w:tcPr>
          <w:p w14:paraId="5B2487A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《矿产资源开采登记管理办法》</w:t>
            </w:r>
          </w:p>
        </w:tc>
      </w:tr>
      <w:tr w14:paraId="294A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34633E69">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10</w:t>
            </w:r>
          </w:p>
        </w:tc>
        <w:tc>
          <w:tcPr>
            <w:tcW w:w="1078" w:type="dxa"/>
            <w:vAlign w:val="center"/>
          </w:tcPr>
          <w:p w14:paraId="5465EA0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Merge w:val="restart"/>
            <w:vAlign w:val="center"/>
          </w:tcPr>
          <w:p w14:paraId="75B8329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失信被执行人及失信被执行人的法定代表人、主要负责人、实际控制人、影响债务履行的直接责任人员</w:t>
            </w:r>
          </w:p>
        </w:tc>
        <w:tc>
          <w:tcPr>
            <w:tcW w:w="819" w:type="dxa"/>
            <w:shd w:val="clear" w:color="auto" w:fill="auto"/>
            <w:vAlign w:val="center"/>
          </w:tcPr>
          <w:p w14:paraId="393BABC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3532B79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Merge w:val="restart"/>
            <w:vAlign w:val="center"/>
          </w:tcPr>
          <w:p w14:paraId="795E7BE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办理转移、抵押、变更等涉及不动产产权变化的不动产登记时，应将相关信息通报给人民法院，便于人民法院依法采取执行措施</w:t>
            </w:r>
          </w:p>
        </w:tc>
        <w:tc>
          <w:tcPr>
            <w:tcW w:w="1131" w:type="dxa"/>
            <w:shd w:val="clear" w:color="auto" w:fill="auto"/>
            <w:vAlign w:val="center"/>
          </w:tcPr>
          <w:p w14:paraId="6DA2593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C9159E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4582E9D4">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0EBD343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《关于对失信被执行人实施限制不动产交易惩戒措施的通知》（发改财金〔2018〕370号）</w:t>
            </w:r>
          </w:p>
        </w:tc>
        <w:tc>
          <w:tcPr>
            <w:tcW w:w="1125" w:type="dxa"/>
            <w:shd w:val="clear" w:color="auto" w:fill="auto"/>
            <w:vAlign w:val="center"/>
          </w:tcPr>
          <w:p w14:paraId="54EA684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50" w:type="dxa"/>
            <w:shd w:val="clear" w:color="auto" w:fill="auto"/>
            <w:vAlign w:val="center"/>
          </w:tcPr>
          <w:p w14:paraId="5327D85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采矿权转让审批</w:t>
            </w:r>
          </w:p>
        </w:tc>
        <w:tc>
          <w:tcPr>
            <w:tcW w:w="1150" w:type="dxa"/>
            <w:shd w:val="clear" w:color="auto" w:fill="auto"/>
            <w:vAlign w:val="center"/>
          </w:tcPr>
          <w:p w14:paraId="21434BC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74CBD25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50" w:type="dxa"/>
            <w:vAlign w:val="center"/>
          </w:tcPr>
          <w:p w14:paraId="02F1D01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1.《中华人民共和国矿产资源法》；</w:t>
            </w:r>
          </w:p>
          <w:p w14:paraId="1AD79D8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2.《探矿权采矿权转让管理办法》（国务院242号令）第六条。</w:t>
            </w:r>
          </w:p>
        </w:tc>
      </w:tr>
      <w:tr w14:paraId="7762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59C41F43">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11</w:t>
            </w:r>
          </w:p>
        </w:tc>
        <w:tc>
          <w:tcPr>
            <w:tcW w:w="1078" w:type="dxa"/>
            <w:vAlign w:val="center"/>
          </w:tcPr>
          <w:p w14:paraId="6DA68CC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Merge w:val="continue"/>
            <w:vAlign w:val="center"/>
          </w:tcPr>
          <w:p w14:paraId="28A21352">
            <w:pPr>
              <w:widowControl/>
              <w:spacing w:line="240" w:lineRule="auto"/>
              <w:ind w:firstLine="0" w:firstLineChars="0"/>
              <w:jc w:val="left"/>
              <w:rPr>
                <w:rFonts w:ascii="微软雅黑" w:hAnsi="微软雅黑" w:eastAsia="微软雅黑" w:cs="宋体"/>
                <w:kern w:val="0"/>
                <w:sz w:val="20"/>
                <w:szCs w:val="20"/>
              </w:rPr>
            </w:pPr>
          </w:p>
        </w:tc>
        <w:tc>
          <w:tcPr>
            <w:tcW w:w="819" w:type="dxa"/>
            <w:shd w:val="clear" w:color="auto" w:fill="auto"/>
            <w:vAlign w:val="center"/>
          </w:tcPr>
          <w:p w14:paraId="3F9AAB2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303831C6">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82" w:type="dxa"/>
            <w:vMerge w:val="continue"/>
            <w:vAlign w:val="center"/>
          </w:tcPr>
          <w:p w14:paraId="40FAB738">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1FA9714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3C4EC8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6" w:type="dxa"/>
            <w:vMerge w:val="continue"/>
            <w:shd w:val="clear" w:color="auto" w:fill="auto"/>
            <w:vAlign w:val="center"/>
          </w:tcPr>
          <w:p w14:paraId="345C6D1E">
            <w:pPr>
              <w:widowControl/>
              <w:spacing w:line="240" w:lineRule="auto"/>
              <w:ind w:firstLine="0" w:firstLineChars="0"/>
              <w:jc w:val="center"/>
              <w:rPr>
                <w:rFonts w:ascii="微软雅黑" w:hAnsi="微软雅黑" w:eastAsia="微软雅黑" w:cs="宋体"/>
                <w:kern w:val="0"/>
                <w:sz w:val="20"/>
                <w:szCs w:val="20"/>
              </w:rPr>
            </w:pPr>
          </w:p>
        </w:tc>
        <w:tc>
          <w:tcPr>
            <w:tcW w:w="1550" w:type="dxa"/>
            <w:shd w:val="clear" w:color="auto" w:fill="auto"/>
            <w:vAlign w:val="center"/>
          </w:tcPr>
          <w:p w14:paraId="5156B45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《关于对失信被执行人实施限制不动产交易惩戒措施的通知》（发改财金〔2018〕370号）</w:t>
            </w:r>
          </w:p>
        </w:tc>
        <w:tc>
          <w:tcPr>
            <w:tcW w:w="1125" w:type="dxa"/>
            <w:shd w:val="clear" w:color="auto" w:fill="auto"/>
            <w:vAlign w:val="center"/>
          </w:tcPr>
          <w:p w14:paraId="161A158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50" w:type="dxa"/>
            <w:shd w:val="clear" w:color="auto" w:fill="auto"/>
            <w:vAlign w:val="center"/>
          </w:tcPr>
          <w:p w14:paraId="2441944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不动产抵押权登记</w:t>
            </w:r>
          </w:p>
        </w:tc>
        <w:tc>
          <w:tcPr>
            <w:tcW w:w="1150" w:type="dxa"/>
            <w:shd w:val="clear" w:color="auto" w:fill="auto"/>
            <w:vAlign w:val="center"/>
          </w:tcPr>
          <w:p w14:paraId="4C13789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0" w:type="dxa"/>
            <w:vAlign w:val="center"/>
          </w:tcPr>
          <w:p w14:paraId="5AB5073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50" w:type="dxa"/>
            <w:vAlign w:val="center"/>
          </w:tcPr>
          <w:p w14:paraId="2DF8B94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《中华人民共和国物权法》</w:t>
            </w:r>
            <w:r>
              <w:rPr>
                <w:rFonts w:hint="eastAsia" w:ascii="微软雅黑" w:hAnsi="微软雅黑" w:eastAsia="微软雅黑" w:cs="宋体"/>
                <w:kern w:val="0"/>
                <w:sz w:val="20"/>
                <w:szCs w:val="20"/>
              </w:rPr>
              <w:t>第十条；</w:t>
            </w:r>
          </w:p>
          <w:p w14:paraId="0A0F8BB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2.《不动产登记暂行条例》（国务院令第656号）第三条。</w:t>
            </w:r>
          </w:p>
        </w:tc>
      </w:tr>
      <w:tr w14:paraId="5E2C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0" w:hRule="atLeast"/>
          <w:jc w:val="center"/>
        </w:trPr>
        <w:tc>
          <w:tcPr>
            <w:tcW w:w="22102" w:type="dxa"/>
            <w:gridSpan w:val="15"/>
            <w:shd w:val="clear" w:color="auto" w:fill="auto"/>
            <w:vAlign w:val="center"/>
          </w:tcPr>
          <w:p w14:paraId="162C963E">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475BE3B3">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1《关于建立和完善执行联动机制若干问题的意见》</w:t>
            </w:r>
          </w:p>
          <w:p w14:paraId="78446F3D">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一条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p>
          <w:p w14:paraId="7C1751A0">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2.《最高人民法院、国土资源部、建设部关于依法规范人民法院执行和国土资源房地产管理部门协助执行若干问题的通知》法发〔2004〕5号</w:t>
            </w:r>
          </w:p>
          <w:p w14:paraId="3FDED399">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p>
          <w:p w14:paraId="74E9C702">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国土资源、房地产管理部门依法协助人民法院执行时，除复制有关材料所必需的工本费外，不得向人民法院收取其他费用。登记过户的费用按照国家有关规定收取。</w:t>
            </w:r>
          </w:p>
          <w:p w14:paraId="4B3EC4CB">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p>
          <w:p w14:paraId="5DE9AAB6">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人民法院执行人员到国土资源、房地产管理部门查询土地、房屋权属情况时，应当出示本人工作证和执行公务证，并出具协助查询通知书。</w:t>
            </w:r>
          </w:p>
          <w:p w14:paraId="5092D9BB">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　　人民法院执行人员到国土资源、房地产管理部门办理土地使用权或者房屋查封、预查封登记手续时，应当出示本人工作证和执行公务证，并出具查封、预查封裁定书和协助执行通知书。</w:t>
            </w:r>
          </w:p>
          <w:p w14:paraId="0E980C49">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案室（馆）加盖印章。无法查询或者查询无结果的，国土资源、房地产管理部门应当书面告知人民法院。</w:t>
            </w:r>
          </w:p>
          <w:p w14:paraId="2B78D5BC">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3.《中华人民共和国民事诉讼法》</w:t>
            </w:r>
          </w:p>
          <w:p w14:paraId="3CC14D33">
            <w:p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百四十二条被执行人未按执行通知履行法律文书确定的义务，人民法院有权向有关单位查询被执行人的存款、债券、股票、基金份额等财产情况。人民法院有权根据不同情形扣押、冻结、划拨、变价被执行人的财产。</w:t>
            </w:r>
          </w:p>
          <w:p w14:paraId="3F997D16">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人民法院决定扣押、冻结、划拨、变价财产，应当作出裁定，并发出协助执行通知书，有关单位必须办理。</w:t>
            </w:r>
          </w:p>
        </w:tc>
      </w:tr>
    </w:tbl>
    <w:p w14:paraId="7A1C4204">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3"/>
        <w:gridCol w:w="5"/>
        <w:gridCol w:w="1069"/>
        <w:gridCol w:w="9"/>
        <w:gridCol w:w="806"/>
        <w:gridCol w:w="1035"/>
        <w:gridCol w:w="2074"/>
        <w:gridCol w:w="1127"/>
        <w:gridCol w:w="1130"/>
        <w:gridCol w:w="3055"/>
        <w:gridCol w:w="8"/>
        <w:gridCol w:w="1537"/>
        <w:gridCol w:w="1131"/>
        <w:gridCol w:w="2162"/>
        <w:gridCol w:w="1156"/>
        <w:gridCol w:w="955"/>
        <w:gridCol w:w="3070"/>
      </w:tblGrid>
      <w:tr w14:paraId="7369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2291FAB7">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2</w:t>
            </w:r>
          </w:p>
        </w:tc>
        <w:tc>
          <w:tcPr>
            <w:tcW w:w="1078" w:type="dxa"/>
            <w:gridSpan w:val="2"/>
            <w:shd w:val="clear" w:color="auto" w:fill="auto"/>
            <w:vAlign w:val="center"/>
          </w:tcPr>
          <w:p w14:paraId="346CD06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shd w:val="clear" w:color="auto" w:fill="auto"/>
            <w:vAlign w:val="center"/>
          </w:tcPr>
          <w:p w14:paraId="27E8E5F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06" w:type="dxa"/>
            <w:shd w:val="clear" w:color="auto" w:fill="auto"/>
            <w:vAlign w:val="center"/>
          </w:tcPr>
          <w:p w14:paraId="39C4EA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5" w:type="dxa"/>
            <w:shd w:val="clear" w:color="auto" w:fill="auto"/>
            <w:vAlign w:val="center"/>
          </w:tcPr>
          <w:p w14:paraId="5FCE899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74" w:type="dxa"/>
            <w:shd w:val="clear" w:color="auto" w:fill="auto"/>
            <w:vAlign w:val="center"/>
          </w:tcPr>
          <w:p w14:paraId="4FD77CF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限制失信被执行人申报使用国有林地项目</w:t>
            </w:r>
          </w:p>
        </w:tc>
        <w:tc>
          <w:tcPr>
            <w:tcW w:w="1127" w:type="dxa"/>
            <w:shd w:val="clear" w:color="auto" w:fill="auto"/>
            <w:vAlign w:val="center"/>
          </w:tcPr>
          <w:p w14:paraId="63A1C5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shd w:val="clear" w:color="auto" w:fill="auto"/>
            <w:vAlign w:val="center"/>
          </w:tcPr>
          <w:p w14:paraId="67DB3C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63" w:type="dxa"/>
            <w:gridSpan w:val="2"/>
            <w:vMerge w:val="restart"/>
            <w:shd w:val="clear" w:color="auto" w:fill="auto"/>
            <w:vAlign w:val="center"/>
          </w:tcPr>
          <w:p w14:paraId="44FFBC3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详见下方</w:t>
            </w:r>
          </w:p>
        </w:tc>
        <w:tc>
          <w:tcPr>
            <w:tcW w:w="1537" w:type="dxa"/>
            <w:vMerge w:val="restart"/>
            <w:shd w:val="clear" w:color="auto" w:fill="auto"/>
            <w:vAlign w:val="center"/>
          </w:tcPr>
          <w:p w14:paraId="5DEDE82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1" w:type="dxa"/>
            <w:shd w:val="clear" w:color="auto" w:fill="auto"/>
            <w:vAlign w:val="center"/>
          </w:tcPr>
          <w:p w14:paraId="0E02864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62" w:type="dxa"/>
            <w:shd w:val="clear" w:color="auto" w:fill="auto"/>
            <w:vAlign w:val="center"/>
          </w:tcPr>
          <w:p w14:paraId="283EAF9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勘查、开采矿藏和各项建设工程占用或者征收、征用林地审核</w:t>
            </w:r>
          </w:p>
        </w:tc>
        <w:tc>
          <w:tcPr>
            <w:tcW w:w="1156" w:type="dxa"/>
            <w:shd w:val="clear" w:color="auto" w:fill="auto"/>
            <w:vAlign w:val="center"/>
          </w:tcPr>
          <w:p w14:paraId="43780A6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6CB8950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0" w:type="dxa"/>
            <w:shd w:val="clear" w:color="auto" w:fill="auto"/>
            <w:vAlign w:val="center"/>
          </w:tcPr>
          <w:p w14:paraId="397BBDE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1.《中华人民共和国森林法实施条例》（国务院令第278号）第十六条；</w:t>
            </w:r>
          </w:p>
          <w:p w14:paraId="3B374727">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2.《中华人民共和国森林法》第十八条。</w:t>
            </w:r>
          </w:p>
        </w:tc>
      </w:tr>
      <w:tr w14:paraId="77AE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69D1FCCF">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13</w:t>
            </w:r>
          </w:p>
        </w:tc>
        <w:tc>
          <w:tcPr>
            <w:tcW w:w="1078" w:type="dxa"/>
            <w:gridSpan w:val="2"/>
            <w:vAlign w:val="center"/>
          </w:tcPr>
          <w:p w14:paraId="525779E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2C6C5E6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06" w:type="dxa"/>
            <w:shd w:val="clear" w:color="auto" w:fill="auto"/>
            <w:vAlign w:val="center"/>
          </w:tcPr>
          <w:p w14:paraId="134C411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5" w:type="dxa"/>
            <w:shd w:val="clear" w:color="auto" w:fill="auto"/>
            <w:vAlign w:val="center"/>
          </w:tcPr>
          <w:p w14:paraId="6D65B25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74" w:type="dxa"/>
            <w:vAlign w:val="center"/>
          </w:tcPr>
          <w:p w14:paraId="258F442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限制失信被执行人申报使用国有林地项目</w:t>
            </w:r>
          </w:p>
        </w:tc>
        <w:tc>
          <w:tcPr>
            <w:tcW w:w="1127" w:type="dxa"/>
            <w:vAlign w:val="center"/>
          </w:tcPr>
          <w:p w14:paraId="10F25B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vAlign w:val="center"/>
          </w:tcPr>
          <w:p w14:paraId="1A0F8CF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63" w:type="dxa"/>
            <w:gridSpan w:val="2"/>
            <w:vMerge w:val="continue"/>
            <w:shd w:val="clear" w:color="auto" w:fill="auto"/>
            <w:vAlign w:val="center"/>
          </w:tcPr>
          <w:p w14:paraId="3133A95F">
            <w:pPr>
              <w:widowControl/>
              <w:spacing w:line="240" w:lineRule="auto"/>
              <w:ind w:firstLine="0" w:firstLineChars="0"/>
              <w:jc w:val="center"/>
              <w:rPr>
                <w:rFonts w:ascii="微软雅黑" w:hAnsi="微软雅黑" w:eastAsia="微软雅黑" w:cs="宋体"/>
                <w:kern w:val="0"/>
                <w:sz w:val="20"/>
                <w:szCs w:val="20"/>
              </w:rPr>
            </w:pPr>
          </w:p>
        </w:tc>
        <w:tc>
          <w:tcPr>
            <w:tcW w:w="1537" w:type="dxa"/>
            <w:vMerge w:val="continue"/>
            <w:shd w:val="clear" w:color="auto" w:fill="auto"/>
            <w:vAlign w:val="center"/>
          </w:tcPr>
          <w:p w14:paraId="576F0BA4">
            <w:pPr>
              <w:widowControl/>
              <w:spacing w:line="240" w:lineRule="auto"/>
              <w:ind w:firstLine="0" w:firstLineChars="0"/>
              <w:rPr>
                <w:rFonts w:ascii="微软雅黑" w:hAnsi="微软雅黑" w:eastAsia="微软雅黑" w:cs="宋体"/>
                <w:kern w:val="0"/>
                <w:sz w:val="20"/>
                <w:szCs w:val="20"/>
              </w:rPr>
            </w:pPr>
          </w:p>
        </w:tc>
        <w:tc>
          <w:tcPr>
            <w:tcW w:w="1131" w:type="dxa"/>
            <w:shd w:val="clear" w:color="auto" w:fill="auto"/>
            <w:vAlign w:val="center"/>
          </w:tcPr>
          <w:p w14:paraId="4AE3309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62" w:type="dxa"/>
            <w:shd w:val="clear" w:color="auto" w:fill="auto"/>
            <w:vAlign w:val="center"/>
          </w:tcPr>
          <w:p w14:paraId="7A7B991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森林经营单位修筑直接为林业生产服务的工程设施占用林地审批</w:t>
            </w:r>
          </w:p>
        </w:tc>
        <w:tc>
          <w:tcPr>
            <w:tcW w:w="1156" w:type="dxa"/>
            <w:shd w:val="clear" w:color="auto" w:fill="auto"/>
            <w:vAlign w:val="center"/>
          </w:tcPr>
          <w:p w14:paraId="2539B86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vAlign w:val="center"/>
          </w:tcPr>
          <w:p w14:paraId="67DBEB3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0" w:type="dxa"/>
            <w:vAlign w:val="center"/>
          </w:tcPr>
          <w:p w14:paraId="52EE729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《中华人民共和国森林法实施条例》（国务院令第278号）第十八条。</w:t>
            </w:r>
          </w:p>
        </w:tc>
      </w:tr>
      <w:tr w14:paraId="37AB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00" w:type="dxa"/>
            <w:shd w:val="clear" w:color="auto" w:fill="auto"/>
            <w:vAlign w:val="center"/>
          </w:tcPr>
          <w:p w14:paraId="2E4AFBF8">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14</w:t>
            </w:r>
          </w:p>
        </w:tc>
        <w:tc>
          <w:tcPr>
            <w:tcW w:w="1078" w:type="dxa"/>
            <w:gridSpan w:val="2"/>
            <w:vAlign w:val="center"/>
          </w:tcPr>
          <w:p w14:paraId="1B2EE3C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2C31949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06" w:type="dxa"/>
            <w:shd w:val="clear" w:color="auto" w:fill="auto"/>
            <w:vAlign w:val="center"/>
          </w:tcPr>
          <w:p w14:paraId="0ED90A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5" w:type="dxa"/>
            <w:shd w:val="clear" w:color="auto" w:fill="auto"/>
            <w:vAlign w:val="center"/>
          </w:tcPr>
          <w:p w14:paraId="7A6A0BA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74" w:type="dxa"/>
            <w:vAlign w:val="center"/>
          </w:tcPr>
          <w:p w14:paraId="6D1E9DB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限制失信被执行人申报使用国有林地项目</w:t>
            </w:r>
          </w:p>
        </w:tc>
        <w:tc>
          <w:tcPr>
            <w:tcW w:w="1127" w:type="dxa"/>
            <w:vAlign w:val="center"/>
          </w:tcPr>
          <w:p w14:paraId="13E6D18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vAlign w:val="center"/>
          </w:tcPr>
          <w:p w14:paraId="6795FC1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63" w:type="dxa"/>
            <w:gridSpan w:val="2"/>
            <w:vMerge w:val="continue"/>
            <w:shd w:val="clear" w:color="auto" w:fill="auto"/>
            <w:vAlign w:val="center"/>
          </w:tcPr>
          <w:p w14:paraId="3F67A9D5">
            <w:pPr>
              <w:widowControl/>
              <w:spacing w:line="240" w:lineRule="auto"/>
              <w:ind w:firstLine="0" w:firstLineChars="0"/>
              <w:jc w:val="center"/>
              <w:rPr>
                <w:rFonts w:ascii="微软雅黑" w:hAnsi="微软雅黑" w:eastAsia="微软雅黑" w:cs="宋体"/>
                <w:kern w:val="0"/>
                <w:sz w:val="20"/>
                <w:szCs w:val="20"/>
              </w:rPr>
            </w:pPr>
          </w:p>
        </w:tc>
        <w:tc>
          <w:tcPr>
            <w:tcW w:w="1537" w:type="dxa"/>
            <w:vMerge w:val="continue"/>
            <w:shd w:val="clear" w:color="auto" w:fill="auto"/>
            <w:vAlign w:val="center"/>
          </w:tcPr>
          <w:p w14:paraId="61AAE44B">
            <w:pPr>
              <w:widowControl/>
              <w:spacing w:line="240" w:lineRule="auto"/>
              <w:ind w:firstLine="0" w:firstLineChars="0"/>
              <w:rPr>
                <w:rFonts w:ascii="微软雅黑" w:hAnsi="微软雅黑" w:eastAsia="微软雅黑" w:cs="宋体"/>
                <w:kern w:val="0"/>
                <w:sz w:val="20"/>
                <w:szCs w:val="20"/>
              </w:rPr>
            </w:pPr>
          </w:p>
        </w:tc>
        <w:tc>
          <w:tcPr>
            <w:tcW w:w="1131" w:type="dxa"/>
            <w:shd w:val="clear" w:color="auto" w:fill="auto"/>
            <w:vAlign w:val="center"/>
          </w:tcPr>
          <w:p w14:paraId="4871123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62" w:type="dxa"/>
            <w:shd w:val="clear" w:color="auto" w:fill="auto"/>
            <w:vAlign w:val="center"/>
          </w:tcPr>
          <w:p w14:paraId="3A61CE9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临时占用林地审批</w:t>
            </w:r>
          </w:p>
        </w:tc>
        <w:tc>
          <w:tcPr>
            <w:tcW w:w="1156" w:type="dxa"/>
            <w:shd w:val="clear" w:color="auto" w:fill="auto"/>
            <w:vAlign w:val="center"/>
          </w:tcPr>
          <w:p w14:paraId="7C7D900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vAlign w:val="center"/>
          </w:tcPr>
          <w:p w14:paraId="356AE3E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0" w:type="dxa"/>
            <w:vAlign w:val="center"/>
          </w:tcPr>
          <w:p w14:paraId="623015F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《中华人民共和国森林法实施条例》（国务院令第278号）第十七条。</w:t>
            </w:r>
          </w:p>
        </w:tc>
      </w:tr>
      <w:tr w14:paraId="0350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700" w:type="dxa"/>
            <w:shd w:val="clear" w:color="auto" w:fill="auto"/>
            <w:vAlign w:val="center"/>
          </w:tcPr>
          <w:p w14:paraId="0E2F4373">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15</w:t>
            </w:r>
          </w:p>
        </w:tc>
        <w:tc>
          <w:tcPr>
            <w:tcW w:w="1078" w:type="dxa"/>
            <w:gridSpan w:val="2"/>
            <w:vAlign w:val="center"/>
          </w:tcPr>
          <w:p w14:paraId="6050AD9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7BF7B0D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06" w:type="dxa"/>
            <w:shd w:val="clear" w:color="auto" w:fill="auto"/>
            <w:vAlign w:val="center"/>
          </w:tcPr>
          <w:p w14:paraId="15E892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5" w:type="dxa"/>
            <w:shd w:val="clear" w:color="auto" w:fill="auto"/>
            <w:vAlign w:val="center"/>
          </w:tcPr>
          <w:p w14:paraId="33398D7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74" w:type="dxa"/>
            <w:vAlign w:val="center"/>
          </w:tcPr>
          <w:p w14:paraId="0FFF86E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限制失信被执行人申报国有草原占地项目</w:t>
            </w:r>
          </w:p>
        </w:tc>
        <w:tc>
          <w:tcPr>
            <w:tcW w:w="1127" w:type="dxa"/>
            <w:vAlign w:val="center"/>
          </w:tcPr>
          <w:p w14:paraId="1A4CFC0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vAlign w:val="center"/>
          </w:tcPr>
          <w:p w14:paraId="3575E99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63" w:type="dxa"/>
            <w:gridSpan w:val="2"/>
            <w:vMerge w:val="continue"/>
            <w:shd w:val="clear" w:color="auto" w:fill="auto"/>
            <w:vAlign w:val="center"/>
          </w:tcPr>
          <w:p w14:paraId="014DC1D5">
            <w:pPr>
              <w:widowControl/>
              <w:spacing w:line="240" w:lineRule="auto"/>
              <w:ind w:firstLine="0" w:firstLineChars="0"/>
              <w:jc w:val="center"/>
              <w:rPr>
                <w:rFonts w:ascii="微软雅黑" w:hAnsi="微软雅黑" w:eastAsia="微软雅黑" w:cs="宋体"/>
                <w:kern w:val="0"/>
                <w:sz w:val="20"/>
                <w:szCs w:val="20"/>
              </w:rPr>
            </w:pPr>
          </w:p>
        </w:tc>
        <w:tc>
          <w:tcPr>
            <w:tcW w:w="1537" w:type="dxa"/>
            <w:vMerge w:val="continue"/>
            <w:shd w:val="clear" w:color="auto" w:fill="auto"/>
            <w:vAlign w:val="center"/>
          </w:tcPr>
          <w:p w14:paraId="6ACCF6E0">
            <w:pPr>
              <w:widowControl/>
              <w:spacing w:line="240" w:lineRule="auto"/>
              <w:ind w:firstLine="0" w:firstLineChars="0"/>
              <w:rPr>
                <w:rFonts w:ascii="微软雅黑" w:hAnsi="微软雅黑" w:eastAsia="微软雅黑" w:cs="宋体"/>
                <w:kern w:val="0"/>
                <w:sz w:val="20"/>
                <w:szCs w:val="20"/>
              </w:rPr>
            </w:pPr>
          </w:p>
        </w:tc>
        <w:tc>
          <w:tcPr>
            <w:tcW w:w="1131" w:type="dxa"/>
            <w:shd w:val="clear" w:color="auto" w:fill="auto"/>
            <w:vAlign w:val="center"/>
          </w:tcPr>
          <w:p w14:paraId="38B4CB2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62" w:type="dxa"/>
            <w:shd w:val="clear" w:color="auto" w:fill="auto"/>
            <w:vAlign w:val="center"/>
          </w:tcPr>
          <w:p w14:paraId="02A8698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临时占用草原、在草原上修建直接为草原保护和畜牧业生产服务的工程设施审批</w:t>
            </w:r>
          </w:p>
        </w:tc>
        <w:tc>
          <w:tcPr>
            <w:tcW w:w="1156" w:type="dxa"/>
            <w:shd w:val="clear" w:color="auto" w:fill="auto"/>
            <w:vAlign w:val="center"/>
          </w:tcPr>
          <w:p w14:paraId="1E30920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vAlign w:val="center"/>
          </w:tcPr>
          <w:p w14:paraId="6869511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0" w:type="dxa"/>
            <w:vAlign w:val="center"/>
          </w:tcPr>
          <w:p w14:paraId="009006C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1.《中华人民共和国草原法》第四十一条；</w:t>
            </w:r>
          </w:p>
          <w:p w14:paraId="572F446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2.《草原征占用审核审批管理办法》（农业部令2014年第3号）第八条。</w:t>
            </w:r>
          </w:p>
        </w:tc>
      </w:tr>
      <w:tr w14:paraId="6EBF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700" w:type="dxa"/>
            <w:shd w:val="clear" w:color="auto" w:fill="auto"/>
            <w:vAlign w:val="center"/>
          </w:tcPr>
          <w:p w14:paraId="1463E67F">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val="en-US" w:eastAsia="zh-CN"/>
              </w:rPr>
              <w:t>6</w:t>
            </w:r>
          </w:p>
        </w:tc>
        <w:tc>
          <w:tcPr>
            <w:tcW w:w="1078" w:type="dxa"/>
            <w:gridSpan w:val="2"/>
            <w:shd w:val="clear" w:color="auto" w:fill="auto"/>
            <w:vAlign w:val="center"/>
          </w:tcPr>
          <w:p w14:paraId="127EC2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w:t>
            </w:r>
          </w:p>
        </w:tc>
        <w:tc>
          <w:tcPr>
            <w:tcW w:w="1078" w:type="dxa"/>
            <w:gridSpan w:val="2"/>
            <w:shd w:val="clear" w:color="auto" w:fill="auto"/>
            <w:vAlign w:val="center"/>
          </w:tcPr>
          <w:p w14:paraId="1ECE80B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06" w:type="dxa"/>
            <w:shd w:val="clear" w:color="auto" w:fill="auto"/>
            <w:vAlign w:val="center"/>
          </w:tcPr>
          <w:p w14:paraId="2D70B1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5" w:type="dxa"/>
            <w:shd w:val="clear" w:color="auto" w:fill="auto"/>
            <w:vAlign w:val="center"/>
          </w:tcPr>
          <w:p w14:paraId="31D829E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自然资源</w:t>
            </w:r>
            <w:r>
              <w:rPr>
                <w:rFonts w:hint="eastAsia" w:ascii="微软雅黑" w:hAnsi="微软雅黑" w:eastAsia="微软雅黑" w:cs="宋体"/>
                <w:kern w:val="0"/>
                <w:sz w:val="20"/>
                <w:szCs w:val="20"/>
                <w:lang w:eastAsia="zh-CN"/>
              </w:rPr>
              <w:t>和规划局</w:t>
            </w:r>
          </w:p>
        </w:tc>
        <w:tc>
          <w:tcPr>
            <w:tcW w:w="2074" w:type="dxa"/>
            <w:vAlign w:val="center"/>
          </w:tcPr>
          <w:p w14:paraId="6A58E160">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限制其申报自然保护区建设项目</w:t>
            </w:r>
          </w:p>
        </w:tc>
        <w:tc>
          <w:tcPr>
            <w:tcW w:w="1127" w:type="dxa"/>
            <w:vAlign w:val="center"/>
          </w:tcPr>
          <w:p w14:paraId="0AF66D0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vAlign w:val="center"/>
          </w:tcPr>
          <w:p w14:paraId="0C3D097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63" w:type="dxa"/>
            <w:gridSpan w:val="2"/>
            <w:vMerge w:val="continue"/>
            <w:shd w:val="clear" w:color="auto" w:fill="auto"/>
            <w:vAlign w:val="center"/>
          </w:tcPr>
          <w:p w14:paraId="3C73266A">
            <w:pPr>
              <w:widowControl/>
              <w:spacing w:line="240" w:lineRule="auto"/>
              <w:ind w:firstLine="0" w:firstLineChars="0"/>
              <w:jc w:val="center"/>
              <w:rPr>
                <w:rFonts w:ascii="微软雅黑" w:hAnsi="微软雅黑" w:eastAsia="微软雅黑" w:cs="宋体"/>
                <w:kern w:val="0"/>
                <w:sz w:val="20"/>
                <w:szCs w:val="20"/>
              </w:rPr>
            </w:pPr>
          </w:p>
        </w:tc>
        <w:tc>
          <w:tcPr>
            <w:tcW w:w="1537" w:type="dxa"/>
            <w:vMerge w:val="continue"/>
            <w:shd w:val="clear" w:color="auto" w:fill="auto"/>
            <w:vAlign w:val="center"/>
          </w:tcPr>
          <w:p w14:paraId="5E49E3A5">
            <w:pPr>
              <w:widowControl/>
              <w:spacing w:line="240" w:lineRule="auto"/>
              <w:ind w:firstLine="0" w:firstLineChars="0"/>
              <w:jc w:val="center"/>
              <w:rPr>
                <w:rFonts w:ascii="微软雅黑" w:hAnsi="微软雅黑" w:eastAsia="微软雅黑" w:cs="宋体"/>
                <w:kern w:val="0"/>
                <w:sz w:val="20"/>
                <w:szCs w:val="20"/>
              </w:rPr>
            </w:pPr>
          </w:p>
        </w:tc>
        <w:tc>
          <w:tcPr>
            <w:tcW w:w="1131" w:type="dxa"/>
            <w:shd w:val="clear" w:color="auto" w:fill="auto"/>
            <w:vAlign w:val="center"/>
          </w:tcPr>
          <w:p w14:paraId="0C473FA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62" w:type="dxa"/>
            <w:shd w:val="clear" w:color="auto" w:fill="auto"/>
            <w:vAlign w:val="center"/>
          </w:tcPr>
          <w:p w14:paraId="2C6CB48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地方级自然保护区的设立、调整审核</w:t>
            </w:r>
          </w:p>
        </w:tc>
        <w:tc>
          <w:tcPr>
            <w:tcW w:w="1156" w:type="dxa"/>
            <w:shd w:val="clear" w:color="auto" w:fill="auto"/>
            <w:vAlign w:val="center"/>
          </w:tcPr>
          <w:p w14:paraId="2E300F8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vAlign w:val="center"/>
          </w:tcPr>
          <w:p w14:paraId="505A9BA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0" w:type="dxa"/>
            <w:vAlign w:val="center"/>
          </w:tcPr>
          <w:p w14:paraId="52B6D93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1.《中华人民共和国自然保护区条例》（国务院令第167号）第十二条；</w:t>
            </w:r>
          </w:p>
          <w:p w14:paraId="419203D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2《中华人民共和国自然保护区条例》（国务院令第167号）第十五条。</w:t>
            </w:r>
          </w:p>
        </w:tc>
      </w:tr>
      <w:tr w14:paraId="10F9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22102" w:type="dxa"/>
            <w:gridSpan w:val="18"/>
            <w:shd w:val="clear" w:color="auto" w:fill="auto"/>
            <w:vAlign w:val="center"/>
          </w:tcPr>
          <w:p w14:paraId="1D312F5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6E65996B">
            <w:pPr>
              <w:widowControl/>
              <w:numPr>
                <w:ilvl w:val="0"/>
                <w:numId w:val="3"/>
              </w:numPr>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《建设项目使用林地审核审批管理办法》（国家林业局令第35号）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第十四条 符合本办法第三条、第四条规定的条件，并且符合国家供地政策，对生态环境不会造成重大影响，有审核审批权的人民政府林业主管部门应当作出准予使用林地的行政许可决定，按照国家规定的标准预收森林植被恢复费后，向用地单位或者个人核发准予行政许可决定书。不符合上述条件的，有关人民政府林业主管部门应当作出不予使用林地的行政许可决定，向用地单位或者个人核发不予行政许可决定书，告知不予许可的理由。</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有审核审批权的人民政府林业主管部门对用地单位和个人提出的使用林地申请，应当在《中华人民共和国行政许可法》规定的期限内作出行政许可决定。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2.《中华人民共和国行政许可法》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第十二条 下列事项可以设定行政许可：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（一）直接涉及国家安全、公共安全、经济宏观调控、生态环境保护以及直接关系人身健康、生命财产安全等特定活动，需要按照法定条件予以批准的事项；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（二）有限自然资源开发利用、公共资源配置以及直接关系公共利益的特定行业的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场准入等，需要赋予特定权利的事项；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（三）提供公众服务并且直接关系公共利益的职业、行业，需要确定具备特殊信誉、特殊条件或者特殊技能等资格、资质的事项；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（四）直接关系公共安全、人身健康、生命财产安全的重要设备、设施、产品、物品，需要按照技术标准、技术规范，通过检验、检测、检疫等方式进行审定的事项；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（五）企业或者其他组织的设立等，需要确定主体资格的事项；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（六）法律、行政法规规定可以设定行政许可的其他事项。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w:t>
            </w:r>
            <w:r>
              <w:rPr>
                <w:rFonts w:hint="eastAsia" w:ascii="微软雅黑" w:hAnsi="微软雅黑" w:eastAsia="微软雅黑" w:cs="宋体"/>
                <w:kern w:val="0"/>
                <w:sz w:val="20"/>
                <w:szCs w:val="20"/>
                <w:lang w:eastAsia="zh-CN"/>
              </w:rPr>
              <w:t>《中华人民共和国草原法》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第三十八条 进行矿藏开采和工程建设，应当不占或者少占草原；确需征用或者使用草原，必须经省级以上人民政府草原行政主管部门审核同意后，依照有关土地管理的法律、行政法规办理建设用地审批手续。</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4.《草原征占用审核审批管理办法》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第十五条 矿藏开采和工程建设等需要征用、适用草原的申请，经审查同意的，草原行政主管部门应当向申请人发放《草原征用使用审核同意书》，并按照《中华人民共和国草原法》的规定，预收草原植被恢复费；经审查不同意的，应当在《草原征占用申请表》中说明不同意的理由，并书面告知申请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申请人凭《草原征用使用审核同意书》依法向土地管理部门申请办理建设用地审批手续。建设用地申请未获批准的，草原行政主管部门应当将预收的草原植被恢复费全部退还申请人。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5.《中华人民共和国森林法》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第十八条 进行勘查、开采矿藏和各项建设工程，应当不占或者少占林地；必须占用或者征用林地的，经县级以上人民政府林业主管部门审核同意后，依照有关土地管理的法律、行政法规办理建设用地审批手续，并由用地单位依照国务院有关规定缴纳森林植被恢复费。森林植被恢复费专款专用，由林业主管部门依照有关规定统一安排植树造林，恢复森林植被，植树造林面积不得少于因占用、征用林地而减少的森林植被面积。上级林业主管部门应当定期督促、检查下级林业主管部门组织植树造林、恢复森林植被的情况。</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任何单位和个人不得挪用森林植被恢复费。县级以上人民政府审计机关应当加强对森林植被恢复费使用情况的监督。</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6.《中华人民共和国森林法实施条例》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第十六条 勘查、开采矿藏和修建道路、水利、电力、通讯等工程，需要占用或者征用林地的，必须遵守下列规定：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用地单位应当向县级以上人民政府林业主管部门提出用地申请，经审核同意后，按照国家规定的标准预交森林植被恢复费，领取使用林地审核同意书。用地单位凭使用林地审核同意书依法办理建设用地审批手续。占用或者征用林地未经林业主管部门审核同意的，土地行政主管部门不得受理建设用地申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占用或者征用防护林林地或者特种用途林林地面积１０公顷以上的，用材林、经济林、薪炭林林地及其采伐迹地面积３５公顷以上的，其他林地面积７０公顷以上的，由国务院林业主管部门审核；占用或者征用林地面积低于上述规定数量的，由省、自治区、直辖</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人民政府林业主管部门审核。占用或者征用重点林区的林地的，由国务院林业主管部门审核。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（三）用地单位需要采伐已经批准占用或者征用的林地上的林木时，应当向林地所在地的县级以上地方人民政府林业主管部门或者国务院林业主管部门申请林木采伐许可证。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（四）占用或者征用林地未被批准的，有关林业主管部门应当自接到不予批准通知之日起７日内将收取的森林植被恢复费如数退还。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7.《关于建立和完善执行联动机制若干问题的意见》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 发展和改革部门应当协助人民法院依法查询被执行人有关工程项目的立项情况及相关资料；对被执行人正在申请办理的投资项目审批、核准和备案手续，协调有关部门和地方，依法协助人民法院停止办理相关手续。</w:t>
            </w:r>
          </w:p>
          <w:p w14:paraId="14671832">
            <w:pPr>
              <w:widowControl/>
              <w:numPr>
                <w:ilvl w:val="0"/>
                <w:numId w:val="0"/>
              </w:numPr>
              <w:spacing w:line="240" w:lineRule="auto"/>
              <w:jc w:val="left"/>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8.《中华人民共和国自然保护区条例》</w:t>
            </w:r>
          </w:p>
          <w:p w14:paraId="1D8FB9E0">
            <w:pPr>
              <w:widowControl/>
              <w:numPr>
                <w:ilvl w:val="0"/>
                <w:numId w:val="0"/>
              </w:numPr>
              <w:spacing w:line="240" w:lineRule="auto"/>
              <w:jc w:val="left"/>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第十二条  国家级自然保护区的建立，由自然保护区所在省、自治区、直辖县人民政府或者国务院有关自然保护区行政主管部门提出申请，经国家自然保护区评审委员会评审后，由国务院环境保护行政主管部门进行协调并提出审批建议，报国务院批准。</w:t>
            </w:r>
          </w:p>
          <w:p w14:paraId="56763C2C">
            <w:pPr>
              <w:widowControl/>
              <w:numPr>
                <w:ilvl w:val="0"/>
                <w:numId w:val="0"/>
              </w:numPr>
              <w:spacing w:line="240" w:lineRule="auto"/>
              <w:jc w:val="left"/>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地方级自然保护区的建立，由自然保护区所在的县、自治县、县、自治州人民政府或者省、自治区、直辖县人民政府有关自然保护区行政主管部门提出申请，经地方级自然保护区评审委员会评审后，由省、自治区、直辖县人民政府环境保护行政主管部门进行协调并提出审批建议，报省、自治区、直辖县人民政府批准，并报国务院环境保护行政主管部门和国务院有关自然保护区行政部门备案。</w:t>
            </w:r>
          </w:p>
          <w:p w14:paraId="09FE28C6">
            <w:pPr>
              <w:widowControl/>
              <w:numPr>
                <w:ilvl w:val="0"/>
                <w:numId w:val="0"/>
              </w:numPr>
              <w:spacing w:line="240" w:lineRule="auto"/>
              <w:jc w:val="left"/>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跨两个以上行政区域的自然保护区的建立，由有关行政区域的人民政府协商一致后提出申请，并按照前两款规定和程序审批。</w:t>
            </w:r>
          </w:p>
          <w:p w14:paraId="1E2C34E7">
            <w:pPr>
              <w:widowControl/>
              <w:numPr>
                <w:ilvl w:val="0"/>
                <w:numId w:val="0"/>
              </w:numPr>
              <w:spacing w:line="240" w:lineRule="auto"/>
              <w:jc w:val="left"/>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建立海上自然保护区，须经国务院批准。</w:t>
            </w:r>
          </w:p>
          <w:p w14:paraId="06AF7909">
            <w:pPr>
              <w:widowControl/>
              <w:numPr>
                <w:ilvl w:val="0"/>
                <w:numId w:val="0"/>
              </w:numPr>
              <w:spacing w:line="240" w:lineRule="auto"/>
              <w:jc w:val="left"/>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第十五条  自然保护区的撤销及其性质、范围、界线的调整或者改变，应当经批准建立自然保护区的人民政府批准。</w:t>
            </w:r>
          </w:p>
          <w:p w14:paraId="46B93A36">
            <w:pPr>
              <w:widowControl/>
              <w:numPr>
                <w:ilvl w:val="0"/>
                <w:numId w:val="0"/>
              </w:numPr>
              <w:spacing w:line="240" w:lineRule="auto"/>
              <w:jc w:val="left"/>
              <w:rPr>
                <w:rFonts w:hint="eastAsia" w:ascii="微软雅黑" w:hAnsi="微软雅黑" w:eastAsia="微软雅黑" w:cs="宋体"/>
                <w:kern w:val="0"/>
                <w:sz w:val="20"/>
                <w:szCs w:val="20"/>
              </w:rPr>
            </w:pPr>
          </w:p>
        </w:tc>
      </w:tr>
      <w:tr w14:paraId="0FDF1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8"/>
            <w:tcBorders>
              <w:top w:val="nil"/>
              <w:left w:val="nil"/>
              <w:right w:val="nil"/>
            </w:tcBorders>
            <w:shd w:val="clear" w:color="auto" w:fill="auto"/>
            <w:vAlign w:val="center"/>
          </w:tcPr>
          <w:p w14:paraId="2FE8C75F">
            <w:pPr>
              <w:ind w:left="0" w:leftChars="0" w:firstLine="0" w:firstLineChars="0"/>
            </w:pPr>
          </w:p>
          <w:p w14:paraId="3E042B97">
            <w:pPr>
              <w:pStyle w:val="2"/>
              <w:rPr>
                <w:rFonts w:hint="eastAsia" w:eastAsia="华文中宋"/>
                <w:lang w:eastAsia="zh-CN"/>
              </w:rPr>
            </w:pPr>
            <w:r>
              <w:br w:type="page"/>
            </w:r>
            <w:bookmarkStart w:id="16" w:name="_Toc20473859"/>
            <w:r>
              <w:rPr>
                <w:rFonts w:hint="eastAsia"/>
                <w:lang w:val="en-US" w:eastAsia="zh-CN"/>
              </w:rPr>
              <w:t>17</w:t>
            </w:r>
            <w:r>
              <w:rPr>
                <w:rFonts w:hint="eastAsia"/>
              </w:rPr>
              <w:t>、</w:t>
            </w:r>
            <w:r>
              <w:rPr>
                <w:rFonts w:hint="eastAsia"/>
                <w:lang w:eastAsia="zh-CN"/>
              </w:rPr>
              <w:t>县</w:t>
            </w:r>
            <w:r>
              <w:rPr>
                <w:rFonts w:hint="eastAsia"/>
              </w:rPr>
              <w:t>住房和城乡建设</w:t>
            </w:r>
            <w:bookmarkEnd w:id="16"/>
            <w:r>
              <w:rPr>
                <w:rFonts w:hint="eastAsia"/>
                <w:lang w:eastAsia="zh-CN"/>
              </w:rPr>
              <w:t>局</w:t>
            </w:r>
          </w:p>
        </w:tc>
      </w:tr>
      <w:tr w14:paraId="48DB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286BDCC3">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28" w:type="dxa"/>
            <w:gridSpan w:val="12"/>
            <w:shd w:val="clear" w:color="000000" w:fill="D6DCE4"/>
            <w:vAlign w:val="center"/>
          </w:tcPr>
          <w:p w14:paraId="284F126E">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联合奖惩措施</w:t>
            </w:r>
          </w:p>
        </w:tc>
        <w:tc>
          <w:tcPr>
            <w:tcW w:w="8474" w:type="dxa"/>
            <w:gridSpan w:val="5"/>
            <w:shd w:val="clear" w:color="000000" w:fill="D6DCE4"/>
            <w:vAlign w:val="center"/>
          </w:tcPr>
          <w:p w14:paraId="49B55120">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可应用于惩戒措施的服务事项</w:t>
            </w:r>
          </w:p>
        </w:tc>
      </w:tr>
      <w:tr w14:paraId="625C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8B54BFE">
            <w:pPr>
              <w:widowControl/>
              <w:spacing w:line="240" w:lineRule="auto"/>
              <w:ind w:firstLine="0" w:firstLineChars="0"/>
              <w:jc w:val="center"/>
              <w:rPr>
                <w:rFonts w:ascii="微软雅黑" w:hAnsi="微软雅黑" w:eastAsia="微软雅黑" w:cs="宋体"/>
                <w:b/>
                <w:bCs/>
                <w:kern w:val="0"/>
                <w:sz w:val="20"/>
                <w:szCs w:val="20"/>
              </w:rPr>
            </w:pPr>
          </w:p>
        </w:tc>
        <w:tc>
          <w:tcPr>
            <w:tcW w:w="1073" w:type="dxa"/>
            <w:shd w:val="clear" w:color="000000" w:fill="D6DCE4"/>
            <w:vAlign w:val="center"/>
          </w:tcPr>
          <w:p w14:paraId="6A3EB1F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74" w:type="dxa"/>
            <w:gridSpan w:val="2"/>
            <w:shd w:val="clear" w:color="000000" w:fill="D6DCE4"/>
            <w:vAlign w:val="center"/>
          </w:tcPr>
          <w:p w14:paraId="5C08D56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15" w:type="dxa"/>
            <w:gridSpan w:val="2"/>
            <w:shd w:val="clear" w:color="000000" w:fill="D6DCE4"/>
            <w:vAlign w:val="center"/>
          </w:tcPr>
          <w:p w14:paraId="51D50DE7">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5" w:type="dxa"/>
            <w:shd w:val="clear" w:color="000000" w:fill="D6DCE4"/>
            <w:vAlign w:val="center"/>
          </w:tcPr>
          <w:p w14:paraId="2C82B853">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74" w:type="dxa"/>
            <w:shd w:val="clear" w:color="000000" w:fill="D6DCE4"/>
            <w:vAlign w:val="center"/>
          </w:tcPr>
          <w:p w14:paraId="7512A1A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27" w:type="dxa"/>
            <w:shd w:val="clear" w:color="000000" w:fill="D6DCE4"/>
            <w:vAlign w:val="center"/>
          </w:tcPr>
          <w:p w14:paraId="2AD6F798">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30" w:type="dxa"/>
            <w:shd w:val="clear" w:color="000000" w:fill="D6DCE4"/>
            <w:vAlign w:val="center"/>
          </w:tcPr>
          <w:p w14:paraId="2FC2A30C">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055" w:type="dxa"/>
            <w:shd w:val="clear" w:color="000000" w:fill="D6DCE4"/>
            <w:vAlign w:val="center"/>
          </w:tcPr>
          <w:p w14:paraId="349CBAE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tc>
        <w:tc>
          <w:tcPr>
            <w:tcW w:w="1545" w:type="dxa"/>
            <w:gridSpan w:val="2"/>
            <w:shd w:val="clear" w:color="000000" w:fill="D6DCE4"/>
            <w:vAlign w:val="center"/>
          </w:tcPr>
          <w:p w14:paraId="6DF6DDA8">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依据备忘录</w:t>
            </w:r>
          </w:p>
        </w:tc>
        <w:tc>
          <w:tcPr>
            <w:tcW w:w="1131" w:type="dxa"/>
            <w:shd w:val="clear" w:color="000000" w:fill="D6DCE4"/>
            <w:vAlign w:val="center"/>
          </w:tcPr>
          <w:p w14:paraId="0FE442A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2162" w:type="dxa"/>
            <w:shd w:val="clear" w:color="000000" w:fill="D6DCE4"/>
            <w:vAlign w:val="center"/>
          </w:tcPr>
          <w:p w14:paraId="48E6935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156" w:type="dxa"/>
            <w:shd w:val="clear" w:color="000000" w:fill="D6DCE4"/>
            <w:vAlign w:val="center"/>
          </w:tcPr>
          <w:p w14:paraId="5374D9E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955" w:type="dxa"/>
            <w:shd w:val="clear" w:color="000000" w:fill="D6DCE4"/>
            <w:vAlign w:val="center"/>
          </w:tcPr>
          <w:p w14:paraId="582D5315">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是否进驻大厅</w:t>
            </w:r>
          </w:p>
        </w:tc>
        <w:tc>
          <w:tcPr>
            <w:tcW w:w="3070" w:type="dxa"/>
            <w:shd w:val="clear" w:color="000000" w:fill="D6DCE4"/>
            <w:vAlign w:val="center"/>
          </w:tcPr>
          <w:p w14:paraId="0D180924">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应用事项法律及政策依据</w:t>
            </w:r>
          </w:p>
        </w:tc>
      </w:tr>
      <w:tr w14:paraId="6056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422012C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gridSpan w:val="2"/>
            <w:vAlign w:val="center"/>
          </w:tcPr>
          <w:p w14:paraId="5A7F8D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306971C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shd w:val="clear" w:color="auto" w:fill="auto"/>
            <w:vAlign w:val="center"/>
          </w:tcPr>
          <w:p w14:paraId="0687C60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vAlign w:val="center"/>
          </w:tcPr>
          <w:p w14:paraId="7B186EA1">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shd w:val="clear" w:color="auto" w:fill="auto"/>
            <w:vAlign w:val="center"/>
          </w:tcPr>
          <w:p w14:paraId="34CD884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限制失信被执行人的投标活动：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依法必须进行招标的工程建设项目，招标人应当在资格预审公告、招标公告、投标邀请书及资格预审文件、招标文件中明确规定对失信被执行人的处理方法，在评标阶段，招标人或者招标代理机构、评标专家委员会应当查询投标人是否为失信被执行人，对属于失信被执行人的招标活动依法予以限制；</w:t>
            </w:r>
            <w:r>
              <w:rPr>
                <w:rFonts w:hint="eastAsia" w:ascii="微软雅黑" w:hAnsi="微软雅黑" w:eastAsia="微软雅黑" w:cs="宋体"/>
                <w:kern w:val="0"/>
                <w:sz w:val="20"/>
                <w:szCs w:val="20"/>
              </w:rPr>
              <w:t>2、两个以上的自然人、法人或者其他组织组成一个联合体，以一个投标人的身份共同参加投标活动的，应当对所有联合体成员进行失信被执行人信息查询。联合体中有一个或一个以上成员属于失信被执行人的，联合体视为失信被执行人</w:t>
            </w:r>
          </w:p>
        </w:tc>
        <w:tc>
          <w:tcPr>
            <w:tcW w:w="1127" w:type="dxa"/>
            <w:shd w:val="clear" w:color="auto" w:fill="auto"/>
            <w:vAlign w:val="center"/>
          </w:tcPr>
          <w:p w14:paraId="3CC78FA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shd w:val="clear" w:color="auto" w:fill="auto"/>
            <w:vAlign w:val="center"/>
          </w:tcPr>
          <w:p w14:paraId="1597A7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3" w:type="dxa"/>
            <w:gridSpan w:val="2"/>
            <w:shd w:val="clear" w:color="auto" w:fill="auto"/>
            <w:vAlign w:val="center"/>
          </w:tcPr>
          <w:p w14:paraId="434CC48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3B7BDAC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59813E4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2A677B9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37" w:type="dxa"/>
            <w:shd w:val="clear" w:color="auto" w:fill="auto"/>
            <w:vAlign w:val="center"/>
          </w:tcPr>
          <w:p w14:paraId="0EBBF2F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shd w:val="clear" w:color="auto" w:fill="auto"/>
            <w:vAlign w:val="center"/>
          </w:tcPr>
          <w:p w14:paraId="6C0BF30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62" w:type="dxa"/>
            <w:shd w:val="clear" w:color="auto" w:fill="auto"/>
            <w:vAlign w:val="center"/>
          </w:tcPr>
          <w:p w14:paraId="48E4BAF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bidi="ar-SA"/>
              </w:rPr>
              <w:t>建设工程项目招标活动监督</w:t>
            </w:r>
          </w:p>
        </w:tc>
        <w:tc>
          <w:tcPr>
            <w:tcW w:w="1156" w:type="dxa"/>
            <w:shd w:val="clear" w:color="auto" w:fill="auto"/>
            <w:vAlign w:val="center"/>
          </w:tcPr>
          <w:p w14:paraId="2C4B14D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54D0CBF0">
            <w:pPr>
              <w:widowControl/>
              <w:spacing w:line="240" w:lineRule="auto"/>
              <w:ind w:firstLine="0" w:firstLineChars="0"/>
              <w:rPr>
                <w:rFonts w:ascii="微软雅黑" w:hAnsi="微软雅黑" w:eastAsia="微软雅黑" w:cs="宋体"/>
                <w:kern w:val="0"/>
                <w:sz w:val="20"/>
                <w:szCs w:val="20"/>
              </w:rPr>
            </w:pPr>
          </w:p>
        </w:tc>
        <w:tc>
          <w:tcPr>
            <w:tcW w:w="3070" w:type="dxa"/>
            <w:shd w:val="clear" w:color="auto" w:fill="auto"/>
            <w:vAlign w:val="center"/>
          </w:tcPr>
          <w:p w14:paraId="3D86E224">
            <w:pPr>
              <w:widowControl/>
              <w:numPr>
                <w:ilvl w:val="0"/>
                <w:numId w:val="4"/>
              </w:numPr>
              <w:spacing w:line="240" w:lineRule="auto"/>
              <w:ind w:firstLine="0" w:firstLineChars="0"/>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《国务院办公厅印发国务院有关部门实施招标投标活动行政监督的职责分工意见的通知》（国办发〔2020〕34号）；</w:t>
            </w:r>
          </w:p>
          <w:p w14:paraId="2EA84E0E">
            <w:pPr>
              <w:widowControl/>
              <w:numPr>
                <w:ilvl w:val="0"/>
                <w:numId w:val="4"/>
              </w:numPr>
              <w:spacing w:line="240" w:lineRule="auto"/>
              <w:ind w:firstLine="0" w:firstLineChars="0"/>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《中华人民共和国招标投标法》；</w:t>
            </w:r>
          </w:p>
          <w:p w14:paraId="75D8A118">
            <w:pPr>
              <w:widowControl/>
              <w:numPr>
                <w:ilvl w:val="0"/>
                <w:numId w:val="4"/>
              </w:numPr>
              <w:spacing w:line="240" w:lineRule="auto"/>
              <w:ind w:firstLine="0" w:firstLineChars="0"/>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《中华人民共和国招标投标法实施条例》</w:t>
            </w:r>
          </w:p>
        </w:tc>
      </w:tr>
      <w:tr w14:paraId="3690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119E3E6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gridSpan w:val="2"/>
            <w:vAlign w:val="center"/>
          </w:tcPr>
          <w:p w14:paraId="3235221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016BB13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shd w:val="clear" w:color="auto" w:fill="auto"/>
            <w:vAlign w:val="center"/>
          </w:tcPr>
          <w:p w14:paraId="60C1BDD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vAlign w:val="center"/>
          </w:tcPr>
          <w:p w14:paraId="2DD7B96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vMerge w:val="restart"/>
            <w:vAlign w:val="center"/>
          </w:tcPr>
          <w:p w14:paraId="440DEF6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限制失信被执行人的招标代理活动：招标人委托招标代理机构开展招标事宜的，应当查询其失信被执行人信息，鼓励优先选择无失信记录的招标代理机构</w:t>
            </w:r>
          </w:p>
        </w:tc>
        <w:tc>
          <w:tcPr>
            <w:tcW w:w="1127" w:type="dxa"/>
            <w:shd w:val="clear" w:color="auto" w:fill="auto"/>
            <w:vAlign w:val="center"/>
          </w:tcPr>
          <w:p w14:paraId="3C9B404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shd w:val="clear" w:color="auto" w:fill="auto"/>
            <w:vAlign w:val="center"/>
          </w:tcPr>
          <w:p w14:paraId="530822E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3" w:type="dxa"/>
            <w:gridSpan w:val="2"/>
            <w:shd w:val="clear" w:color="auto" w:fill="auto"/>
            <w:vAlign w:val="center"/>
          </w:tcPr>
          <w:p w14:paraId="0AB75E0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28B724D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2A0B45C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71087ED8">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37" w:type="dxa"/>
            <w:shd w:val="clear" w:color="auto" w:fill="auto"/>
            <w:vAlign w:val="center"/>
          </w:tcPr>
          <w:p w14:paraId="52FF440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shd w:val="clear" w:color="auto" w:fill="auto"/>
            <w:vAlign w:val="center"/>
          </w:tcPr>
          <w:p w14:paraId="46445BD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62" w:type="dxa"/>
            <w:shd w:val="clear" w:color="auto" w:fill="auto"/>
            <w:vAlign w:val="center"/>
          </w:tcPr>
          <w:p w14:paraId="53CC3B28">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招标文件和招标公告备案（纸质招标文件备案）</w:t>
            </w:r>
          </w:p>
        </w:tc>
        <w:tc>
          <w:tcPr>
            <w:tcW w:w="1156" w:type="dxa"/>
            <w:shd w:val="clear" w:color="auto" w:fill="auto"/>
            <w:vAlign w:val="center"/>
          </w:tcPr>
          <w:p w14:paraId="10176EE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60ECF7C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70" w:type="dxa"/>
            <w:shd w:val="clear" w:color="auto" w:fill="auto"/>
            <w:vAlign w:val="center"/>
          </w:tcPr>
          <w:p w14:paraId="477C8FD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1.《河北省建筑条例》（河北省第十届人民代表大会常务委员会公告第22号）第十四条；</w:t>
            </w:r>
          </w:p>
          <w:p w14:paraId="4810F519">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2.《房屋建筑和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政基础设施工程施工招标投标管理办法》（建设部令第89号）第十八条、第十九条。</w:t>
            </w:r>
          </w:p>
        </w:tc>
      </w:tr>
      <w:tr w14:paraId="5DCF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700" w:type="dxa"/>
            <w:shd w:val="clear" w:color="auto" w:fill="auto"/>
            <w:vAlign w:val="center"/>
          </w:tcPr>
          <w:p w14:paraId="7031E4F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gridSpan w:val="2"/>
            <w:vAlign w:val="center"/>
          </w:tcPr>
          <w:p w14:paraId="6853ED3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533B0B5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shd w:val="clear" w:color="auto" w:fill="auto"/>
            <w:vAlign w:val="center"/>
          </w:tcPr>
          <w:p w14:paraId="7BE5FE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vAlign w:val="center"/>
          </w:tcPr>
          <w:p w14:paraId="6ABA7D5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vMerge w:val="continue"/>
            <w:vAlign w:val="center"/>
          </w:tcPr>
          <w:p w14:paraId="564A1D24">
            <w:pPr>
              <w:widowControl/>
              <w:spacing w:line="240" w:lineRule="auto"/>
              <w:ind w:firstLine="0" w:firstLineChars="0"/>
              <w:jc w:val="left"/>
              <w:rPr>
                <w:rFonts w:ascii="微软雅黑" w:hAnsi="微软雅黑" w:eastAsia="微软雅黑" w:cs="宋体"/>
                <w:kern w:val="0"/>
                <w:sz w:val="20"/>
                <w:szCs w:val="20"/>
              </w:rPr>
            </w:pPr>
          </w:p>
        </w:tc>
        <w:tc>
          <w:tcPr>
            <w:tcW w:w="1127" w:type="dxa"/>
            <w:shd w:val="clear" w:color="auto" w:fill="auto"/>
            <w:vAlign w:val="center"/>
          </w:tcPr>
          <w:p w14:paraId="526A15D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shd w:val="clear" w:color="auto" w:fill="auto"/>
            <w:vAlign w:val="center"/>
          </w:tcPr>
          <w:p w14:paraId="74DB1F4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3" w:type="dxa"/>
            <w:gridSpan w:val="2"/>
            <w:shd w:val="clear" w:color="auto" w:fill="auto"/>
            <w:vAlign w:val="center"/>
          </w:tcPr>
          <w:p w14:paraId="198B1EA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69C26F3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20B3159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0E47CA20">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37" w:type="dxa"/>
            <w:shd w:val="clear" w:color="auto" w:fill="auto"/>
            <w:vAlign w:val="center"/>
          </w:tcPr>
          <w:p w14:paraId="4C807881">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shd w:val="clear" w:color="auto" w:fill="auto"/>
            <w:vAlign w:val="center"/>
          </w:tcPr>
          <w:p w14:paraId="168FD35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62" w:type="dxa"/>
            <w:shd w:val="clear" w:color="auto" w:fill="auto"/>
            <w:vAlign w:val="center"/>
          </w:tcPr>
          <w:p w14:paraId="6E861DE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对依法必须进行施工招标的工程招标文件的备案</w:t>
            </w:r>
          </w:p>
        </w:tc>
        <w:tc>
          <w:tcPr>
            <w:tcW w:w="1156" w:type="dxa"/>
            <w:shd w:val="clear" w:color="auto" w:fill="auto"/>
            <w:vAlign w:val="center"/>
          </w:tcPr>
          <w:p w14:paraId="66CE77D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4E9EEBA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70" w:type="dxa"/>
            <w:shd w:val="clear" w:color="auto" w:fill="auto"/>
            <w:vAlign w:val="center"/>
          </w:tcPr>
          <w:p w14:paraId="0F7B820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1.《房屋建筑和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政基础设施工程施工招投标管理办法》（建设部令第89号）；</w:t>
            </w:r>
          </w:p>
          <w:p w14:paraId="1888689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2.《河北省建筑条例》；</w:t>
            </w:r>
          </w:p>
          <w:p w14:paraId="3FB4944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3.《关于转发住房和城乡建设部&lt;建筑工程方案设计招标投标管理办法&gt;的通知》（冀建质〔2008〕295号）；</w:t>
            </w:r>
          </w:p>
          <w:p w14:paraId="04E81D5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4.《中华人民共和国招标投标法》。</w:t>
            </w:r>
          </w:p>
        </w:tc>
      </w:tr>
      <w:tr w14:paraId="2E4D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0" w:hRule="atLeast"/>
          <w:jc w:val="center"/>
        </w:trPr>
        <w:tc>
          <w:tcPr>
            <w:tcW w:w="700" w:type="dxa"/>
            <w:shd w:val="clear" w:color="auto" w:fill="auto"/>
            <w:vAlign w:val="center"/>
          </w:tcPr>
          <w:p w14:paraId="504DC00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gridSpan w:val="2"/>
            <w:vAlign w:val="center"/>
          </w:tcPr>
          <w:p w14:paraId="6D00D6C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460586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shd w:val="clear" w:color="auto" w:fill="auto"/>
            <w:vAlign w:val="center"/>
          </w:tcPr>
          <w:p w14:paraId="30D2F48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vAlign w:val="center"/>
          </w:tcPr>
          <w:p w14:paraId="160D33A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vMerge w:val="continue"/>
            <w:vAlign w:val="center"/>
          </w:tcPr>
          <w:p w14:paraId="42CA9A23">
            <w:pPr>
              <w:widowControl/>
              <w:spacing w:line="240" w:lineRule="auto"/>
              <w:ind w:firstLine="0" w:firstLineChars="0"/>
              <w:jc w:val="left"/>
              <w:rPr>
                <w:rFonts w:ascii="微软雅黑" w:hAnsi="微软雅黑" w:eastAsia="微软雅黑" w:cs="宋体"/>
                <w:kern w:val="0"/>
                <w:sz w:val="20"/>
                <w:szCs w:val="20"/>
              </w:rPr>
            </w:pPr>
          </w:p>
        </w:tc>
        <w:tc>
          <w:tcPr>
            <w:tcW w:w="1127" w:type="dxa"/>
            <w:shd w:val="clear" w:color="auto" w:fill="auto"/>
            <w:vAlign w:val="center"/>
          </w:tcPr>
          <w:p w14:paraId="3271003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shd w:val="clear" w:color="auto" w:fill="auto"/>
            <w:vAlign w:val="center"/>
          </w:tcPr>
          <w:p w14:paraId="47FE77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3" w:type="dxa"/>
            <w:gridSpan w:val="2"/>
            <w:shd w:val="clear" w:color="auto" w:fill="auto"/>
            <w:vAlign w:val="center"/>
          </w:tcPr>
          <w:p w14:paraId="663CBC8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47F6BE8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6F0214E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3588CCA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37" w:type="dxa"/>
            <w:shd w:val="clear" w:color="auto" w:fill="auto"/>
            <w:vAlign w:val="center"/>
          </w:tcPr>
          <w:p w14:paraId="1ED536CB">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shd w:val="clear" w:color="auto" w:fill="auto"/>
            <w:vAlign w:val="center"/>
          </w:tcPr>
          <w:p w14:paraId="6FECFCF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62" w:type="dxa"/>
            <w:shd w:val="clear" w:color="auto" w:fill="auto"/>
            <w:vAlign w:val="center"/>
          </w:tcPr>
          <w:p w14:paraId="316EE9C6">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招标人对已发出的招标文件进行必要的澄清或者修改的备案（纸质招标文件）</w:t>
            </w:r>
          </w:p>
        </w:tc>
        <w:tc>
          <w:tcPr>
            <w:tcW w:w="1156" w:type="dxa"/>
            <w:shd w:val="clear" w:color="auto" w:fill="auto"/>
            <w:vAlign w:val="center"/>
          </w:tcPr>
          <w:p w14:paraId="3313A71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0F6C3F4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70" w:type="dxa"/>
            <w:shd w:val="clear" w:color="auto" w:fill="auto"/>
            <w:vAlign w:val="center"/>
          </w:tcPr>
          <w:p w14:paraId="191566D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1.《房屋建筑和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政基础设施工程施工招投标管理办法》（建设部令第89号）；</w:t>
            </w:r>
          </w:p>
          <w:p w14:paraId="742CAC31">
            <w:pPr>
              <w:widowControl/>
              <w:spacing w:line="240" w:lineRule="auto"/>
              <w:ind w:firstLine="0" w:firstLineChars="0"/>
              <w:rPr>
                <w:rFonts w:ascii="微软雅黑" w:hAnsi="微软雅黑" w:eastAsia="微软雅黑" w:cs="宋体"/>
                <w:kern w:val="0"/>
                <w:sz w:val="20"/>
                <w:szCs w:val="20"/>
                <w:highlight w:val="yellow"/>
                <w:lang w:val="en-US" w:eastAsia="zh-CN" w:bidi="ar-SA"/>
              </w:rPr>
            </w:pPr>
            <w:r>
              <w:rPr>
                <w:rFonts w:hint="eastAsia" w:ascii="微软雅黑" w:hAnsi="微软雅黑" w:eastAsia="微软雅黑" w:cs="宋体"/>
                <w:kern w:val="0"/>
                <w:sz w:val="20"/>
                <w:szCs w:val="20"/>
              </w:rPr>
              <w:t>3.《河北省建筑条例》</w:t>
            </w:r>
            <w:r>
              <w:rPr>
                <w:rFonts w:hint="eastAsia" w:ascii="微软雅黑" w:hAnsi="微软雅黑" w:eastAsia="微软雅黑" w:cs="宋体"/>
                <w:kern w:val="0"/>
                <w:sz w:val="20"/>
                <w:szCs w:val="20"/>
                <w:lang w:eastAsia="zh-CN"/>
              </w:rPr>
              <w:t>，河北省第十届人民代表大会常务委员会公告第</w:t>
            </w:r>
            <w:r>
              <w:rPr>
                <w:rFonts w:hint="eastAsia" w:ascii="微软雅黑" w:hAnsi="微软雅黑" w:eastAsia="微软雅黑" w:cs="宋体"/>
                <w:kern w:val="0"/>
                <w:sz w:val="20"/>
                <w:szCs w:val="20"/>
                <w:lang w:val="en-US" w:eastAsia="zh-CN"/>
              </w:rPr>
              <w:t>22号第十四条</w:t>
            </w:r>
            <w:r>
              <w:rPr>
                <w:rFonts w:hint="eastAsia" w:ascii="微软雅黑" w:hAnsi="微软雅黑" w:eastAsia="微软雅黑" w:cs="宋体"/>
                <w:kern w:val="0"/>
                <w:sz w:val="20"/>
                <w:szCs w:val="20"/>
              </w:rPr>
              <w:t>。</w:t>
            </w:r>
          </w:p>
        </w:tc>
      </w:tr>
      <w:tr w14:paraId="7D07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700" w:type="dxa"/>
            <w:shd w:val="clear" w:color="auto" w:fill="auto"/>
            <w:vAlign w:val="center"/>
          </w:tcPr>
          <w:p w14:paraId="1EEA35C5">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5</w:t>
            </w:r>
          </w:p>
        </w:tc>
        <w:tc>
          <w:tcPr>
            <w:tcW w:w="1078" w:type="dxa"/>
            <w:gridSpan w:val="2"/>
            <w:vAlign w:val="center"/>
          </w:tcPr>
          <w:p w14:paraId="5FEBCD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63425C9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shd w:val="clear" w:color="auto" w:fill="auto"/>
            <w:vAlign w:val="center"/>
          </w:tcPr>
          <w:p w14:paraId="7409010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vAlign w:val="center"/>
          </w:tcPr>
          <w:p w14:paraId="2EFDDFB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vAlign w:val="center"/>
          </w:tcPr>
          <w:p w14:paraId="2F15B3B5">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招标人自行办理招投标备案应自行承诺无失信记录</w:t>
            </w:r>
          </w:p>
        </w:tc>
        <w:tc>
          <w:tcPr>
            <w:tcW w:w="1127" w:type="dxa"/>
            <w:shd w:val="clear" w:color="auto" w:fill="auto"/>
            <w:vAlign w:val="center"/>
          </w:tcPr>
          <w:p w14:paraId="56103BD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shd w:val="clear" w:color="auto" w:fill="auto"/>
            <w:vAlign w:val="center"/>
          </w:tcPr>
          <w:p w14:paraId="635F088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3063" w:type="dxa"/>
            <w:gridSpan w:val="2"/>
            <w:shd w:val="clear" w:color="auto" w:fill="auto"/>
            <w:vAlign w:val="center"/>
          </w:tcPr>
          <w:p w14:paraId="1FF62DF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51ADAD9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2975EB1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63B7A47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37" w:type="dxa"/>
            <w:shd w:val="clear" w:color="auto" w:fill="auto"/>
            <w:vAlign w:val="center"/>
          </w:tcPr>
          <w:p w14:paraId="530C6780">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shd w:val="clear" w:color="auto" w:fill="auto"/>
            <w:vAlign w:val="center"/>
          </w:tcPr>
          <w:p w14:paraId="548EE66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62" w:type="dxa"/>
            <w:shd w:val="clear" w:color="auto" w:fill="auto"/>
            <w:vAlign w:val="center"/>
          </w:tcPr>
          <w:p w14:paraId="51FE866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招标人自行办理招标备案</w:t>
            </w:r>
          </w:p>
        </w:tc>
        <w:tc>
          <w:tcPr>
            <w:tcW w:w="1156" w:type="dxa"/>
            <w:shd w:val="clear" w:color="auto" w:fill="auto"/>
            <w:vAlign w:val="center"/>
          </w:tcPr>
          <w:p w14:paraId="7144859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75B8C33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70" w:type="dxa"/>
            <w:shd w:val="clear" w:color="auto" w:fill="auto"/>
            <w:vAlign w:val="center"/>
          </w:tcPr>
          <w:p w14:paraId="6BDFDD30">
            <w:pPr>
              <w:widowControl/>
              <w:numPr>
                <w:ilvl w:val="0"/>
                <w:numId w:val="5"/>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《中华人民共和国招标投标法》</w:t>
            </w:r>
            <w:r>
              <w:rPr>
                <w:rFonts w:hint="eastAsia" w:ascii="微软雅黑" w:hAnsi="微软雅黑" w:eastAsia="微软雅黑" w:cs="宋体"/>
                <w:kern w:val="0"/>
                <w:sz w:val="20"/>
                <w:szCs w:val="20"/>
                <w:lang w:eastAsia="zh-CN"/>
              </w:rPr>
              <w:t>主席令第</w:t>
            </w:r>
            <w:bookmarkStart w:id="25" w:name="_GoBack"/>
            <w:bookmarkEnd w:id="25"/>
            <w:r>
              <w:rPr>
                <w:rFonts w:hint="eastAsia" w:ascii="微软雅黑" w:hAnsi="微软雅黑" w:eastAsia="微软雅黑" w:cs="宋体"/>
                <w:kern w:val="0"/>
                <w:sz w:val="20"/>
                <w:szCs w:val="20"/>
                <w:lang w:val="en-US" w:eastAsia="zh-CN"/>
              </w:rPr>
              <w:t>21号</w:t>
            </w:r>
            <w:r>
              <w:rPr>
                <w:rFonts w:hint="eastAsia" w:ascii="微软雅黑" w:hAnsi="微软雅黑" w:eastAsia="微软雅黑" w:cs="宋体"/>
                <w:kern w:val="0"/>
                <w:sz w:val="20"/>
                <w:szCs w:val="20"/>
              </w:rPr>
              <w:t>；</w:t>
            </w:r>
          </w:p>
          <w:p w14:paraId="25BF3106">
            <w:pPr>
              <w:widowControl/>
              <w:numPr>
                <w:ilvl w:val="0"/>
                <w:numId w:val="5"/>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《中华人民共和国招标投标法实施条例》国务院第</w:t>
            </w:r>
            <w:r>
              <w:rPr>
                <w:rFonts w:hint="eastAsia" w:ascii="微软雅黑" w:hAnsi="微软雅黑" w:eastAsia="微软雅黑" w:cs="宋体"/>
                <w:kern w:val="0"/>
                <w:sz w:val="20"/>
                <w:szCs w:val="20"/>
                <w:lang w:val="en-US" w:eastAsia="zh-CN"/>
              </w:rPr>
              <w:t>613号；</w:t>
            </w:r>
          </w:p>
          <w:p w14:paraId="0C27C2BE">
            <w:pPr>
              <w:widowControl/>
              <w:numPr>
                <w:ilvl w:val="0"/>
                <w:numId w:val="5"/>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《工程建设项目施工招标投标办法》七部委第30号令；</w:t>
            </w:r>
          </w:p>
          <w:p w14:paraId="532BA09B">
            <w:pPr>
              <w:widowControl/>
              <w:numPr>
                <w:ilvl w:val="0"/>
                <w:numId w:val="5"/>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《房屋建筑和县政基础设施工程施工招标投标管理办法》建设部令第89号；</w:t>
            </w:r>
          </w:p>
          <w:p w14:paraId="4163FC4C">
            <w:pPr>
              <w:widowControl/>
              <w:numPr>
                <w:ilvl w:val="0"/>
                <w:numId w:val="5"/>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河北省实施《中华人民共和国招标投标法》办法省九届人大公告第54号；</w:t>
            </w:r>
          </w:p>
          <w:p w14:paraId="7E36A4A8">
            <w:pPr>
              <w:widowControl/>
              <w:numPr>
                <w:ilvl w:val="0"/>
                <w:numId w:val="5"/>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《工程建设项目自行招标试行办法》中华人民共和国国家发展计划委员会令第5号。</w:t>
            </w:r>
          </w:p>
          <w:p w14:paraId="2BC2E7AB">
            <w:pPr>
              <w:widowControl/>
              <w:spacing w:line="240" w:lineRule="auto"/>
              <w:ind w:firstLine="0" w:firstLineChars="0"/>
              <w:rPr>
                <w:rFonts w:ascii="微软雅黑" w:hAnsi="微软雅黑" w:eastAsia="微软雅黑" w:cs="宋体"/>
                <w:kern w:val="0"/>
                <w:sz w:val="20"/>
                <w:szCs w:val="20"/>
                <w:lang w:val="en-US" w:eastAsia="zh-CN" w:bidi="ar-SA"/>
              </w:rPr>
            </w:pPr>
          </w:p>
        </w:tc>
      </w:tr>
      <w:tr w14:paraId="1722D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0" w:hRule="atLeast"/>
          <w:jc w:val="center"/>
        </w:trPr>
        <w:tc>
          <w:tcPr>
            <w:tcW w:w="700" w:type="dxa"/>
            <w:shd w:val="clear" w:color="auto" w:fill="auto"/>
            <w:vAlign w:val="center"/>
          </w:tcPr>
          <w:p w14:paraId="0B232735">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6</w:t>
            </w:r>
          </w:p>
        </w:tc>
        <w:tc>
          <w:tcPr>
            <w:tcW w:w="1078" w:type="dxa"/>
            <w:gridSpan w:val="2"/>
            <w:vAlign w:val="center"/>
          </w:tcPr>
          <w:p w14:paraId="1E440B1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vAlign w:val="center"/>
          </w:tcPr>
          <w:p w14:paraId="26121EA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shd w:val="clear" w:color="auto" w:fill="auto"/>
            <w:vAlign w:val="center"/>
          </w:tcPr>
          <w:p w14:paraId="1D7B4FD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vAlign w:val="center"/>
          </w:tcPr>
          <w:p w14:paraId="5466113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shd w:val="clear" w:color="auto" w:fill="auto"/>
            <w:vAlign w:val="center"/>
          </w:tcPr>
          <w:p w14:paraId="23FB12D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评标活动：依法建立的评标专家库管理单位在对评标专家聘用审核及日常管理时，应当查询有关失信被执行人信息，不得聘用失信被执行人为评标专家。对评标专家在聘用期间成为失信被执行人的，应及时清退</w:t>
            </w:r>
          </w:p>
        </w:tc>
        <w:tc>
          <w:tcPr>
            <w:tcW w:w="1127" w:type="dxa"/>
            <w:shd w:val="clear" w:color="auto" w:fill="auto"/>
            <w:vAlign w:val="center"/>
          </w:tcPr>
          <w:p w14:paraId="443D1D6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0" w:type="dxa"/>
            <w:shd w:val="clear" w:color="auto" w:fill="auto"/>
            <w:vAlign w:val="center"/>
          </w:tcPr>
          <w:p w14:paraId="3C87948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063" w:type="dxa"/>
            <w:gridSpan w:val="2"/>
            <w:shd w:val="clear" w:color="auto" w:fill="auto"/>
            <w:vAlign w:val="center"/>
          </w:tcPr>
          <w:p w14:paraId="286C3E1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47F0272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10647AB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4CEC9E42">
            <w:pPr>
              <w:widowControl/>
              <w:spacing w:line="240" w:lineRule="auto"/>
              <w:ind w:firstLine="0" w:firstLineChars="0"/>
              <w:jc w:val="left"/>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4.《最高人民法院关于公布失信被执行人名单信息的若干规定》。</w:t>
            </w:r>
          </w:p>
        </w:tc>
        <w:tc>
          <w:tcPr>
            <w:tcW w:w="1537" w:type="dxa"/>
            <w:shd w:val="clear" w:color="auto" w:fill="auto"/>
            <w:vAlign w:val="center"/>
          </w:tcPr>
          <w:p w14:paraId="30EB2850">
            <w:pPr>
              <w:widowControl/>
              <w:spacing w:line="240" w:lineRule="auto"/>
              <w:ind w:firstLine="0" w:firstLineChars="0"/>
              <w:jc w:val="left"/>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shd w:val="clear" w:color="auto" w:fill="auto"/>
            <w:vAlign w:val="center"/>
          </w:tcPr>
          <w:p w14:paraId="4F7256F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162" w:type="dxa"/>
            <w:shd w:val="clear" w:color="auto" w:fill="auto"/>
            <w:vAlign w:val="center"/>
          </w:tcPr>
          <w:p w14:paraId="535DAF5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56" w:type="dxa"/>
            <w:shd w:val="clear" w:color="auto" w:fill="auto"/>
            <w:vAlign w:val="center"/>
          </w:tcPr>
          <w:p w14:paraId="6C14BD1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55" w:type="dxa"/>
            <w:shd w:val="clear" w:color="auto" w:fill="auto"/>
            <w:vAlign w:val="center"/>
          </w:tcPr>
          <w:p w14:paraId="499FA907">
            <w:pPr>
              <w:widowControl/>
              <w:spacing w:line="240" w:lineRule="auto"/>
              <w:ind w:firstLine="0" w:firstLineChars="0"/>
              <w:jc w:val="left"/>
              <w:rPr>
                <w:rFonts w:ascii="微软雅黑" w:hAnsi="微软雅黑" w:eastAsia="微软雅黑" w:cs="宋体"/>
                <w:kern w:val="0"/>
                <w:sz w:val="20"/>
                <w:szCs w:val="20"/>
              </w:rPr>
            </w:pPr>
          </w:p>
        </w:tc>
        <w:tc>
          <w:tcPr>
            <w:tcW w:w="3070" w:type="dxa"/>
            <w:shd w:val="clear" w:color="auto" w:fill="auto"/>
            <w:vAlign w:val="center"/>
          </w:tcPr>
          <w:p w14:paraId="49DDCE79">
            <w:pPr>
              <w:widowControl/>
              <w:spacing w:line="240" w:lineRule="auto"/>
              <w:ind w:firstLine="0" w:firstLineChars="0"/>
              <w:jc w:val="left"/>
              <w:rPr>
                <w:rFonts w:ascii="微软雅黑" w:hAnsi="微软雅黑" w:eastAsia="微软雅黑" w:cs="宋体"/>
                <w:kern w:val="0"/>
                <w:sz w:val="20"/>
                <w:szCs w:val="20"/>
              </w:rPr>
            </w:pPr>
          </w:p>
        </w:tc>
      </w:tr>
      <w:tr w14:paraId="5FB63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700" w:type="dxa"/>
            <w:tcBorders>
              <w:bottom w:val="single" w:color="auto" w:sz="4" w:space="0"/>
            </w:tcBorders>
            <w:shd w:val="clear" w:color="auto" w:fill="auto"/>
            <w:vAlign w:val="center"/>
          </w:tcPr>
          <w:p w14:paraId="397B123D">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7</w:t>
            </w:r>
          </w:p>
        </w:tc>
        <w:tc>
          <w:tcPr>
            <w:tcW w:w="1078" w:type="dxa"/>
            <w:gridSpan w:val="2"/>
            <w:tcBorders>
              <w:bottom w:val="single" w:color="auto" w:sz="4" w:space="0"/>
            </w:tcBorders>
            <w:vAlign w:val="center"/>
          </w:tcPr>
          <w:p w14:paraId="1FA244E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tcBorders>
              <w:bottom w:val="single" w:color="auto" w:sz="4" w:space="0"/>
            </w:tcBorders>
            <w:vAlign w:val="center"/>
          </w:tcPr>
          <w:p w14:paraId="2426E9B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06" w:type="dxa"/>
            <w:tcBorders>
              <w:bottom w:val="single" w:color="auto" w:sz="4" w:space="0"/>
            </w:tcBorders>
            <w:shd w:val="clear" w:color="auto" w:fill="auto"/>
            <w:vAlign w:val="center"/>
          </w:tcPr>
          <w:p w14:paraId="1397DF1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tcBorders>
              <w:bottom w:val="single" w:color="auto" w:sz="4" w:space="0"/>
            </w:tcBorders>
            <w:vAlign w:val="center"/>
          </w:tcPr>
          <w:p w14:paraId="24AC71F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tcBorders>
              <w:bottom w:val="single" w:color="auto" w:sz="4" w:space="0"/>
            </w:tcBorders>
            <w:shd w:val="clear" w:color="auto" w:fill="auto"/>
            <w:vAlign w:val="center"/>
          </w:tcPr>
          <w:p w14:paraId="154628B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招标从业活动：招标人、招标代理机构在聘用招标从业人员前，应当明确规定对失信被执行人的处理办法，查询相关人员的失信被执行人信息，对属于失信被执行人的招标从业人员应按照规定进行处理</w:t>
            </w:r>
          </w:p>
        </w:tc>
        <w:tc>
          <w:tcPr>
            <w:tcW w:w="1127" w:type="dxa"/>
            <w:tcBorders>
              <w:bottom w:val="single" w:color="auto" w:sz="4" w:space="0"/>
            </w:tcBorders>
            <w:shd w:val="clear" w:color="auto" w:fill="auto"/>
            <w:vAlign w:val="center"/>
          </w:tcPr>
          <w:p w14:paraId="03B5659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0" w:type="dxa"/>
            <w:tcBorders>
              <w:bottom w:val="single" w:color="auto" w:sz="4" w:space="0"/>
            </w:tcBorders>
            <w:shd w:val="clear" w:color="auto" w:fill="auto"/>
            <w:vAlign w:val="center"/>
          </w:tcPr>
          <w:p w14:paraId="15BC774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3063" w:type="dxa"/>
            <w:gridSpan w:val="2"/>
            <w:tcBorders>
              <w:bottom w:val="single" w:color="auto" w:sz="4" w:space="0"/>
            </w:tcBorders>
            <w:shd w:val="clear" w:color="auto" w:fill="auto"/>
            <w:vAlign w:val="center"/>
          </w:tcPr>
          <w:p w14:paraId="6C4322E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157EAD3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142CD5D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656D036C">
            <w:pPr>
              <w:widowControl/>
              <w:spacing w:line="240" w:lineRule="auto"/>
              <w:ind w:firstLine="0" w:firstLineChars="0"/>
              <w:jc w:val="left"/>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4.《最高人民法院关于公布失信被执行人名单信息的若干规定》。</w:t>
            </w:r>
          </w:p>
        </w:tc>
        <w:tc>
          <w:tcPr>
            <w:tcW w:w="1537" w:type="dxa"/>
            <w:tcBorders>
              <w:bottom w:val="single" w:color="auto" w:sz="4" w:space="0"/>
            </w:tcBorders>
            <w:shd w:val="clear" w:color="auto" w:fill="auto"/>
            <w:vAlign w:val="center"/>
          </w:tcPr>
          <w:p w14:paraId="39E81EDC">
            <w:pPr>
              <w:widowControl/>
              <w:spacing w:line="240" w:lineRule="auto"/>
              <w:ind w:firstLine="0" w:firstLineChars="0"/>
              <w:jc w:val="left"/>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《关于在招标投标活动中对失信被执行人实施联合惩戒的通知》（法〔2016〕285号）</w:t>
            </w:r>
          </w:p>
        </w:tc>
        <w:tc>
          <w:tcPr>
            <w:tcW w:w="1131" w:type="dxa"/>
            <w:tcBorders>
              <w:bottom w:val="single" w:color="auto" w:sz="4" w:space="0"/>
            </w:tcBorders>
            <w:shd w:val="clear" w:color="auto" w:fill="auto"/>
            <w:vAlign w:val="center"/>
          </w:tcPr>
          <w:p w14:paraId="7E56DF1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162" w:type="dxa"/>
            <w:tcBorders>
              <w:bottom w:val="single" w:color="auto" w:sz="4" w:space="0"/>
            </w:tcBorders>
            <w:shd w:val="clear" w:color="auto" w:fill="auto"/>
            <w:vAlign w:val="center"/>
          </w:tcPr>
          <w:p w14:paraId="5FFA11B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56" w:type="dxa"/>
            <w:tcBorders>
              <w:bottom w:val="single" w:color="auto" w:sz="4" w:space="0"/>
            </w:tcBorders>
            <w:shd w:val="clear" w:color="auto" w:fill="auto"/>
            <w:vAlign w:val="center"/>
          </w:tcPr>
          <w:p w14:paraId="5545353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55" w:type="dxa"/>
            <w:shd w:val="clear" w:color="auto" w:fill="auto"/>
            <w:vAlign w:val="center"/>
          </w:tcPr>
          <w:p w14:paraId="75B22736">
            <w:pPr>
              <w:widowControl/>
              <w:spacing w:line="240" w:lineRule="auto"/>
              <w:ind w:firstLine="0" w:firstLineChars="0"/>
              <w:jc w:val="left"/>
              <w:rPr>
                <w:rFonts w:ascii="微软雅黑" w:hAnsi="微软雅黑" w:eastAsia="微软雅黑" w:cs="宋体"/>
                <w:kern w:val="0"/>
                <w:sz w:val="20"/>
                <w:szCs w:val="20"/>
              </w:rPr>
            </w:pPr>
          </w:p>
        </w:tc>
        <w:tc>
          <w:tcPr>
            <w:tcW w:w="3070" w:type="dxa"/>
            <w:shd w:val="clear" w:color="auto" w:fill="auto"/>
            <w:vAlign w:val="center"/>
          </w:tcPr>
          <w:p w14:paraId="29B7D82B">
            <w:pPr>
              <w:widowControl/>
              <w:spacing w:line="240" w:lineRule="auto"/>
              <w:ind w:firstLine="0" w:firstLineChars="0"/>
              <w:jc w:val="left"/>
              <w:rPr>
                <w:rFonts w:ascii="微软雅黑" w:hAnsi="微软雅黑" w:eastAsia="微软雅黑" w:cs="宋体"/>
                <w:kern w:val="0"/>
                <w:sz w:val="20"/>
                <w:szCs w:val="20"/>
              </w:rPr>
            </w:pPr>
          </w:p>
        </w:tc>
      </w:tr>
      <w:tr w14:paraId="6443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700" w:type="dxa"/>
            <w:tcBorders>
              <w:bottom w:val="single" w:color="auto" w:sz="4" w:space="0"/>
            </w:tcBorders>
            <w:shd w:val="clear" w:color="auto" w:fill="auto"/>
            <w:vAlign w:val="center"/>
          </w:tcPr>
          <w:p w14:paraId="4186F977">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8</w:t>
            </w:r>
          </w:p>
        </w:tc>
        <w:tc>
          <w:tcPr>
            <w:tcW w:w="1078" w:type="dxa"/>
            <w:gridSpan w:val="2"/>
            <w:tcBorders>
              <w:bottom w:val="single" w:color="auto" w:sz="4" w:space="0"/>
            </w:tcBorders>
            <w:vAlign w:val="center"/>
          </w:tcPr>
          <w:p w14:paraId="778A3B1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tcBorders>
              <w:bottom w:val="single" w:color="auto" w:sz="4" w:space="0"/>
            </w:tcBorders>
            <w:vAlign w:val="center"/>
          </w:tcPr>
          <w:p w14:paraId="4260439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06" w:type="dxa"/>
            <w:tcBorders>
              <w:bottom w:val="single" w:color="auto" w:sz="4" w:space="0"/>
            </w:tcBorders>
            <w:shd w:val="clear" w:color="auto" w:fill="auto"/>
            <w:vAlign w:val="center"/>
          </w:tcPr>
          <w:p w14:paraId="54D06D1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5" w:type="dxa"/>
            <w:tcBorders>
              <w:bottom w:val="single" w:color="auto" w:sz="4" w:space="0"/>
            </w:tcBorders>
            <w:vAlign w:val="center"/>
          </w:tcPr>
          <w:p w14:paraId="1A1DC8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住房和城乡建设</w:t>
            </w:r>
            <w:r>
              <w:rPr>
                <w:rFonts w:hint="eastAsia" w:ascii="微软雅黑" w:hAnsi="微软雅黑" w:eastAsia="微软雅黑" w:cs="宋体"/>
                <w:kern w:val="0"/>
                <w:sz w:val="20"/>
                <w:szCs w:val="20"/>
                <w:lang w:eastAsia="zh-CN"/>
              </w:rPr>
              <w:t>局</w:t>
            </w:r>
          </w:p>
        </w:tc>
        <w:tc>
          <w:tcPr>
            <w:tcW w:w="2074" w:type="dxa"/>
            <w:tcBorders>
              <w:bottom w:val="single" w:color="auto" w:sz="4" w:space="0"/>
            </w:tcBorders>
            <w:shd w:val="clear" w:color="auto" w:fill="auto"/>
            <w:vAlign w:val="center"/>
          </w:tcPr>
          <w:p w14:paraId="47C6DE9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限制失信被执行人及失信被执行人的法定代表人、主要负责人、影响债务履行的直接责任人员、实际控制人购买房产、土地（使用权）等不动产</w:t>
            </w:r>
          </w:p>
        </w:tc>
        <w:tc>
          <w:tcPr>
            <w:tcW w:w="1127" w:type="dxa"/>
            <w:tcBorders>
              <w:bottom w:val="single" w:color="auto" w:sz="4" w:space="0"/>
            </w:tcBorders>
            <w:shd w:val="clear" w:color="auto" w:fill="auto"/>
            <w:vAlign w:val="center"/>
          </w:tcPr>
          <w:p w14:paraId="5A83A80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0" w:type="dxa"/>
            <w:tcBorders>
              <w:bottom w:val="single" w:color="auto" w:sz="4" w:space="0"/>
            </w:tcBorders>
            <w:shd w:val="clear" w:color="auto" w:fill="auto"/>
            <w:vAlign w:val="center"/>
          </w:tcPr>
          <w:p w14:paraId="14194C7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63" w:type="dxa"/>
            <w:gridSpan w:val="2"/>
            <w:tcBorders>
              <w:bottom w:val="single" w:color="auto" w:sz="4" w:space="0"/>
            </w:tcBorders>
            <w:shd w:val="clear" w:color="auto" w:fill="auto"/>
            <w:vAlign w:val="center"/>
          </w:tcPr>
          <w:p w14:paraId="602C53B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详见下方</w:t>
            </w:r>
          </w:p>
        </w:tc>
        <w:tc>
          <w:tcPr>
            <w:tcW w:w="1537" w:type="dxa"/>
            <w:tcBorders>
              <w:bottom w:val="single" w:color="auto" w:sz="4" w:space="0"/>
            </w:tcBorders>
            <w:shd w:val="clear" w:color="auto" w:fill="auto"/>
            <w:vAlign w:val="center"/>
          </w:tcPr>
          <w:p w14:paraId="31F20477">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31" w:type="dxa"/>
            <w:tcBorders>
              <w:bottom w:val="single" w:color="auto" w:sz="4" w:space="0"/>
            </w:tcBorders>
            <w:shd w:val="clear" w:color="auto" w:fill="auto"/>
            <w:vAlign w:val="center"/>
          </w:tcPr>
          <w:p w14:paraId="14491E3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62" w:type="dxa"/>
            <w:tcBorders>
              <w:bottom w:val="single" w:color="auto" w:sz="4" w:space="0"/>
            </w:tcBorders>
            <w:shd w:val="clear" w:color="auto" w:fill="auto"/>
            <w:vAlign w:val="center"/>
          </w:tcPr>
          <w:p w14:paraId="6EA44E9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商品房（包括新建住房、存量房）买卖合同备案</w:t>
            </w:r>
          </w:p>
        </w:tc>
        <w:tc>
          <w:tcPr>
            <w:tcW w:w="1156" w:type="dxa"/>
            <w:tcBorders>
              <w:bottom w:val="single" w:color="auto" w:sz="4" w:space="0"/>
            </w:tcBorders>
            <w:shd w:val="clear" w:color="auto" w:fill="auto"/>
            <w:vAlign w:val="center"/>
          </w:tcPr>
          <w:p w14:paraId="672D4F0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55" w:type="dxa"/>
            <w:shd w:val="clear" w:color="auto" w:fill="auto"/>
            <w:vAlign w:val="center"/>
          </w:tcPr>
          <w:p w14:paraId="429928E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3070" w:type="dxa"/>
            <w:shd w:val="clear" w:color="auto" w:fill="auto"/>
            <w:vAlign w:val="center"/>
          </w:tcPr>
          <w:p w14:paraId="7833A4D7">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《中华人民共和国城</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房地产管理法》第二条、第七条、第四十五条、第六十一条。</w:t>
            </w:r>
          </w:p>
        </w:tc>
      </w:tr>
      <w:tr w14:paraId="7AA3D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22102" w:type="dxa"/>
            <w:gridSpan w:val="18"/>
            <w:tcBorders>
              <w:bottom w:val="single" w:color="auto" w:sz="4" w:space="0"/>
            </w:tcBorders>
            <w:shd w:val="clear" w:color="auto" w:fill="auto"/>
          </w:tcPr>
          <w:p w14:paraId="08E1CD08">
            <w:pPr>
              <w:widowControl/>
              <w:spacing w:line="240" w:lineRule="auto"/>
              <w:ind w:firstLine="0" w:firstLineChars="0"/>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p w14:paraId="7917F58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4129033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p>
          <w:p w14:paraId="0E597A1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2.《最高人民法院关于限制被执行人高消费及有关消费的若干规定》</w:t>
            </w:r>
          </w:p>
          <w:p w14:paraId="7EEC41C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一条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p>
          <w:p w14:paraId="70D535F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第三条被执行人为自然人的，被采取限制消费措施后，不得有以下高消费及非生活和工作必需的消费行为：</w:t>
            </w:r>
          </w:p>
          <w:p w14:paraId="0C17B95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（一）乘坐交通工具时，选择飞机、列车软卧、轮船二等以上舱位；</w:t>
            </w:r>
          </w:p>
          <w:p w14:paraId="5460EF3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（二）在星级以上宾馆、酒店、夜总会、高尔夫球场等场所进行高消费；</w:t>
            </w:r>
          </w:p>
          <w:p w14:paraId="63F05DA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（三）购买不动产或者新建、扩建、高档装修房屋；</w:t>
            </w:r>
          </w:p>
          <w:p w14:paraId="07EB1C9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（四）租赁高档写字楼、宾馆、公寓等场所办公；</w:t>
            </w:r>
          </w:p>
          <w:p w14:paraId="3C84C31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（五）购买非经营必需车辆；</w:t>
            </w:r>
          </w:p>
          <w:p w14:paraId="63D9EEC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（六）旅游、度假；</w:t>
            </w:r>
          </w:p>
          <w:p w14:paraId="688D112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（七）子女就读高收费私立学校；</w:t>
            </w:r>
          </w:p>
          <w:p w14:paraId="118E577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（八）支付高额保费购买保险理财产品；</w:t>
            </w:r>
          </w:p>
          <w:p w14:paraId="678E9A2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（九）乘坐G字头动车组列车全部座位、其他动车组列车一等以上座位等其他非生活和工作必需的消费行为。</w:t>
            </w:r>
          </w:p>
          <w:p w14:paraId="64B7CF8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p>
          <w:p w14:paraId="26E99A0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第六条人民法院决定采取限制消费措施的，可以根据案件需要和被执行人的情况向有义务协助调查、执行的单位送达协助执行通知书，也可以在相关媒体上进行公告。</w:t>
            </w:r>
          </w:p>
          <w:p w14:paraId="694BA2C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第八条被限制消费的被执行人因生活或者经营必需而进行本规定禁止的消费活动的，应当向人民法院提出申请，获批准后方可进行。</w:t>
            </w:r>
          </w:p>
          <w:p w14:paraId="5F7D0FB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一条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有关单位在收到人民法院协助执行通知书后，仍允许被执行人进行高消费及非生活或者经营必需的有关消费的，人民法院可以依照《中华人民共和国民事诉讼法》第一百一十四条的规定，追究其法律责任。</w:t>
            </w:r>
          </w:p>
          <w:p w14:paraId="69018F3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3.《不动产登记暂行条例》</w:t>
            </w:r>
          </w:p>
          <w:p w14:paraId="25F587A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第二条　本条例所称不动产登记，是指不动产登记机构依法将不动产权利归属和其他法定事项记载于不动产登记簿的行为。</w:t>
            </w:r>
          </w:p>
          <w:p w14:paraId="4213029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本条例所称不动产，是指土地、海域以及房屋、林木等定着物。</w:t>
            </w:r>
          </w:p>
          <w:p w14:paraId="2E626E1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第七条　不动产登记由不动产所在地的县级人民政府不动产登记机构办理；直辖</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、设区的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人民政府可以确定本级不动产登记机构统一办理所属各区的不动产登记。</w:t>
            </w:r>
          </w:p>
          <w:p w14:paraId="02B5246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跨县级行政区域的不动产登记，由所跨县级行政区域的不动产登记机构分别办理。不能分别办理的，由所跨县级行政区域的不动产登记机构协商办理；协商不成的，由共同的上一级人民政府不动产登记主管部门指定办理。</w:t>
            </w:r>
          </w:p>
          <w:p w14:paraId="0653D48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国务院确定的重点国有林区的森林、林木和林地，国务院批准项目用海、用岛，中央国家机关使用的国有土地等不动产登记，由国务院国土资源主管部门会同有关部门规定。</w:t>
            </w:r>
          </w:p>
          <w:p w14:paraId="7F32EAD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4.《关于建立和完善执行联动机制若干问题的意见》</w:t>
            </w:r>
          </w:p>
          <w:p w14:paraId="5EDE352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一条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p>
          <w:p w14:paraId="5FEBEA2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第十二条　住房和城乡建设管理部门应当协助人民法院及时查询有关房屋权属登记、变更、抵押等情况，协助人民法院及时办理房屋查封、预查封和轮候查封及转移登记手续，并将有关情况及时告知人民法院。被执行人正在办理房屋所有权转移登记等手续的，根据人民法院协助执行通知书的要求，停止办理相关手续。轮候查封的人民法院违法要求协助办理房屋登记手续的，依法不予办理。债权人持生效法律文书申请办理房屋转移登记手续的，依法予以办理。协助人民法院查询有关工程项目的规划审批情况，向人民法院提供必要的经批准的规划文件和规划图纸等资料。被执行人正在申请办理涉案项目规划审批手续的，根据人民法院协助执行通知书的要求，停止办理相关手续。将房地产、建筑企业不依法履行生效法律文书义务的情况，记入房地产和建筑</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场信用档案，向社会披露有关信息。对拖欠房屋拆迁补偿安置资金的被执行人，依法采取制裁措施。</w:t>
            </w:r>
          </w:p>
          <w:p w14:paraId="3B1B940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5.《最高人民法院、国土资源部、建设部关于依法规范人民法院执行和国土资源房地产管理部门协助执行若干问题的通知》法发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2004</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5号</w:t>
            </w:r>
          </w:p>
          <w:p w14:paraId="1E6FAEC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p>
          <w:p w14:paraId="3C227AE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国土资源、房地产管理部门依法协助人民法院执行时，除复制有关材料所必需的工本费外，不得向人民法院收取其他费用。登记过户的费用按照国家有关规定收取。</w:t>
            </w:r>
          </w:p>
          <w:p w14:paraId="25E1BA6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p>
          <w:p w14:paraId="3D44D4E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人民法院执行人员到国土资源、房地产管理部门查询土地、房屋权属情况时，应当出示本人工作证和执行公务证，并出具协助查询通知书。</w:t>
            </w:r>
          </w:p>
          <w:p w14:paraId="6969214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人民法院执行人员到国土资源、房地产管理部门办理土地使用权或者房屋查封、预查封登记手续时，应当出示本人工作证和执行公务证，并出具查封、预查封裁定书和协助执行通知书。</w:t>
            </w:r>
          </w:p>
          <w:p w14:paraId="2B76CA6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案室（馆）加盖印章。无法查询或者查询无结果的，国土资源、房地产管理部门应当书面告知人民法院。</w:t>
            </w:r>
          </w:p>
        </w:tc>
      </w:tr>
    </w:tbl>
    <w:p w14:paraId="05F5AA44">
      <w:pPr>
        <w:ind w:firstLine="640"/>
      </w:pPr>
      <w:r>
        <w:rPr>
          <w:bCs/>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68"/>
        <w:gridCol w:w="10"/>
        <w:gridCol w:w="1059"/>
        <w:gridCol w:w="19"/>
        <w:gridCol w:w="792"/>
        <w:gridCol w:w="1030"/>
        <w:gridCol w:w="2066"/>
        <w:gridCol w:w="1122"/>
        <w:gridCol w:w="1125"/>
        <w:gridCol w:w="3044"/>
        <w:gridCol w:w="1540"/>
        <w:gridCol w:w="1138"/>
        <w:gridCol w:w="2200"/>
        <w:gridCol w:w="1138"/>
        <w:gridCol w:w="961"/>
        <w:gridCol w:w="1"/>
        <w:gridCol w:w="3089"/>
      </w:tblGrid>
      <w:tr w14:paraId="1137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8"/>
            <w:tcBorders>
              <w:top w:val="nil"/>
              <w:left w:val="nil"/>
              <w:right w:val="nil"/>
            </w:tcBorders>
            <w:shd w:val="clear" w:color="auto" w:fill="auto"/>
            <w:vAlign w:val="center"/>
          </w:tcPr>
          <w:p w14:paraId="07A93158">
            <w:pPr>
              <w:pStyle w:val="2"/>
              <w:rPr>
                <w:rFonts w:hint="eastAsia" w:eastAsia="华文中宋"/>
                <w:lang w:eastAsia="zh-CN"/>
              </w:rPr>
            </w:pPr>
            <w:r>
              <w:br w:type="page"/>
            </w:r>
            <w:bookmarkStart w:id="17" w:name="_Toc20473860"/>
            <w:r>
              <w:rPr>
                <w:rFonts w:hint="eastAsia"/>
                <w:lang w:val="en-US" w:eastAsia="zh-CN"/>
              </w:rPr>
              <w:t>18</w:t>
            </w:r>
            <w:r>
              <w:rPr>
                <w:rFonts w:hint="eastAsia"/>
              </w:rPr>
              <w:t>、</w:t>
            </w:r>
            <w:r>
              <w:rPr>
                <w:rFonts w:hint="eastAsia"/>
                <w:lang w:eastAsia="zh-CN"/>
              </w:rPr>
              <w:t>县</w:t>
            </w:r>
            <w:r>
              <w:rPr>
                <w:rFonts w:hint="eastAsia"/>
              </w:rPr>
              <w:t>交通运输</w:t>
            </w:r>
            <w:bookmarkEnd w:id="17"/>
            <w:r>
              <w:rPr>
                <w:rFonts w:hint="eastAsia"/>
                <w:lang w:eastAsia="zh-CN"/>
              </w:rPr>
              <w:t>局</w:t>
            </w:r>
          </w:p>
        </w:tc>
      </w:tr>
      <w:tr w14:paraId="31F1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6CA19699">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875" w:type="dxa"/>
            <w:gridSpan w:val="11"/>
            <w:shd w:val="clear" w:color="000000" w:fill="D6DCE4"/>
            <w:vAlign w:val="center"/>
          </w:tcPr>
          <w:p w14:paraId="083755B8">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联合奖惩措施</w:t>
            </w:r>
          </w:p>
        </w:tc>
        <w:tc>
          <w:tcPr>
            <w:tcW w:w="8527" w:type="dxa"/>
            <w:gridSpan w:val="6"/>
            <w:shd w:val="clear" w:color="000000" w:fill="D6DCE4"/>
            <w:vAlign w:val="center"/>
          </w:tcPr>
          <w:p w14:paraId="6E2481B8">
            <w:pPr>
              <w:widowControl/>
              <w:spacing w:line="240" w:lineRule="auto"/>
              <w:ind w:firstLine="0" w:firstLineChars="0"/>
              <w:jc w:val="center"/>
              <w:rPr>
                <w:rFonts w:hint="eastAsia"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可应用于惩戒措施的服务事项</w:t>
            </w:r>
          </w:p>
        </w:tc>
      </w:tr>
      <w:tr w14:paraId="4AB6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0BD5E920">
            <w:pPr>
              <w:widowControl/>
              <w:spacing w:line="240" w:lineRule="auto"/>
              <w:ind w:firstLine="0" w:firstLineChars="0"/>
              <w:jc w:val="center"/>
              <w:rPr>
                <w:rFonts w:ascii="微软雅黑" w:hAnsi="微软雅黑" w:eastAsia="微软雅黑" w:cs="宋体"/>
                <w:b/>
                <w:bCs/>
                <w:kern w:val="0"/>
                <w:sz w:val="20"/>
                <w:szCs w:val="20"/>
              </w:rPr>
            </w:pPr>
          </w:p>
        </w:tc>
        <w:tc>
          <w:tcPr>
            <w:tcW w:w="1068" w:type="dxa"/>
            <w:shd w:val="clear" w:color="000000" w:fill="D6DCE4"/>
            <w:vAlign w:val="center"/>
          </w:tcPr>
          <w:p w14:paraId="657D9D7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发起部门</w:t>
            </w:r>
          </w:p>
        </w:tc>
        <w:tc>
          <w:tcPr>
            <w:tcW w:w="1069" w:type="dxa"/>
            <w:gridSpan w:val="2"/>
            <w:shd w:val="clear" w:color="000000" w:fill="D6DCE4"/>
            <w:vAlign w:val="center"/>
          </w:tcPr>
          <w:p w14:paraId="3FB6849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惩戒对象</w:t>
            </w:r>
          </w:p>
        </w:tc>
        <w:tc>
          <w:tcPr>
            <w:tcW w:w="811" w:type="dxa"/>
            <w:gridSpan w:val="2"/>
            <w:shd w:val="clear" w:color="000000" w:fill="D6DCE4"/>
            <w:vAlign w:val="center"/>
          </w:tcPr>
          <w:p w14:paraId="12B82B4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相对人类别</w:t>
            </w:r>
          </w:p>
        </w:tc>
        <w:tc>
          <w:tcPr>
            <w:tcW w:w="1030" w:type="dxa"/>
            <w:shd w:val="clear" w:color="000000" w:fill="D6DCE4"/>
            <w:vAlign w:val="center"/>
          </w:tcPr>
          <w:p w14:paraId="63729B0A">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实施部门</w:t>
            </w:r>
          </w:p>
        </w:tc>
        <w:tc>
          <w:tcPr>
            <w:tcW w:w="2066" w:type="dxa"/>
            <w:shd w:val="clear" w:color="000000" w:fill="D6DCE4"/>
            <w:vAlign w:val="center"/>
          </w:tcPr>
          <w:p w14:paraId="5DC5575B">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w:t>
            </w:r>
          </w:p>
        </w:tc>
        <w:tc>
          <w:tcPr>
            <w:tcW w:w="1122" w:type="dxa"/>
            <w:shd w:val="clear" w:color="000000" w:fill="D6DCE4"/>
            <w:vAlign w:val="center"/>
          </w:tcPr>
          <w:p w14:paraId="45EAB88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措施类别</w:t>
            </w:r>
          </w:p>
        </w:tc>
        <w:tc>
          <w:tcPr>
            <w:tcW w:w="1125" w:type="dxa"/>
            <w:shd w:val="clear" w:color="000000" w:fill="D6DCE4"/>
            <w:vAlign w:val="center"/>
          </w:tcPr>
          <w:p w14:paraId="1CDDC9D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措施性质</w:t>
            </w:r>
          </w:p>
        </w:tc>
        <w:tc>
          <w:tcPr>
            <w:tcW w:w="3044" w:type="dxa"/>
            <w:shd w:val="clear" w:color="000000" w:fill="D6DCE4"/>
            <w:vAlign w:val="center"/>
          </w:tcPr>
          <w:p w14:paraId="5B4D79AE">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惩戒措施法律及政策依据</w:t>
            </w:r>
          </w:p>
        </w:tc>
        <w:tc>
          <w:tcPr>
            <w:tcW w:w="1540" w:type="dxa"/>
            <w:shd w:val="clear" w:color="000000" w:fill="D6DCE4"/>
            <w:vAlign w:val="center"/>
          </w:tcPr>
          <w:p w14:paraId="304C0B98">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依据备忘录</w:t>
            </w:r>
          </w:p>
        </w:tc>
        <w:tc>
          <w:tcPr>
            <w:tcW w:w="1138" w:type="dxa"/>
            <w:shd w:val="clear" w:color="000000" w:fill="D6DCE4"/>
            <w:vAlign w:val="center"/>
          </w:tcPr>
          <w:p w14:paraId="7CA40A4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事项类型</w:t>
            </w:r>
          </w:p>
        </w:tc>
        <w:tc>
          <w:tcPr>
            <w:tcW w:w="2200" w:type="dxa"/>
            <w:shd w:val="clear" w:color="000000" w:fill="D6DCE4"/>
            <w:vAlign w:val="center"/>
          </w:tcPr>
          <w:p w14:paraId="51CC183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w:t>
            </w:r>
          </w:p>
        </w:tc>
        <w:tc>
          <w:tcPr>
            <w:tcW w:w="1138" w:type="dxa"/>
            <w:shd w:val="clear" w:color="000000" w:fill="D6DCE4"/>
            <w:vAlign w:val="center"/>
          </w:tcPr>
          <w:p w14:paraId="6A5DF36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行使层级</w:t>
            </w:r>
          </w:p>
        </w:tc>
        <w:tc>
          <w:tcPr>
            <w:tcW w:w="961" w:type="dxa"/>
            <w:shd w:val="clear" w:color="000000" w:fill="D6DCE4"/>
            <w:vAlign w:val="center"/>
          </w:tcPr>
          <w:p w14:paraId="133154D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是否进驻大厅</w:t>
            </w:r>
          </w:p>
        </w:tc>
        <w:tc>
          <w:tcPr>
            <w:tcW w:w="3090" w:type="dxa"/>
            <w:gridSpan w:val="2"/>
            <w:shd w:val="clear" w:color="000000" w:fill="D6DCE4"/>
            <w:vAlign w:val="center"/>
          </w:tcPr>
          <w:p w14:paraId="0B05E63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应用事项法律及政策依据</w:t>
            </w:r>
          </w:p>
        </w:tc>
      </w:tr>
      <w:tr w14:paraId="65F4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5" w:hRule="atLeast"/>
          <w:jc w:val="center"/>
        </w:trPr>
        <w:tc>
          <w:tcPr>
            <w:tcW w:w="700" w:type="dxa"/>
            <w:shd w:val="clear" w:color="auto" w:fill="auto"/>
            <w:vAlign w:val="center"/>
          </w:tcPr>
          <w:p w14:paraId="0F714F0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gridSpan w:val="2"/>
            <w:shd w:val="clear" w:color="auto" w:fill="auto"/>
            <w:vAlign w:val="center"/>
          </w:tcPr>
          <w:p w14:paraId="4817411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shd w:val="clear" w:color="auto" w:fill="auto"/>
            <w:vAlign w:val="center"/>
          </w:tcPr>
          <w:p w14:paraId="5932D00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最高人民法院公布的失信被执行人（包括法人和非法人组织、自然人）</w:t>
            </w:r>
          </w:p>
        </w:tc>
        <w:tc>
          <w:tcPr>
            <w:tcW w:w="792" w:type="dxa"/>
            <w:shd w:val="clear" w:color="auto" w:fill="auto"/>
            <w:vAlign w:val="center"/>
          </w:tcPr>
          <w:p w14:paraId="7FB1CA3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0" w:type="dxa"/>
            <w:shd w:val="clear" w:color="auto" w:fill="auto"/>
            <w:vAlign w:val="center"/>
          </w:tcPr>
          <w:p w14:paraId="1317286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交通运输</w:t>
            </w:r>
            <w:r>
              <w:rPr>
                <w:rFonts w:hint="eastAsia" w:ascii="微软雅黑" w:hAnsi="微软雅黑" w:eastAsia="微软雅黑" w:cs="宋体"/>
                <w:kern w:val="0"/>
                <w:sz w:val="20"/>
                <w:szCs w:val="20"/>
                <w:lang w:eastAsia="zh-CN"/>
              </w:rPr>
              <w:t>局</w:t>
            </w:r>
          </w:p>
        </w:tc>
        <w:tc>
          <w:tcPr>
            <w:tcW w:w="2066" w:type="dxa"/>
            <w:shd w:val="clear" w:color="auto" w:fill="auto"/>
            <w:vAlign w:val="center"/>
          </w:tcPr>
          <w:p w14:paraId="063D663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协助查询失信被执行人客运、货运车辆等登记信息</w:t>
            </w:r>
          </w:p>
        </w:tc>
        <w:tc>
          <w:tcPr>
            <w:tcW w:w="1122" w:type="dxa"/>
            <w:shd w:val="clear" w:color="auto" w:fill="auto"/>
            <w:vAlign w:val="center"/>
          </w:tcPr>
          <w:p w14:paraId="786DBD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25" w:type="dxa"/>
            <w:shd w:val="clear" w:color="auto" w:fill="auto"/>
            <w:vAlign w:val="center"/>
          </w:tcPr>
          <w:p w14:paraId="233D98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44" w:type="dxa"/>
            <w:shd w:val="clear" w:color="auto" w:fill="auto"/>
            <w:vAlign w:val="center"/>
          </w:tcPr>
          <w:p w14:paraId="3995907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540" w:type="dxa"/>
            <w:shd w:val="clear" w:color="auto" w:fill="auto"/>
            <w:vAlign w:val="center"/>
          </w:tcPr>
          <w:p w14:paraId="6B7D2CD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8" w:type="dxa"/>
            <w:shd w:val="clear" w:color="auto" w:fill="auto"/>
            <w:vAlign w:val="center"/>
          </w:tcPr>
          <w:p w14:paraId="2EC192A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00" w:type="dxa"/>
            <w:shd w:val="clear" w:color="auto" w:fill="auto"/>
            <w:vAlign w:val="center"/>
          </w:tcPr>
          <w:p w14:paraId="2A9D3AF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8" w:type="dxa"/>
            <w:shd w:val="clear" w:color="auto" w:fill="auto"/>
            <w:vAlign w:val="center"/>
          </w:tcPr>
          <w:p w14:paraId="24D0748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62" w:type="dxa"/>
            <w:gridSpan w:val="2"/>
            <w:shd w:val="clear" w:color="auto" w:fill="auto"/>
            <w:vAlign w:val="center"/>
          </w:tcPr>
          <w:p w14:paraId="54394547">
            <w:pPr>
              <w:widowControl/>
              <w:spacing w:line="240" w:lineRule="auto"/>
              <w:ind w:firstLine="0" w:firstLineChars="0"/>
              <w:jc w:val="center"/>
              <w:rPr>
                <w:rFonts w:ascii="微软雅黑" w:hAnsi="微软雅黑" w:eastAsia="微软雅黑" w:cs="宋体"/>
                <w:kern w:val="0"/>
                <w:sz w:val="20"/>
                <w:szCs w:val="20"/>
              </w:rPr>
            </w:pPr>
          </w:p>
        </w:tc>
        <w:tc>
          <w:tcPr>
            <w:tcW w:w="3089" w:type="dxa"/>
            <w:shd w:val="clear" w:color="auto" w:fill="auto"/>
            <w:vAlign w:val="center"/>
          </w:tcPr>
          <w:p w14:paraId="6DC29A04">
            <w:pPr>
              <w:widowControl/>
              <w:spacing w:line="240" w:lineRule="auto"/>
              <w:ind w:firstLine="0" w:firstLineChars="0"/>
              <w:rPr>
                <w:rFonts w:ascii="微软雅黑" w:hAnsi="微软雅黑" w:eastAsia="微软雅黑" w:cs="宋体"/>
                <w:kern w:val="0"/>
                <w:sz w:val="20"/>
                <w:szCs w:val="20"/>
              </w:rPr>
            </w:pPr>
          </w:p>
        </w:tc>
      </w:tr>
      <w:tr w14:paraId="342E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1" w:hRule="atLeast"/>
          <w:jc w:val="center"/>
        </w:trPr>
        <w:tc>
          <w:tcPr>
            <w:tcW w:w="22102" w:type="dxa"/>
            <w:gridSpan w:val="18"/>
            <w:shd w:val="clear" w:color="auto" w:fill="auto"/>
            <w:vAlign w:val="center"/>
          </w:tcPr>
          <w:p w14:paraId="5F66D2A6">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5700608F">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第二百四十二条 被执行人未按执行通知履行法律文书确定的义务，人民法院有权向有关单位查询被执行人的存款、债券、股票、基金份额等财产情况。人民法院有权根据不同情形扣押、冻结、划拨、变价被执行人的财产。</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人民法院决定扣押、冻结、划拨、变价财产，应当作出裁定，并发出协助执行通知书，有关单位必须办理。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第二百五十一条 在执行中，需要办理有关财产权证照转移手续的，人民法院可以向有关单位发出协助执行通知书，有关单位必须办理。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2.最高人民法院关于适用《中华人民共和国民事诉讼法》的解释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第九十四条 民事诉讼法第六十四条第二款规定的当事人及其诉讼代理人因客观原因不能自行收集的证据包括：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（一）证据由国家有关部门保存，当事人及其诉讼代理人无权查阅调取的；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（二）涉及国家秘密、商业秘密或者个人隐私的；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（三）当事人及其诉讼代理人因客观原因不能自行收集的其他证据。</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当事人及其诉讼代理人因客观原因不能自行收集的证据，可以在举证期限届满前书面申请人民法院调查收集。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第九十六条 民事诉讼法第六十四条第二款规定的人民法院认为审理案件需要的证据包括：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（一）涉及可能损害国家利益、社会公共利益的；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（二）涉及身份关系的；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第四百八十五条 人民法院有权查询被执行人的身份信息与财产信息，掌握相关信息的单位和个人必须按照协助执行通知书办理。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第十条 司法行政部门应当加强法制宣传教育，提高人民群众的法律意识，提高债务人主动履行生效法律文书的自觉性。对各级领导干部加强依法支持人民法院执行工作的观念教育，克服地方和部门保护主义思想。对监狱、劳教单位作为被执行人的案件，督促被执行人及时履行。指导律师、公证人员和基层法律服务工作者做好当事人工作，积极履行生效法律文书确定的义务。监狱、劳教所、强制隔离戒毒所对服刑、劳教人员和强制隔离戒毒人员作为被执行人的案件，积极协助人民法院依法执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4.《国务院关于促进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场公平竞争维护</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场正常秩序的若干意见》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第四部分第（十五）条 建立健全守信激励和失信惩戒机制。将</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场主体的信用信息作为实施行政管理的重要参考。根据</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场主体信用状况实行分类分级、动态监管，建立健全经营异常名录制度，对违背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场竞争原则和侵犯消费者、劳动者合法权益的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建立“黑名单”制度。（工商总局牵头负责）对守信主体予以支持和激励，对失信主体在经营、投融资、取得政府供应土地、进出口、出入境、注册新公司、工程招投标、政府采购、获得荣誉、安全许可、生产许可、从业任职资格、资质审核等方面依法予以限制或禁止，对严重违法失信主体实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场禁入制度。（各相关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场监管部门按职责分工分别负责）</w:t>
            </w:r>
          </w:p>
        </w:tc>
      </w:tr>
      <w:tr w14:paraId="18CB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7" w:hRule="atLeast"/>
          <w:jc w:val="center"/>
        </w:trPr>
        <w:tc>
          <w:tcPr>
            <w:tcW w:w="700" w:type="dxa"/>
            <w:shd w:val="clear" w:color="auto" w:fill="auto"/>
            <w:vAlign w:val="center"/>
          </w:tcPr>
          <w:p w14:paraId="313FE23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gridSpan w:val="2"/>
            <w:shd w:val="clear" w:color="auto" w:fill="auto"/>
            <w:vAlign w:val="center"/>
          </w:tcPr>
          <w:p w14:paraId="48CA32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shd w:val="clear" w:color="auto" w:fill="auto"/>
            <w:vAlign w:val="center"/>
          </w:tcPr>
          <w:p w14:paraId="2B94E13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失信被执行人的下列人员：投标人、招标代理机构、评标专家以及其他招标从业人员。</w:t>
            </w:r>
          </w:p>
        </w:tc>
        <w:tc>
          <w:tcPr>
            <w:tcW w:w="792" w:type="dxa"/>
            <w:shd w:val="clear" w:color="auto" w:fill="auto"/>
            <w:vAlign w:val="center"/>
          </w:tcPr>
          <w:p w14:paraId="2281DD8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0" w:type="dxa"/>
            <w:shd w:val="clear" w:color="auto" w:fill="auto"/>
            <w:vAlign w:val="center"/>
          </w:tcPr>
          <w:p w14:paraId="3F43073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交通运输</w:t>
            </w:r>
            <w:r>
              <w:rPr>
                <w:rFonts w:hint="eastAsia" w:ascii="微软雅黑" w:hAnsi="微软雅黑" w:eastAsia="微软雅黑" w:cs="宋体"/>
                <w:kern w:val="0"/>
                <w:sz w:val="20"/>
                <w:szCs w:val="20"/>
                <w:lang w:eastAsia="zh-CN"/>
              </w:rPr>
              <w:t>局</w:t>
            </w:r>
          </w:p>
        </w:tc>
        <w:tc>
          <w:tcPr>
            <w:tcW w:w="2066" w:type="dxa"/>
            <w:shd w:val="clear" w:color="auto" w:fill="auto"/>
            <w:vAlign w:val="center"/>
          </w:tcPr>
          <w:p w14:paraId="724BF93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限制失信被执行人的投标活动：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依法必须进行招标的工程建设项目，招标人应当在资格预审公告、招标公告、投标邀请书及资格预审文件、招标文件中明确规定对失信被执行人的处理方法和评标标准，在评标阶段，招标人或者招标代理机构、评标专家委员会应当查询投标人是否为失信被执行人，对属于失信被执行人的投标活动依法予以限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两个以上的自然人、法人或者其他组织组成一个联合体，以一个投标人的身份共同参加投标活动的，应当对所有联合体成员进行失信被执行人信息查询。联合体中有一个或一个以上成员属于失信被执行人的，联合体视为失信被执行人</w:t>
            </w:r>
          </w:p>
        </w:tc>
        <w:tc>
          <w:tcPr>
            <w:tcW w:w="1122" w:type="dxa"/>
            <w:shd w:val="clear" w:color="auto" w:fill="auto"/>
            <w:vAlign w:val="center"/>
          </w:tcPr>
          <w:p w14:paraId="01F38A5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25" w:type="dxa"/>
            <w:shd w:val="clear" w:color="auto" w:fill="auto"/>
            <w:vAlign w:val="center"/>
          </w:tcPr>
          <w:p w14:paraId="57D33C4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44" w:type="dxa"/>
            <w:shd w:val="clear" w:color="auto" w:fill="auto"/>
            <w:vAlign w:val="center"/>
          </w:tcPr>
          <w:p w14:paraId="176877D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163DD9C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08C05A2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6B5E56C4">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4.《最高人民法院关于公布失信被执行人名单信息的若干规定》。</w:t>
            </w:r>
          </w:p>
        </w:tc>
        <w:tc>
          <w:tcPr>
            <w:tcW w:w="1540" w:type="dxa"/>
            <w:shd w:val="clear" w:color="auto" w:fill="auto"/>
            <w:vAlign w:val="center"/>
          </w:tcPr>
          <w:p w14:paraId="45E5A0D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　</w:t>
            </w:r>
          </w:p>
        </w:tc>
        <w:tc>
          <w:tcPr>
            <w:tcW w:w="1138" w:type="dxa"/>
            <w:shd w:val="clear" w:color="auto" w:fill="auto"/>
            <w:vAlign w:val="center"/>
          </w:tcPr>
          <w:p w14:paraId="7C39015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00" w:type="dxa"/>
            <w:shd w:val="clear" w:color="auto" w:fill="auto"/>
            <w:vAlign w:val="center"/>
          </w:tcPr>
          <w:p w14:paraId="05B9E19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8" w:type="dxa"/>
            <w:shd w:val="clear" w:color="auto" w:fill="auto"/>
            <w:vAlign w:val="center"/>
          </w:tcPr>
          <w:p w14:paraId="25F0CC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62" w:type="dxa"/>
            <w:gridSpan w:val="2"/>
            <w:shd w:val="clear" w:color="auto" w:fill="auto"/>
            <w:vAlign w:val="center"/>
          </w:tcPr>
          <w:p w14:paraId="07FE9F6E">
            <w:pPr>
              <w:widowControl/>
              <w:spacing w:line="240" w:lineRule="auto"/>
              <w:ind w:firstLine="0" w:firstLineChars="0"/>
              <w:rPr>
                <w:rFonts w:ascii="微软雅黑" w:hAnsi="微软雅黑" w:eastAsia="微软雅黑" w:cs="宋体"/>
                <w:kern w:val="0"/>
                <w:sz w:val="20"/>
                <w:szCs w:val="20"/>
              </w:rPr>
            </w:pPr>
          </w:p>
        </w:tc>
        <w:tc>
          <w:tcPr>
            <w:tcW w:w="3089" w:type="dxa"/>
            <w:shd w:val="clear" w:color="auto" w:fill="auto"/>
            <w:vAlign w:val="center"/>
          </w:tcPr>
          <w:p w14:paraId="341053E3">
            <w:pPr>
              <w:widowControl/>
              <w:spacing w:line="240" w:lineRule="auto"/>
              <w:ind w:firstLine="0" w:firstLineChars="0"/>
              <w:rPr>
                <w:rFonts w:ascii="微软雅黑" w:hAnsi="微软雅黑" w:eastAsia="微软雅黑" w:cs="宋体"/>
                <w:kern w:val="0"/>
                <w:sz w:val="20"/>
                <w:szCs w:val="20"/>
              </w:rPr>
            </w:pPr>
          </w:p>
        </w:tc>
      </w:tr>
      <w:tr w14:paraId="264C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6" w:hRule="atLeast"/>
          <w:jc w:val="center"/>
        </w:trPr>
        <w:tc>
          <w:tcPr>
            <w:tcW w:w="700" w:type="dxa"/>
            <w:tcBorders>
              <w:bottom w:val="single" w:color="auto" w:sz="4" w:space="0"/>
            </w:tcBorders>
            <w:shd w:val="clear" w:color="auto" w:fill="auto"/>
            <w:vAlign w:val="center"/>
          </w:tcPr>
          <w:p w14:paraId="78CB596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gridSpan w:val="2"/>
            <w:tcBorders>
              <w:bottom w:val="single" w:color="auto" w:sz="4" w:space="0"/>
            </w:tcBorders>
            <w:shd w:val="clear" w:color="auto" w:fill="auto"/>
            <w:vAlign w:val="center"/>
          </w:tcPr>
          <w:p w14:paraId="22395E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gridSpan w:val="2"/>
            <w:tcBorders>
              <w:bottom w:val="single" w:color="auto" w:sz="4" w:space="0"/>
            </w:tcBorders>
            <w:shd w:val="clear" w:color="auto" w:fill="auto"/>
            <w:vAlign w:val="center"/>
          </w:tcPr>
          <w:p w14:paraId="0EAA797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792" w:type="dxa"/>
            <w:tcBorders>
              <w:bottom w:val="single" w:color="auto" w:sz="4" w:space="0"/>
            </w:tcBorders>
            <w:shd w:val="clear" w:color="auto" w:fill="auto"/>
            <w:vAlign w:val="center"/>
          </w:tcPr>
          <w:p w14:paraId="75889C9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0" w:type="dxa"/>
            <w:tcBorders>
              <w:bottom w:val="single" w:color="auto" w:sz="4" w:space="0"/>
            </w:tcBorders>
            <w:shd w:val="clear" w:color="auto" w:fill="auto"/>
            <w:vAlign w:val="center"/>
          </w:tcPr>
          <w:p w14:paraId="605361D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交通运输</w:t>
            </w:r>
            <w:r>
              <w:rPr>
                <w:rFonts w:hint="eastAsia" w:ascii="微软雅黑" w:hAnsi="微软雅黑" w:eastAsia="微软雅黑" w:cs="宋体"/>
                <w:kern w:val="0"/>
                <w:sz w:val="20"/>
                <w:szCs w:val="20"/>
                <w:lang w:eastAsia="zh-CN"/>
              </w:rPr>
              <w:t>局</w:t>
            </w:r>
          </w:p>
        </w:tc>
        <w:tc>
          <w:tcPr>
            <w:tcW w:w="2066" w:type="dxa"/>
            <w:tcBorders>
              <w:bottom w:val="single" w:color="auto" w:sz="4" w:space="0"/>
            </w:tcBorders>
            <w:shd w:val="clear" w:color="auto" w:fill="auto"/>
            <w:vAlign w:val="center"/>
          </w:tcPr>
          <w:p w14:paraId="1DCA336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限制失信被执行人的招标从业活动：招标人在聘用招标从业人员前，应当明确规定对失信被执行人的处理办法，查询相关人员的失信被执行人信息，对属于失信被执行人的招标从业人员应按照规定进行处理</w:t>
            </w:r>
          </w:p>
        </w:tc>
        <w:tc>
          <w:tcPr>
            <w:tcW w:w="1122" w:type="dxa"/>
            <w:tcBorders>
              <w:bottom w:val="single" w:color="auto" w:sz="4" w:space="0"/>
            </w:tcBorders>
            <w:shd w:val="clear" w:color="auto" w:fill="auto"/>
            <w:vAlign w:val="center"/>
          </w:tcPr>
          <w:p w14:paraId="12871B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25" w:type="dxa"/>
            <w:tcBorders>
              <w:bottom w:val="single" w:color="auto" w:sz="4" w:space="0"/>
            </w:tcBorders>
            <w:shd w:val="clear" w:color="auto" w:fill="auto"/>
            <w:vAlign w:val="center"/>
          </w:tcPr>
          <w:p w14:paraId="4C9DD60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3044" w:type="dxa"/>
            <w:tcBorders>
              <w:bottom w:val="single" w:color="auto" w:sz="4" w:space="0"/>
            </w:tcBorders>
            <w:shd w:val="clear" w:color="auto" w:fill="auto"/>
            <w:vAlign w:val="center"/>
          </w:tcPr>
          <w:p w14:paraId="6AACEA5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0B24560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1E0DEAD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6A68911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4.《最高人民法院关于公布失信被执行人名单信息的若干规定》。</w:t>
            </w:r>
          </w:p>
        </w:tc>
        <w:tc>
          <w:tcPr>
            <w:tcW w:w="1540" w:type="dxa"/>
            <w:tcBorders>
              <w:bottom w:val="single" w:color="auto" w:sz="4" w:space="0"/>
            </w:tcBorders>
            <w:shd w:val="clear" w:color="auto" w:fill="auto"/>
            <w:vAlign w:val="center"/>
          </w:tcPr>
          <w:p w14:paraId="2155EF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《关于在招标投标活动中对失信被执行人实施联合惩戒的通知》（法〔2016〕285号）</w:t>
            </w:r>
          </w:p>
        </w:tc>
        <w:tc>
          <w:tcPr>
            <w:tcW w:w="1138" w:type="dxa"/>
            <w:tcBorders>
              <w:bottom w:val="single" w:color="auto" w:sz="4" w:space="0"/>
            </w:tcBorders>
            <w:shd w:val="clear" w:color="auto" w:fill="auto"/>
            <w:vAlign w:val="center"/>
          </w:tcPr>
          <w:p w14:paraId="39F4784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00" w:type="dxa"/>
            <w:tcBorders>
              <w:bottom w:val="single" w:color="auto" w:sz="4" w:space="0"/>
            </w:tcBorders>
            <w:shd w:val="clear" w:color="auto" w:fill="auto"/>
            <w:vAlign w:val="center"/>
          </w:tcPr>
          <w:p w14:paraId="59E746C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38" w:type="dxa"/>
            <w:tcBorders>
              <w:bottom w:val="single" w:color="auto" w:sz="4" w:space="0"/>
            </w:tcBorders>
            <w:shd w:val="clear" w:color="auto" w:fill="auto"/>
            <w:vAlign w:val="center"/>
          </w:tcPr>
          <w:p w14:paraId="08712F5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62" w:type="dxa"/>
            <w:gridSpan w:val="2"/>
            <w:tcBorders>
              <w:bottom w:val="single" w:color="auto" w:sz="4" w:space="0"/>
            </w:tcBorders>
            <w:shd w:val="clear" w:color="auto" w:fill="auto"/>
            <w:vAlign w:val="center"/>
          </w:tcPr>
          <w:p w14:paraId="39BE5339">
            <w:pPr>
              <w:widowControl/>
              <w:spacing w:line="240" w:lineRule="auto"/>
              <w:ind w:firstLine="0" w:firstLineChars="0"/>
              <w:rPr>
                <w:rFonts w:ascii="微软雅黑" w:hAnsi="微软雅黑" w:eastAsia="微软雅黑" w:cs="宋体"/>
                <w:kern w:val="0"/>
                <w:sz w:val="20"/>
                <w:szCs w:val="20"/>
              </w:rPr>
            </w:pPr>
          </w:p>
        </w:tc>
        <w:tc>
          <w:tcPr>
            <w:tcW w:w="3089" w:type="dxa"/>
            <w:tcBorders>
              <w:bottom w:val="single" w:color="auto" w:sz="4" w:space="0"/>
            </w:tcBorders>
            <w:shd w:val="clear" w:color="auto" w:fill="auto"/>
            <w:vAlign w:val="center"/>
          </w:tcPr>
          <w:p w14:paraId="2ED06E39">
            <w:pPr>
              <w:widowControl/>
              <w:spacing w:line="240" w:lineRule="auto"/>
              <w:ind w:firstLine="0" w:firstLineChars="0"/>
              <w:rPr>
                <w:rFonts w:ascii="微软雅黑" w:hAnsi="微软雅黑" w:eastAsia="微软雅黑" w:cs="宋体"/>
                <w:kern w:val="0"/>
                <w:sz w:val="20"/>
                <w:szCs w:val="20"/>
              </w:rPr>
            </w:pPr>
          </w:p>
        </w:tc>
      </w:tr>
    </w:tbl>
    <w:p w14:paraId="4A2F26E9">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956"/>
        <w:gridCol w:w="1564"/>
        <w:gridCol w:w="1157"/>
        <w:gridCol w:w="2143"/>
        <w:gridCol w:w="1157"/>
        <w:gridCol w:w="986"/>
        <w:gridCol w:w="3078"/>
      </w:tblGrid>
      <w:tr w14:paraId="627A1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3353B1C1">
            <w:pPr>
              <w:pStyle w:val="2"/>
              <w:rPr>
                <w:rFonts w:hint="eastAsia" w:eastAsia="华文中宋"/>
                <w:lang w:eastAsia="zh-CN"/>
              </w:rPr>
            </w:pPr>
            <w:bookmarkStart w:id="18" w:name="_Toc20473861"/>
            <w:r>
              <w:rPr>
                <w:rFonts w:hint="eastAsia"/>
                <w:lang w:val="en-US" w:eastAsia="zh-CN"/>
              </w:rPr>
              <w:t>19</w:t>
            </w:r>
            <w:r>
              <w:rPr>
                <w:rFonts w:hint="eastAsia"/>
              </w:rPr>
              <w:t>、</w:t>
            </w:r>
            <w:r>
              <w:rPr>
                <w:rFonts w:hint="eastAsia"/>
                <w:lang w:eastAsia="zh-CN"/>
              </w:rPr>
              <w:t>县</w:t>
            </w:r>
            <w:r>
              <w:rPr>
                <w:rFonts w:hint="eastAsia"/>
              </w:rPr>
              <w:t>水利</w:t>
            </w:r>
            <w:bookmarkEnd w:id="18"/>
            <w:r>
              <w:rPr>
                <w:rFonts w:hint="eastAsia"/>
                <w:lang w:eastAsia="zh-CN"/>
              </w:rPr>
              <w:t>局</w:t>
            </w:r>
          </w:p>
        </w:tc>
      </w:tr>
      <w:tr w14:paraId="0355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54B08DE6">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881" w:type="dxa"/>
            <w:gridSpan w:val="9"/>
            <w:shd w:val="clear" w:color="000000" w:fill="D6DCE4"/>
            <w:vAlign w:val="center"/>
          </w:tcPr>
          <w:p w14:paraId="75EEE06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521" w:type="dxa"/>
            <w:gridSpan w:val="5"/>
            <w:shd w:val="clear" w:color="000000" w:fill="D6DCE4"/>
            <w:vAlign w:val="center"/>
          </w:tcPr>
          <w:p w14:paraId="28EA9007">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3E96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14A0C878">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3CE0896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7F70624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3850BB6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559D14D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7FA3C9B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189834C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7D30E96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956" w:type="dxa"/>
            <w:shd w:val="clear" w:color="000000" w:fill="D6DCE4"/>
            <w:vAlign w:val="center"/>
          </w:tcPr>
          <w:p w14:paraId="528D932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564" w:type="dxa"/>
            <w:shd w:val="clear" w:color="000000" w:fill="D6DCE4"/>
            <w:vAlign w:val="center"/>
          </w:tcPr>
          <w:p w14:paraId="0978BAD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57" w:type="dxa"/>
            <w:shd w:val="clear" w:color="000000" w:fill="D6DCE4"/>
            <w:vAlign w:val="center"/>
          </w:tcPr>
          <w:p w14:paraId="31F6D92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43" w:type="dxa"/>
            <w:shd w:val="clear" w:color="000000" w:fill="D6DCE4"/>
            <w:vAlign w:val="center"/>
          </w:tcPr>
          <w:p w14:paraId="10EA1EF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57" w:type="dxa"/>
            <w:shd w:val="clear" w:color="000000" w:fill="D6DCE4"/>
            <w:vAlign w:val="center"/>
          </w:tcPr>
          <w:p w14:paraId="7150E13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86" w:type="dxa"/>
            <w:shd w:val="clear" w:color="000000" w:fill="D6DCE4"/>
            <w:vAlign w:val="center"/>
          </w:tcPr>
          <w:p w14:paraId="4F3B5C8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78" w:type="dxa"/>
            <w:shd w:val="clear" w:color="000000" w:fill="D6DCE4"/>
            <w:vAlign w:val="center"/>
          </w:tcPr>
          <w:p w14:paraId="42974A5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5073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700" w:type="dxa"/>
            <w:shd w:val="clear" w:color="auto" w:fill="auto"/>
            <w:vAlign w:val="center"/>
          </w:tcPr>
          <w:p w14:paraId="7913236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376A1A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C0F785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shd w:val="clear" w:color="auto" w:fill="auto"/>
            <w:vAlign w:val="center"/>
          </w:tcPr>
          <w:p w14:paraId="2172A91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7EC7C5C2">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水利</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6ED6948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投标活动：1、依法必须进行招标的工程建设项目，招标人应当在资格预审公告、招标公告、投标邀请书及资格预审文件、招标文件中明确规定对失信被执行人的处理方法和评标标准，在评标阶段，招标人或者招标代理机构应当查询投标人是否为失信被执行人，对投标活动依法予以限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两个以上的自然人、法人或者其他组织组成一个联合体，以一个投标人的身份共同参加投标活动的，应当对所有联合体成员进行失信被执行人信息查询。联合体中有一个或一个以上成员属于失信被执行人的，联合体视为失信被执行人</w:t>
            </w:r>
          </w:p>
        </w:tc>
        <w:tc>
          <w:tcPr>
            <w:tcW w:w="1131" w:type="dxa"/>
            <w:shd w:val="clear" w:color="auto" w:fill="auto"/>
            <w:vAlign w:val="center"/>
          </w:tcPr>
          <w:p w14:paraId="1693C1A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70BBCD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2956" w:type="dxa"/>
            <w:shd w:val="clear" w:color="auto" w:fill="auto"/>
            <w:vAlign w:val="center"/>
          </w:tcPr>
          <w:p w14:paraId="1AF4B2B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1204ABE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3887546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27BC783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64" w:type="dxa"/>
            <w:shd w:val="clear" w:color="auto" w:fill="auto"/>
            <w:vAlign w:val="center"/>
          </w:tcPr>
          <w:p w14:paraId="1DDF0A6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57" w:type="dxa"/>
            <w:shd w:val="clear" w:color="auto" w:fill="auto"/>
            <w:vAlign w:val="center"/>
          </w:tcPr>
          <w:p w14:paraId="2D76ABE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其他行政权力</w:t>
            </w:r>
          </w:p>
        </w:tc>
        <w:tc>
          <w:tcPr>
            <w:tcW w:w="2143" w:type="dxa"/>
            <w:shd w:val="clear" w:color="auto" w:fill="auto"/>
            <w:vAlign w:val="center"/>
          </w:tcPr>
          <w:p w14:paraId="64CB256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水利工程招标报告备案</w:t>
            </w:r>
          </w:p>
        </w:tc>
        <w:tc>
          <w:tcPr>
            <w:tcW w:w="1157" w:type="dxa"/>
            <w:shd w:val="clear" w:color="auto" w:fill="auto"/>
            <w:vAlign w:val="center"/>
          </w:tcPr>
          <w:p w14:paraId="538E335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86" w:type="dxa"/>
            <w:shd w:val="clear" w:color="auto" w:fill="auto"/>
            <w:vAlign w:val="center"/>
          </w:tcPr>
          <w:p w14:paraId="115D0B1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8" w:type="dxa"/>
            <w:shd w:val="clear" w:color="auto" w:fill="auto"/>
            <w:vAlign w:val="center"/>
          </w:tcPr>
          <w:p w14:paraId="4182FFE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1.《中华人民共和国招标投标法》第七条；</w:t>
            </w:r>
          </w:p>
          <w:p w14:paraId="5D2AA45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2.《中华人民共和国招标投标法实施条例》第七条。</w:t>
            </w:r>
          </w:p>
        </w:tc>
      </w:tr>
      <w:tr w14:paraId="2A46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700" w:type="dxa"/>
            <w:shd w:val="clear" w:color="auto" w:fill="auto"/>
            <w:vAlign w:val="center"/>
          </w:tcPr>
          <w:p w14:paraId="300970B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vAlign w:val="center"/>
          </w:tcPr>
          <w:p w14:paraId="47A46F3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B6A167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shd w:val="clear" w:color="auto" w:fill="auto"/>
            <w:vAlign w:val="center"/>
          </w:tcPr>
          <w:p w14:paraId="27050E3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4001C3A6">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水利</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105D682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限制失信被执行人的招标代理活动：招标人委托招标代理机构开展招标事宜的，应当查询其失信被执行人信息，鼓励优先选择无失信记录的招标代理机构</w:t>
            </w:r>
          </w:p>
        </w:tc>
        <w:tc>
          <w:tcPr>
            <w:tcW w:w="1131" w:type="dxa"/>
            <w:shd w:val="clear" w:color="auto" w:fill="auto"/>
            <w:vAlign w:val="center"/>
          </w:tcPr>
          <w:p w14:paraId="69D7B62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5D9F6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2956" w:type="dxa"/>
            <w:shd w:val="clear" w:color="auto" w:fill="auto"/>
            <w:vAlign w:val="center"/>
          </w:tcPr>
          <w:p w14:paraId="2344385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5BCDD2D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7EE0138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0A3BB3B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64" w:type="dxa"/>
            <w:shd w:val="clear" w:color="auto" w:fill="auto"/>
            <w:vAlign w:val="center"/>
          </w:tcPr>
          <w:p w14:paraId="2CCEF30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57" w:type="dxa"/>
            <w:shd w:val="clear" w:color="auto" w:fill="auto"/>
            <w:vAlign w:val="center"/>
          </w:tcPr>
          <w:p w14:paraId="765B329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143" w:type="dxa"/>
            <w:shd w:val="clear" w:color="auto" w:fill="auto"/>
            <w:vAlign w:val="center"/>
          </w:tcPr>
          <w:p w14:paraId="455F30D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水利工程招标报告备案</w:t>
            </w:r>
          </w:p>
        </w:tc>
        <w:tc>
          <w:tcPr>
            <w:tcW w:w="1157" w:type="dxa"/>
            <w:shd w:val="clear" w:color="auto" w:fill="auto"/>
            <w:vAlign w:val="center"/>
          </w:tcPr>
          <w:p w14:paraId="628FC3F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86" w:type="dxa"/>
            <w:vAlign w:val="center"/>
          </w:tcPr>
          <w:p w14:paraId="1EA16B0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8" w:type="dxa"/>
            <w:vAlign w:val="center"/>
          </w:tcPr>
          <w:p w14:paraId="0C20996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1.《中华人民共和国招标投标法》第七条；</w:t>
            </w:r>
          </w:p>
          <w:p w14:paraId="5F440BF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2.《中华人民共和国招标投标法实施条例》第七条。</w:t>
            </w:r>
          </w:p>
        </w:tc>
      </w:tr>
      <w:tr w14:paraId="170EF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700" w:type="dxa"/>
            <w:tcBorders>
              <w:bottom w:val="single" w:color="auto" w:sz="4" w:space="0"/>
            </w:tcBorders>
            <w:shd w:val="clear" w:color="auto" w:fill="auto"/>
            <w:vAlign w:val="center"/>
          </w:tcPr>
          <w:p w14:paraId="2D8DD81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tcBorders>
              <w:bottom w:val="single" w:color="auto" w:sz="4" w:space="0"/>
            </w:tcBorders>
            <w:vAlign w:val="center"/>
          </w:tcPr>
          <w:p w14:paraId="122A477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vAlign w:val="center"/>
          </w:tcPr>
          <w:p w14:paraId="719FE41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tcBorders>
              <w:bottom w:val="single" w:color="auto" w:sz="4" w:space="0"/>
            </w:tcBorders>
            <w:shd w:val="clear" w:color="auto" w:fill="auto"/>
            <w:vAlign w:val="center"/>
          </w:tcPr>
          <w:p w14:paraId="4ECECDF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tcBorders>
              <w:bottom w:val="single" w:color="auto" w:sz="4" w:space="0"/>
            </w:tcBorders>
            <w:vAlign w:val="center"/>
          </w:tcPr>
          <w:p w14:paraId="494DF12C">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水利</w:t>
            </w:r>
            <w:r>
              <w:rPr>
                <w:rFonts w:hint="eastAsia" w:ascii="微软雅黑" w:hAnsi="微软雅黑" w:eastAsia="微软雅黑" w:cs="宋体"/>
                <w:kern w:val="0"/>
                <w:sz w:val="20"/>
                <w:szCs w:val="20"/>
                <w:lang w:eastAsia="zh-CN"/>
              </w:rPr>
              <w:t>局</w:t>
            </w:r>
          </w:p>
        </w:tc>
        <w:tc>
          <w:tcPr>
            <w:tcW w:w="2082" w:type="dxa"/>
            <w:tcBorders>
              <w:bottom w:val="single" w:color="auto" w:sz="4" w:space="0"/>
            </w:tcBorders>
            <w:shd w:val="clear" w:color="auto" w:fill="auto"/>
            <w:vAlign w:val="center"/>
          </w:tcPr>
          <w:p w14:paraId="7AD9341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招标从业活动：招标人、招标代理机构在聘用招标从业人员前，应当明确规定对失信被执行人的处理办法，查询相关人员的失信被执行人信息，对属于失信被执行人的招标从业人员应按照规定进行处理</w:t>
            </w:r>
          </w:p>
        </w:tc>
        <w:tc>
          <w:tcPr>
            <w:tcW w:w="1131" w:type="dxa"/>
            <w:tcBorders>
              <w:bottom w:val="single" w:color="auto" w:sz="4" w:space="0"/>
            </w:tcBorders>
            <w:shd w:val="clear" w:color="auto" w:fill="auto"/>
            <w:vAlign w:val="center"/>
          </w:tcPr>
          <w:p w14:paraId="7851A65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008D666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2956" w:type="dxa"/>
            <w:tcBorders>
              <w:bottom w:val="single" w:color="auto" w:sz="4" w:space="0"/>
            </w:tcBorders>
            <w:shd w:val="clear" w:color="auto" w:fill="auto"/>
            <w:vAlign w:val="center"/>
          </w:tcPr>
          <w:p w14:paraId="53E3065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43DD6B6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334493C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5ADC90E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564" w:type="dxa"/>
            <w:tcBorders>
              <w:bottom w:val="single" w:color="auto" w:sz="4" w:space="0"/>
            </w:tcBorders>
            <w:shd w:val="clear" w:color="auto" w:fill="auto"/>
            <w:vAlign w:val="center"/>
          </w:tcPr>
          <w:p w14:paraId="7A479F7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157" w:type="dxa"/>
            <w:tcBorders>
              <w:bottom w:val="single" w:color="auto" w:sz="4" w:space="0"/>
            </w:tcBorders>
            <w:shd w:val="clear" w:color="auto" w:fill="auto"/>
            <w:vAlign w:val="center"/>
          </w:tcPr>
          <w:p w14:paraId="0E4AC50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其他行政权力</w:t>
            </w:r>
          </w:p>
        </w:tc>
        <w:tc>
          <w:tcPr>
            <w:tcW w:w="2143" w:type="dxa"/>
            <w:tcBorders>
              <w:bottom w:val="single" w:color="auto" w:sz="4" w:space="0"/>
            </w:tcBorders>
            <w:shd w:val="clear" w:color="auto" w:fill="auto"/>
            <w:vAlign w:val="center"/>
          </w:tcPr>
          <w:p w14:paraId="7ED6E1F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水利工程招标报告备案</w:t>
            </w:r>
          </w:p>
        </w:tc>
        <w:tc>
          <w:tcPr>
            <w:tcW w:w="1157" w:type="dxa"/>
            <w:tcBorders>
              <w:bottom w:val="single" w:color="auto" w:sz="4" w:space="0"/>
            </w:tcBorders>
            <w:shd w:val="clear" w:color="auto" w:fill="auto"/>
            <w:vAlign w:val="center"/>
          </w:tcPr>
          <w:p w14:paraId="6635A29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86" w:type="dxa"/>
            <w:tcBorders>
              <w:bottom w:val="single" w:color="auto" w:sz="4" w:space="0"/>
            </w:tcBorders>
            <w:vAlign w:val="center"/>
          </w:tcPr>
          <w:p w14:paraId="6DC5BA0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78" w:type="dxa"/>
            <w:tcBorders>
              <w:bottom w:val="single" w:color="auto" w:sz="4" w:space="0"/>
            </w:tcBorders>
            <w:vAlign w:val="center"/>
          </w:tcPr>
          <w:p w14:paraId="24BABEB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1.《中华人民共和国招标投标法》第七条；</w:t>
            </w:r>
          </w:p>
          <w:p w14:paraId="2BDFE83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2.《中华人民共和国招标投标法实施条例》第七条。</w:t>
            </w:r>
          </w:p>
        </w:tc>
      </w:tr>
    </w:tbl>
    <w:p w14:paraId="7D404575">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977"/>
        <w:gridCol w:w="1521"/>
        <w:gridCol w:w="1200"/>
        <w:gridCol w:w="2100"/>
        <w:gridCol w:w="1179"/>
        <w:gridCol w:w="986"/>
        <w:gridCol w:w="3078"/>
      </w:tblGrid>
      <w:tr w14:paraId="3BA7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15DF60C4">
            <w:pPr>
              <w:pStyle w:val="2"/>
              <w:rPr>
                <w:rFonts w:hint="eastAsia" w:eastAsia="华文中宋"/>
                <w:lang w:eastAsia="zh-CN"/>
              </w:rPr>
            </w:pPr>
            <w:bookmarkStart w:id="19" w:name="_Toc20473862"/>
            <w:r>
              <w:rPr>
                <w:rFonts w:hint="eastAsia"/>
              </w:rPr>
              <w:t>2</w:t>
            </w:r>
            <w:r>
              <w:rPr>
                <w:rFonts w:hint="eastAsia"/>
                <w:lang w:val="en-US" w:eastAsia="zh-CN"/>
              </w:rPr>
              <w:t>0</w:t>
            </w:r>
            <w:r>
              <w:rPr>
                <w:rFonts w:hint="eastAsia"/>
              </w:rPr>
              <w:t>、</w:t>
            </w:r>
            <w:r>
              <w:rPr>
                <w:rFonts w:hint="eastAsia"/>
                <w:lang w:eastAsia="zh-CN"/>
              </w:rPr>
              <w:t>县</w:t>
            </w:r>
            <w:r>
              <w:rPr>
                <w:rFonts w:hint="eastAsia"/>
              </w:rPr>
              <w:t>农业农村</w:t>
            </w:r>
            <w:bookmarkEnd w:id="19"/>
            <w:r>
              <w:rPr>
                <w:rFonts w:hint="eastAsia"/>
                <w:lang w:eastAsia="zh-CN"/>
              </w:rPr>
              <w:t>局</w:t>
            </w:r>
          </w:p>
        </w:tc>
      </w:tr>
      <w:tr w14:paraId="67E5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02919B5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859" w:type="dxa"/>
            <w:gridSpan w:val="9"/>
            <w:shd w:val="clear" w:color="000000" w:fill="D6DCE4"/>
            <w:vAlign w:val="center"/>
          </w:tcPr>
          <w:p w14:paraId="380F8783">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543" w:type="dxa"/>
            <w:gridSpan w:val="5"/>
            <w:shd w:val="clear" w:color="000000" w:fill="D6DCE4"/>
            <w:vAlign w:val="center"/>
          </w:tcPr>
          <w:p w14:paraId="2EF8DF62">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12EE1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184F722">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331B0C0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32F045E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20C7049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58A523C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2160FAA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40460AB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421C9AB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977" w:type="dxa"/>
            <w:shd w:val="clear" w:color="000000" w:fill="D6DCE4"/>
            <w:vAlign w:val="center"/>
          </w:tcPr>
          <w:p w14:paraId="55AAF20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521" w:type="dxa"/>
            <w:shd w:val="clear" w:color="000000" w:fill="D6DCE4"/>
            <w:vAlign w:val="center"/>
          </w:tcPr>
          <w:p w14:paraId="1750CF9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200" w:type="dxa"/>
            <w:shd w:val="clear" w:color="000000" w:fill="D6DCE4"/>
            <w:vAlign w:val="center"/>
          </w:tcPr>
          <w:p w14:paraId="53032E2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00" w:type="dxa"/>
            <w:shd w:val="clear" w:color="000000" w:fill="D6DCE4"/>
            <w:vAlign w:val="center"/>
          </w:tcPr>
          <w:p w14:paraId="283679B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179" w:type="dxa"/>
            <w:shd w:val="clear" w:color="000000" w:fill="D6DCE4"/>
            <w:vAlign w:val="center"/>
          </w:tcPr>
          <w:p w14:paraId="7D6239E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86" w:type="dxa"/>
            <w:shd w:val="clear" w:color="000000" w:fill="D6DCE4"/>
            <w:vAlign w:val="center"/>
          </w:tcPr>
          <w:p w14:paraId="38286B7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78" w:type="dxa"/>
            <w:shd w:val="clear" w:color="000000" w:fill="D6DCE4"/>
            <w:vAlign w:val="center"/>
          </w:tcPr>
          <w:p w14:paraId="6DBA843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67756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5" w:hRule="atLeast"/>
          <w:jc w:val="center"/>
        </w:trPr>
        <w:tc>
          <w:tcPr>
            <w:tcW w:w="700" w:type="dxa"/>
            <w:shd w:val="clear" w:color="auto" w:fill="auto"/>
            <w:vAlign w:val="center"/>
          </w:tcPr>
          <w:p w14:paraId="115E8C8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6D544D6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034305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C2E9FD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2F4A3994">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农业农村</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75EF257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协助查询失信被执行人渔业船舶登记信息</w:t>
            </w:r>
          </w:p>
        </w:tc>
        <w:tc>
          <w:tcPr>
            <w:tcW w:w="1131" w:type="dxa"/>
            <w:shd w:val="clear" w:color="auto" w:fill="auto"/>
            <w:vAlign w:val="center"/>
          </w:tcPr>
          <w:p w14:paraId="44E16C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7E043B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77" w:type="dxa"/>
            <w:shd w:val="clear" w:color="auto" w:fill="auto"/>
            <w:vAlign w:val="center"/>
          </w:tcPr>
          <w:p w14:paraId="4B76933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521" w:type="dxa"/>
            <w:shd w:val="clear" w:color="auto" w:fill="auto"/>
            <w:vAlign w:val="center"/>
          </w:tcPr>
          <w:p w14:paraId="5E968827">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200" w:type="dxa"/>
            <w:shd w:val="clear" w:color="auto" w:fill="auto"/>
            <w:vAlign w:val="center"/>
          </w:tcPr>
          <w:p w14:paraId="1BD8638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100" w:type="dxa"/>
            <w:shd w:val="clear" w:color="auto" w:fill="auto"/>
            <w:vAlign w:val="center"/>
          </w:tcPr>
          <w:p w14:paraId="1DD48AB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179" w:type="dxa"/>
            <w:shd w:val="clear" w:color="auto" w:fill="auto"/>
            <w:vAlign w:val="center"/>
          </w:tcPr>
          <w:p w14:paraId="233EC1F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86" w:type="dxa"/>
            <w:shd w:val="clear" w:color="auto" w:fill="auto"/>
            <w:vAlign w:val="center"/>
          </w:tcPr>
          <w:p w14:paraId="7AE13D95">
            <w:pPr>
              <w:widowControl/>
              <w:spacing w:line="240" w:lineRule="auto"/>
              <w:ind w:firstLine="0" w:firstLineChars="0"/>
              <w:jc w:val="center"/>
              <w:rPr>
                <w:rFonts w:ascii="微软雅黑" w:hAnsi="微软雅黑" w:eastAsia="微软雅黑" w:cs="宋体"/>
                <w:kern w:val="0"/>
                <w:sz w:val="20"/>
                <w:szCs w:val="20"/>
              </w:rPr>
            </w:pPr>
          </w:p>
        </w:tc>
        <w:tc>
          <w:tcPr>
            <w:tcW w:w="3078" w:type="dxa"/>
            <w:shd w:val="clear" w:color="auto" w:fill="auto"/>
            <w:vAlign w:val="center"/>
          </w:tcPr>
          <w:p w14:paraId="0AD2E0CB">
            <w:pPr>
              <w:widowControl/>
              <w:spacing w:line="240" w:lineRule="auto"/>
              <w:ind w:firstLine="0" w:firstLineChars="0"/>
              <w:rPr>
                <w:rFonts w:ascii="微软雅黑" w:hAnsi="微软雅黑" w:eastAsia="微软雅黑" w:cs="宋体"/>
                <w:kern w:val="0"/>
                <w:sz w:val="20"/>
                <w:szCs w:val="20"/>
              </w:rPr>
            </w:pPr>
          </w:p>
        </w:tc>
      </w:tr>
      <w:tr w14:paraId="1AB4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5" w:hRule="atLeast"/>
          <w:jc w:val="center"/>
        </w:trPr>
        <w:tc>
          <w:tcPr>
            <w:tcW w:w="22102" w:type="dxa"/>
            <w:gridSpan w:val="15"/>
            <w:tcBorders>
              <w:bottom w:val="single" w:color="auto" w:sz="4" w:space="0"/>
            </w:tcBorders>
            <w:shd w:val="clear" w:color="auto" w:fill="auto"/>
            <w:vAlign w:val="center"/>
          </w:tcPr>
          <w:p w14:paraId="7F4A7088">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1ADBC77A">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第二百四十二条 被执行人未按执行通知履行法律文书确定的义务，人民法院有权向有关单位查询被执行人的存款、债券、股票、基金份额等财产情况。人民法院有权根据不同情形扣押、冻结、划拨、变价被执行人的财产。</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人民法院决定扣押、冻结、划拨、变价财产，应当作出裁定，并发出协助执行通知书，有关单位必须办理。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第二百五十一条 在执行中，需要办理有关财产权证照转移手续的，人民法院可以向有关单位发出协助执行通知书，有关单位必须办理。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2.最高人民法院关于适用《中华人民共和国民事诉讼法》的解释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第九十四条 民事诉讼法第六十四条第二款规定的当事人及其诉讼代理人因客观原因不能自行收集的证据包括：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（一）证据由国家有关部门保存，当事人及其诉讼代理人无权查阅调取的；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（二）涉及国家秘密、商业秘密或者个人隐私的；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（三）当事人及其诉讼代理人因客观原因不能自行收集的其他证据。</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当事人及其诉讼代理人因客观原因不能自行收集的证据，可以在举证期限届满前书面申请人民法院调查收集。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第九十六条 民事诉讼法第六十四条第二款规定的人民法院认为审理案件需要的证据包括：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（一）涉及可能损害国家利益、社会公共利益的；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（二）涉及身份关系的；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第四百八十五条 人民法院有权查询被执行人的身份信息与财产信息，掌握相关信息的单位和个人必须按照协助执行通知书办理。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第十条 司法行政部门应当加强法制宣传教育，提高人民群众的法律意识，提高债务人主动履行生效法律文书的自觉性。对各级领导干部加强依法支持人民法院执行工作的观念教育，克服地方和部门保护主义思想。对监狱、劳教单位作为被执行人的案件，督促被执行人及时履行。指导律师、公证人员和基层法律服务工作者做好当事人工作，积极履行生效法律文书确定的义务。监狱、劳教所、强制隔离戒毒所对服刑、劳教人员和强制隔离戒毒人员作为被执行人的案件，积极协助人民法院依法执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4.《国务院关于促进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场公平竞争维护</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场正常秩序的若干意见》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第四部分第（十五）条 建立健全守信激励和失信惩戒机制。将</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场主体的信用信息作为实施行政管理的重要参考。根据</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场主体信用状况实行分类分级、动态监管，建立健全经营异常名录制度，对违背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场竞争原则和侵犯消费者、劳动者合法权益的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建立“黑名单”制度。（工商总局牵头负责）对守信主体予以支持和激励，对失信主体在经营、投融资、取得政府供应土地、进出口、出入境、注册新公司、工程招投标、政府采购、获得荣誉、安全许可、生产许可、从业任职资格、资质审核等方面依法予以限制或禁止，对严重违法失信主体实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场禁入制度。（各相关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场监管部门按职责分工分别负责）</w:t>
            </w:r>
          </w:p>
        </w:tc>
      </w:tr>
    </w:tbl>
    <w:p w14:paraId="1A52B6E9">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956"/>
        <w:gridCol w:w="1735"/>
        <w:gridCol w:w="1200"/>
        <w:gridCol w:w="2143"/>
        <w:gridCol w:w="1072"/>
        <w:gridCol w:w="942"/>
        <w:gridCol w:w="2993"/>
      </w:tblGrid>
      <w:tr w14:paraId="0CAA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6DC621C7">
            <w:pPr>
              <w:pStyle w:val="2"/>
              <w:rPr>
                <w:rFonts w:hint="eastAsia" w:eastAsia="华文中宋"/>
                <w:lang w:eastAsia="zh-CN"/>
              </w:rPr>
            </w:pPr>
            <w:bookmarkStart w:id="20" w:name="_Toc20473863"/>
            <w:r>
              <w:rPr>
                <w:rFonts w:hint="eastAsia"/>
              </w:rPr>
              <w:t>2</w:t>
            </w:r>
            <w:r>
              <w:rPr>
                <w:rFonts w:hint="eastAsia"/>
                <w:lang w:val="en-US" w:eastAsia="zh-CN"/>
              </w:rPr>
              <w:t>1</w:t>
            </w:r>
            <w:r>
              <w:rPr>
                <w:rFonts w:hint="eastAsia"/>
              </w:rPr>
              <w:t>、</w:t>
            </w:r>
            <w:r>
              <w:rPr>
                <w:rFonts w:hint="eastAsia"/>
                <w:lang w:eastAsia="zh-CN"/>
              </w:rPr>
              <w:t>县</w:t>
            </w:r>
            <w:r>
              <w:rPr>
                <w:rFonts w:hint="eastAsia"/>
              </w:rPr>
              <w:t>商务</w:t>
            </w:r>
            <w:bookmarkEnd w:id="20"/>
            <w:r>
              <w:rPr>
                <w:rFonts w:hint="eastAsia"/>
                <w:lang w:eastAsia="zh-CN"/>
              </w:rPr>
              <w:t>局</w:t>
            </w:r>
          </w:p>
        </w:tc>
      </w:tr>
      <w:tr w14:paraId="1EEC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479150F0">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052" w:type="dxa"/>
            <w:gridSpan w:val="9"/>
            <w:shd w:val="clear" w:color="000000" w:fill="D6DCE4"/>
            <w:vAlign w:val="center"/>
          </w:tcPr>
          <w:p w14:paraId="0AE27E03">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350" w:type="dxa"/>
            <w:gridSpan w:val="5"/>
            <w:shd w:val="clear" w:color="000000" w:fill="D6DCE4"/>
            <w:vAlign w:val="center"/>
          </w:tcPr>
          <w:p w14:paraId="053B997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05C2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6D4A560A">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2BAFF0F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3AD99E6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6E38564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4E0E68C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793A3F4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73D6160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619CA0F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956" w:type="dxa"/>
            <w:shd w:val="clear" w:color="000000" w:fill="D6DCE4"/>
            <w:vAlign w:val="center"/>
          </w:tcPr>
          <w:p w14:paraId="0345882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735" w:type="dxa"/>
            <w:shd w:val="clear" w:color="000000" w:fill="D6DCE4"/>
            <w:vAlign w:val="center"/>
          </w:tcPr>
          <w:p w14:paraId="754074F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200" w:type="dxa"/>
            <w:shd w:val="clear" w:color="000000" w:fill="D6DCE4"/>
            <w:vAlign w:val="center"/>
          </w:tcPr>
          <w:p w14:paraId="217A204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43" w:type="dxa"/>
            <w:shd w:val="clear" w:color="000000" w:fill="D6DCE4"/>
            <w:vAlign w:val="center"/>
          </w:tcPr>
          <w:p w14:paraId="08C3D5C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72" w:type="dxa"/>
            <w:shd w:val="clear" w:color="000000" w:fill="D6DCE4"/>
            <w:vAlign w:val="center"/>
          </w:tcPr>
          <w:p w14:paraId="468833E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42" w:type="dxa"/>
            <w:shd w:val="clear" w:color="000000" w:fill="D6DCE4"/>
            <w:vAlign w:val="center"/>
          </w:tcPr>
          <w:p w14:paraId="06876D8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2993" w:type="dxa"/>
            <w:shd w:val="clear" w:color="000000" w:fill="D6DCE4"/>
            <w:vAlign w:val="center"/>
          </w:tcPr>
          <w:p w14:paraId="10C5643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7897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7" w:hRule="atLeast"/>
          <w:jc w:val="center"/>
        </w:trPr>
        <w:tc>
          <w:tcPr>
            <w:tcW w:w="700" w:type="dxa"/>
            <w:shd w:val="clear" w:color="auto" w:fill="auto"/>
            <w:vAlign w:val="center"/>
          </w:tcPr>
          <w:p w14:paraId="5FAD101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26BAE03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416B5E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3E2732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2DB731DB">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商务</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68C324B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限制失信被执行人及失信被执行人的法定代表人、主要负责人、影响债务履行的直接责任人员、实际控制人住宿星级以上宾馆、国家一级以上酒店及其他高消费住宿场所；限制在夜总会、高尔夫球场消费</w:t>
            </w:r>
          </w:p>
        </w:tc>
        <w:tc>
          <w:tcPr>
            <w:tcW w:w="1131" w:type="dxa"/>
            <w:shd w:val="clear" w:color="auto" w:fill="auto"/>
            <w:vAlign w:val="center"/>
          </w:tcPr>
          <w:p w14:paraId="14531CB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场性</w:t>
            </w:r>
          </w:p>
        </w:tc>
        <w:tc>
          <w:tcPr>
            <w:tcW w:w="1134" w:type="dxa"/>
            <w:shd w:val="clear" w:color="auto" w:fill="auto"/>
            <w:vAlign w:val="center"/>
          </w:tcPr>
          <w:p w14:paraId="4856A58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56" w:type="dxa"/>
            <w:vMerge w:val="restart"/>
            <w:shd w:val="clear" w:color="auto" w:fill="auto"/>
            <w:vAlign w:val="center"/>
          </w:tcPr>
          <w:p w14:paraId="780AA995">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　</w:t>
            </w:r>
          </w:p>
          <w:p w14:paraId="7E42EEA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735" w:type="dxa"/>
            <w:shd w:val="clear" w:color="auto" w:fill="auto"/>
            <w:vAlign w:val="center"/>
          </w:tcPr>
          <w:p w14:paraId="3A88D41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200" w:type="dxa"/>
            <w:shd w:val="clear" w:color="auto" w:fill="auto"/>
            <w:vAlign w:val="center"/>
          </w:tcPr>
          <w:p w14:paraId="3619402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143" w:type="dxa"/>
            <w:shd w:val="clear" w:color="auto" w:fill="auto"/>
            <w:vAlign w:val="center"/>
          </w:tcPr>
          <w:p w14:paraId="132AFB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72" w:type="dxa"/>
            <w:shd w:val="clear" w:color="auto" w:fill="auto"/>
            <w:vAlign w:val="center"/>
          </w:tcPr>
          <w:p w14:paraId="6BFF76F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42" w:type="dxa"/>
            <w:vMerge w:val="restart"/>
            <w:shd w:val="clear" w:color="auto" w:fill="auto"/>
            <w:vAlign w:val="center"/>
          </w:tcPr>
          <w:p w14:paraId="79C8845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详见下方</w:t>
            </w:r>
          </w:p>
        </w:tc>
        <w:tc>
          <w:tcPr>
            <w:tcW w:w="2993" w:type="dxa"/>
            <w:vMerge w:val="restart"/>
            <w:shd w:val="clear" w:color="auto" w:fill="auto"/>
            <w:vAlign w:val="center"/>
          </w:tcPr>
          <w:p w14:paraId="24E0DF6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2EA4891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2017</w:t>
            </w:r>
            <w:r>
              <w:rPr>
                <w:rFonts w:ascii="微软雅黑" w:hAnsi="微软雅黑" w:eastAsia="微软雅黑" w:cs="宋体"/>
                <w:kern w:val="0"/>
                <w:sz w:val="20"/>
                <w:szCs w:val="20"/>
              </w:rPr>
              <w:t>〕</w:t>
            </w:r>
            <w:r>
              <w:rPr>
                <w:rFonts w:hint="eastAsia" w:ascii="微软雅黑" w:hAnsi="微软雅黑" w:eastAsia="微软雅黑" w:cs="宋体"/>
                <w:kern w:val="0"/>
                <w:sz w:val="20"/>
                <w:szCs w:val="20"/>
              </w:rPr>
              <w:t>2号）</w:t>
            </w:r>
          </w:p>
        </w:tc>
      </w:tr>
      <w:tr w14:paraId="3563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7" w:hRule="atLeast"/>
          <w:jc w:val="center"/>
        </w:trPr>
        <w:tc>
          <w:tcPr>
            <w:tcW w:w="700" w:type="dxa"/>
            <w:shd w:val="clear" w:color="auto" w:fill="auto"/>
            <w:vAlign w:val="center"/>
          </w:tcPr>
          <w:p w14:paraId="02B423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shd w:val="clear" w:color="auto" w:fill="auto"/>
            <w:vAlign w:val="center"/>
          </w:tcPr>
          <w:p w14:paraId="151407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12D2E63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93D363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63C660D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商务</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6781DC8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提供星级及以上星级评定宾馆及其他高等级、高消费宾馆、酒店信息；限制失信被执行人及失信被执行人的法定代表人、主要负责人、影响债务履行的直接责任人员、实际控制人参加旅行社组织的团队旅游，限制其享受旅行社提供的旅游相关的其他服务；限制失信被执行人在获得旅游等级评定的度假区等旅游企业消费</w:t>
            </w:r>
          </w:p>
        </w:tc>
        <w:tc>
          <w:tcPr>
            <w:tcW w:w="1131" w:type="dxa"/>
            <w:shd w:val="clear" w:color="auto" w:fill="auto"/>
            <w:vAlign w:val="center"/>
          </w:tcPr>
          <w:p w14:paraId="4AF9FBE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场性</w:t>
            </w:r>
          </w:p>
        </w:tc>
        <w:tc>
          <w:tcPr>
            <w:tcW w:w="1134" w:type="dxa"/>
            <w:shd w:val="clear" w:color="auto" w:fill="auto"/>
            <w:vAlign w:val="center"/>
          </w:tcPr>
          <w:p w14:paraId="0BA3A84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56" w:type="dxa"/>
            <w:vMerge w:val="continue"/>
            <w:shd w:val="clear" w:color="auto" w:fill="auto"/>
            <w:vAlign w:val="center"/>
          </w:tcPr>
          <w:p w14:paraId="7672AD5F">
            <w:pPr>
              <w:widowControl/>
              <w:spacing w:line="240" w:lineRule="auto"/>
              <w:ind w:firstLine="0" w:firstLineChars="0"/>
              <w:jc w:val="center"/>
              <w:rPr>
                <w:rFonts w:ascii="微软雅黑" w:hAnsi="微软雅黑" w:eastAsia="微软雅黑" w:cs="宋体"/>
                <w:kern w:val="0"/>
                <w:sz w:val="20"/>
                <w:szCs w:val="20"/>
              </w:rPr>
            </w:pPr>
          </w:p>
        </w:tc>
        <w:tc>
          <w:tcPr>
            <w:tcW w:w="1735" w:type="dxa"/>
            <w:shd w:val="clear" w:color="auto" w:fill="auto"/>
            <w:vAlign w:val="center"/>
          </w:tcPr>
          <w:p w14:paraId="67F2822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200" w:type="dxa"/>
            <w:shd w:val="clear" w:color="auto" w:fill="auto"/>
            <w:vAlign w:val="center"/>
          </w:tcPr>
          <w:p w14:paraId="6E95994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143" w:type="dxa"/>
            <w:shd w:val="clear" w:color="auto" w:fill="auto"/>
            <w:vAlign w:val="center"/>
          </w:tcPr>
          <w:p w14:paraId="047FED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72" w:type="dxa"/>
            <w:shd w:val="clear" w:color="auto" w:fill="auto"/>
            <w:vAlign w:val="center"/>
          </w:tcPr>
          <w:p w14:paraId="75736E7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42" w:type="dxa"/>
            <w:vMerge w:val="continue"/>
            <w:shd w:val="clear" w:color="auto" w:fill="auto"/>
            <w:vAlign w:val="center"/>
          </w:tcPr>
          <w:p w14:paraId="4794AEAA">
            <w:pPr>
              <w:widowControl/>
              <w:spacing w:line="240" w:lineRule="auto"/>
              <w:ind w:firstLine="0" w:firstLineChars="0"/>
              <w:jc w:val="center"/>
              <w:rPr>
                <w:rFonts w:ascii="微软雅黑" w:hAnsi="微软雅黑" w:eastAsia="微软雅黑" w:cs="宋体"/>
                <w:kern w:val="0"/>
                <w:sz w:val="20"/>
                <w:szCs w:val="20"/>
              </w:rPr>
            </w:pPr>
          </w:p>
        </w:tc>
        <w:tc>
          <w:tcPr>
            <w:tcW w:w="2993" w:type="dxa"/>
            <w:vMerge w:val="continue"/>
            <w:shd w:val="clear" w:color="auto" w:fill="auto"/>
            <w:vAlign w:val="center"/>
          </w:tcPr>
          <w:p w14:paraId="2B7E8182">
            <w:pPr>
              <w:widowControl/>
              <w:spacing w:line="240" w:lineRule="auto"/>
              <w:ind w:firstLine="0" w:firstLineChars="0"/>
              <w:rPr>
                <w:rFonts w:ascii="微软雅黑" w:hAnsi="微软雅黑" w:eastAsia="微软雅黑" w:cs="宋体"/>
                <w:kern w:val="0"/>
                <w:sz w:val="20"/>
                <w:szCs w:val="20"/>
              </w:rPr>
            </w:pPr>
          </w:p>
        </w:tc>
      </w:tr>
      <w:tr w14:paraId="762C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0" w:hRule="atLeast"/>
          <w:jc w:val="center"/>
        </w:trPr>
        <w:tc>
          <w:tcPr>
            <w:tcW w:w="22102" w:type="dxa"/>
            <w:gridSpan w:val="15"/>
            <w:shd w:val="clear" w:color="auto" w:fill="auto"/>
            <w:vAlign w:val="top"/>
          </w:tcPr>
          <w:p w14:paraId="4EE82A4E">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39C0F94F">
            <w:pPr>
              <w:widowControl/>
              <w:spacing w:line="240" w:lineRule="auto"/>
              <w:ind w:firstLine="0" w:firstLineChars="0"/>
              <w:jc w:val="both"/>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2.《最高人民法院关于限制被执行人高消费及有关消费的若干规定》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被执行人为自然人的，被采取限制消费措施后，不得有以下高消费及非生活和工作必需的消费行为：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（一）乘坐交通工具时，选择飞机、列车软卧、轮船二等以上舱位；</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（二）在星级以上宾馆、酒店、夜总会、高尔夫球场等场所进行高消费；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（三）购买不动产或者新建、扩建、高档装修房屋；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（四）租赁高档写字楼、宾馆、公寓等场所办公；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（五）购买非经营必需车辆；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（六）旅游、度假；</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（七）子女就读高收费私立学校；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（八）支付高额保费购买保险理财产品；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（九）乘坐G字头动车组列车全部座位、其他动车组列车一等以上座位等其他非生活和工作必需的消费行为。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人民法院决定采取限制消费措施的，可以根据案件需要和被执行人的情况向有义务协助调查、执行的单位送达协助执行通知书，也可以在相关媒体上进行公告。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被限制消费的被执行人因生活或者经营必需而进行本规定禁止的消费活动的，应当向人民法院提出申请，获批准后方可进行。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有关单位在收到人民法院协助执行通知书后，仍允许被执行人进行高消费及非生活或者经营必需的有关消费的，人民法院可以依照《中华人民共和国民事诉讼法》第一百一十四条的规定，追究其法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3.《不动产登记暂行条例》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本条例所称不动产登记，是指不动产登记机构依法将不动产权利归属和其他法定事项记载于不动产登记簿的行为。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本条例所称不动产，是指土地、海域以及房屋、林木等定着物。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不动产登记由不动产所在地的县级人民政府不动产登记机构办理；直辖</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、设区的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人民政府可以确定本级不动产登记机构统一办理所属各区的不动产登记。</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跨县级行政区域的不动产登记，由所跨县级行政区域的不动产登记机构分别办理。不能分别办理的，由所跨县级行政区域的不动产登记机构协商办理；协商不成的，由共同的上一级人民政府不动产登记主管部门指定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国务院确定的重点国有林区的森林、林木和林地，国务院批准项目用海、用岛，中央国家机关使用的国有土地等不动产登记，由国务院国土资源主管部门会同有关部门规定。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第十一条 国土资源管理部门应当协助人民法院及时查询有关土地使用权、探矿权、采矿权及相关权属等登记情况，协助人民法院及时办理土地使用权、探矿权、采矿权等的查封、预查封和轮候查封登记，并将有关情况及时告知人民法院。被执行人正在办理土地使用权、采矿权、探矿权等权属变更登记手续的，根据人民法院协助执行通知书的要求，停止办理相关手续。债权人持生效法律文书申请办理土地使用权变更登记的，依法予以办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第十二条 住房和城乡建设管理部门应当协助人民法院及时查询有关房屋权属登记、变更、抵押等情况，协助人民法院及时办理房屋查封、预查封和轮候查封及转移登记手续，并将有关情况及时告知人民法院。被执行人正在办理房屋所有权转移登记等手续的，根据人民法院协助执行通知书的要求，停止办理相关手续。轮候查封的人民法院违法要求协助办理房屋登记手续的，依法不予办理。债权人持生效法律文书申请办理房屋转移登记手续的，依法予以办理。协助人民法院查询有关工程项目的规划审批情况，向人民法院提供必要的经批准的规划文件和规划图纸等资料。被执行人正在申请办理涉案项目规划审批手续的，根据人民法院协助执行通知书的要求，停止办理相关手续。将房地产、建筑企业不依法履行生效法律文书义务的情况，记入房地产和建筑</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场信用档案，向社会披露有关信息。对拖欠房屋拆迁补偿安置资金的被执行人，依法采取制裁措施。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5.《最高人民法院、国土资源部、建设部关于依法规范人民法院执行和国土资源房地产管理部门协助执行若干问题的通知》（法发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2004</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5号）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一、人民法院在办理案件时，需要国土资源、房地产管理部门协助执行的，国土资源、房地产管理部门应当按照人民法院的生效法律文书和协助执行通知书办理协助执行事项。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国土资源、房地产管理部门依法协助人民法院执行时，除复制有关材料所必需的工本费外，不得向人民法院收取其他费用。登记过户的费用按照国家有关规定收取。</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二、人民法院对土地使用权、房屋实施查封或者进行实体处理前，应当向国土资源、房地产管理部门查询该土地、房屋的权属。</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人民法院执行人员到国土资源、房地产管理部门查询土地、房屋权属情况时，应当出示本人工作证和执行公务证，并出具协助查询通知书。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人民法院执行人员到国土资源、房地产管理部门办理土地使用权或者房屋查封、预查封登记手续时，应当出示本人工作证和执行公务证，并出具查封、预查封裁定书和协助执行通知书。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人民法院在国土资源、房地产管理部门查询并复制或者抄录的书面材料，由土地、房屋权属的登记机构或者其所属的档室（馆）加盖印章。无法查询或者查询无结果的，国土资源、房地产管理部门应当书面告知人民法院。</w:t>
            </w:r>
          </w:p>
        </w:tc>
      </w:tr>
    </w:tbl>
    <w:p w14:paraId="2DA917A3">
      <w:pPr>
        <w:ind w:firstLine="640"/>
      </w:pPr>
      <w:r>
        <w:rPr>
          <w:bCs/>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891"/>
        <w:gridCol w:w="1736"/>
        <w:gridCol w:w="1114"/>
        <w:gridCol w:w="2207"/>
        <w:gridCol w:w="1072"/>
        <w:gridCol w:w="1050"/>
        <w:gridCol w:w="2971"/>
      </w:tblGrid>
      <w:tr w14:paraId="3AA0A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6143C7D8">
            <w:pPr>
              <w:pStyle w:val="2"/>
              <w:rPr>
                <w:rFonts w:hint="eastAsia" w:eastAsia="华文中宋"/>
                <w:lang w:eastAsia="zh-CN"/>
              </w:rPr>
            </w:pPr>
            <w:r>
              <w:br w:type="page"/>
            </w:r>
            <w:bookmarkStart w:id="21" w:name="_Toc20473865"/>
            <w:r>
              <w:rPr>
                <w:rFonts w:hint="eastAsia"/>
              </w:rPr>
              <w:t>2</w:t>
            </w:r>
            <w:r>
              <w:rPr>
                <w:rFonts w:hint="eastAsia"/>
                <w:lang w:val="en-US" w:eastAsia="zh-CN"/>
              </w:rPr>
              <w:t>2</w:t>
            </w:r>
            <w:r>
              <w:rPr>
                <w:rFonts w:hint="eastAsia"/>
              </w:rPr>
              <w:t>、</w:t>
            </w:r>
            <w:r>
              <w:rPr>
                <w:rFonts w:hint="eastAsia"/>
                <w:lang w:eastAsia="zh-CN"/>
              </w:rPr>
              <w:t>县</w:t>
            </w:r>
            <w:r>
              <w:rPr>
                <w:rFonts w:hint="eastAsia"/>
              </w:rPr>
              <w:t>应急管理</w:t>
            </w:r>
            <w:bookmarkEnd w:id="21"/>
            <w:r>
              <w:rPr>
                <w:rFonts w:hint="eastAsia"/>
                <w:lang w:eastAsia="zh-CN"/>
              </w:rPr>
              <w:t>局</w:t>
            </w:r>
          </w:p>
        </w:tc>
      </w:tr>
      <w:tr w14:paraId="3B98F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5A4D275D">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2988" w:type="dxa"/>
            <w:gridSpan w:val="9"/>
            <w:shd w:val="clear" w:color="000000" w:fill="D6DCE4"/>
            <w:vAlign w:val="center"/>
          </w:tcPr>
          <w:p w14:paraId="71C03828">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414" w:type="dxa"/>
            <w:gridSpan w:val="5"/>
            <w:shd w:val="clear" w:color="000000" w:fill="D6DCE4"/>
            <w:vAlign w:val="center"/>
          </w:tcPr>
          <w:p w14:paraId="3AE2F2AD">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2281D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5492D714">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47C1D4B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09A73F6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30876F7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02B8D57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276B953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2E291D9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1F2F2CE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891" w:type="dxa"/>
            <w:shd w:val="clear" w:color="000000" w:fill="D6DCE4"/>
            <w:vAlign w:val="center"/>
          </w:tcPr>
          <w:p w14:paraId="66D8207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736" w:type="dxa"/>
            <w:shd w:val="clear" w:color="000000" w:fill="D6DCE4"/>
            <w:vAlign w:val="center"/>
          </w:tcPr>
          <w:p w14:paraId="32A37CF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14" w:type="dxa"/>
            <w:shd w:val="clear" w:color="000000" w:fill="D6DCE4"/>
            <w:vAlign w:val="center"/>
          </w:tcPr>
          <w:p w14:paraId="21A6936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07" w:type="dxa"/>
            <w:shd w:val="clear" w:color="000000" w:fill="D6DCE4"/>
            <w:vAlign w:val="center"/>
          </w:tcPr>
          <w:p w14:paraId="1FF8EB7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72" w:type="dxa"/>
            <w:shd w:val="clear" w:color="000000" w:fill="D6DCE4"/>
            <w:vAlign w:val="center"/>
          </w:tcPr>
          <w:p w14:paraId="3BAB7B7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1050" w:type="dxa"/>
            <w:shd w:val="clear" w:color="000000" w:fill="D6DCE4"/>
            <w:vAlign w:val="center"/>
          </w:tcPr>
          <w:p w14:paraId="61CC1E6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2971" w:type="dxa"/>
            <w:shd w:val="clear" w:color="000000" w:fill="D6DCE4"/>
            <w:vAlign w:val="center"/>
          </w:tcPr>
          <w:p w14:paraId="5220C4D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32B3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34B0F9D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0220257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7F0C0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shd w:val="clear" w:color="auto" w:fill="auto"/>
            <w:vAlign w:val="center"/>
          </w:tcPr>
          <w:p w14:paraId="504EF19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61943721">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应急管理</w:t>
            </w:r>
            <w:r>
              <w:rPr>
                <w:rFonts w:hint="eastAsia" w:ascii="微软雅黑" w:hAnsi="微软雅黑" w:eastAsia="微软雅黑" w:cs="宋体"/>
                <w:kern w:val="0"/>
                <w:sz w:val="20"/>
                <w:szCs w:val="20"/>
                <w:lang w:eastAsia="zh-CN"/>
              </w:rPr>
              <w:t>局</w:t>
            </w:r>
          </w:p>
        </w:tc>
        <w:tc>
          <w:tcPr>
            <w:tcW w:w="2082" w:type="dxa"/>
            <w:shd w:val="clear" w:color="auto" w:fill="auto"/>
            <w:vAlign w:val="center"/>
          </w:tcPr>
          <w:p w14:paraId="6511469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安全生产许可审批登记信息；协助限制失信被执行人从事危险化学品生产经营储存、烟花爆竹生产经营、矿山生产、安全评价等行业；协助限制失信被执行人担任生产经营单位主要负责人及董事、监事、高级管理人员，已担任相关职务的，按规定程序要求变更</w:t>
            </w:r>
          </w:p>
        </w:tc>
        <w:tc>
          <w:tcPr>
            <w:tcW w:w="1131" w:type="dxa"/>
            <w:shd w:val="clear" w:color="auto" w:fill="auto"/>
            <w:vAlign w:val="center"/>
          </w:tcPr>
          <w:p w14:paraId="0AB8EFF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4674D1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91" w:type="dxa"/>
            <w:vMerge w:val="restart"/>
            <w:shd w:val="clear" w:color="auto" w:fill="auto"/>
            <w:vAlign w:val="center"/>
          </w:tcPr>
          <w:p w14:paraId="08B8223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详见下方</w:t>
            </w:r>
          </w:p>
        </w:tc>
        <w:tc>
          <w:tcPr>
            <w:tcW w:w="1736" w:type="dxa"/>
            <w:shd w:val="clear" w:color="auto" w:fill="auto"/>
            <w:vAlign w:val="center"/>
          </w:tcPr>
          <w:p w14:paraId="7AB94B1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14" w:type="dxa"/>
            <w:shd w:val="clear" w:color="auto" w:fill="auto"/>
            <w:vAlign w:val="center"/>
          </w:tcPr>
          <w:p w14:paraId="53336F9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28113A8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非煤矿矿山企业安全生产许可证核发</w:t>
            </w:r>
          </w:p>
        </w:tc>
        <w:tc>
          <w:tcPr>
            <w:tcW w:w="1072" w:type="dxa"/>
            <w:shd w:val="clear" w:color="auto" w:fill="auto"/>
            <w:vAlign w:val="center"/>
          </w:tcPr>
          <w:p w14:paraId="32471DE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50" w:type="dxa"/>
            <w:shd w:val="clear" w:color="auto" w:fill="auto"/>
            <w:vAlign w:val="center"/>
          </w:tcPr>
          <w:p w14:paraId="1A9E32D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71" w:type="dxa"/>
            <w:shd w:val="clear" w:color="auto" w:fill="auto"/>
            <w:vAlign w:val="center"/>
          </w:tcPr>
          <w:p w14:paraId="14516C3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1.《非煤矿矿山企业安全生产许可证实施办法》（国家安监总局令第20号）第十九条；</w:t>
            </w:r>
          </w:p>
          <w:p w14:paraId="7EF1CAB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2.《安全生产许可证条例》（国务院令第397号）第二条，第三条。</w:t>
            </w:r>
          </w:p>
        </w:tc>
      </w:tr>
      <w:tr w14:paraId="59944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5" w:hRule="atLeast"/>
          <w:jc w:val="center"/>
        </w:trPr>
        <w:tc>
          <w:tcPr>
            <w:tcW w:w="700" w:type="dxa"/>
            <w:shd w:val="clear" w:color="auto" w:fill="auto"/>
            <w:vAlign w:val="center"/>
          </w:tcPr>
          <w:p w14:paraId="585D055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2</w:t>
            </w:r>
          </w:p>
        </w:tc>
        <w:tc>
          <w:tcPr>
            <w:tcW w:w="1078" w:type="dxa"/>
            <w:vAlign w:val="center"/>
          </w:tcPr>
          <w:p w14:paraId="5DCCE8F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99F677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shd w:val="clear" w:color="auto" w:fill="auto"/>
            <w:vAlign w:val="center"/>
          </w:tcPr>
          <w:p w14:paraId="1D7D337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6EF43F9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应急管理</w:t>
            </w:r>
            <w:r>
              <w:rPr>
                <w:rFonts w:hint="eastAsia" w:ascii="微软雅黑" w:hAnsi="微软雅黑" w:eastAsia="微软雅黑" w:cs="宋体"/>
                <w:kern w:val="0"/>
                <w:sz w:val="20"/>
                <w:szCs w:val="20"/>
                <w:lang w:eastAsia="zh-CN"/>
              </w:rPr>
              <w:t>局</w:t>
            </w:r>
          </w:p>
        </w:tc>
        <w:tc>
          <w:tcPr>
            <w:tcW w:w="2082" w:type="dxa"/>
            <w:vMerge w:val="restart"/>
            <w:vAlign w:val="center"/>
          </w:tcPr>
          <w:p w14:paraId="096CE40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安全生产许可审批登记信息；协助限制失信被执行人从事危险化学品生产经营储存、烟花爆竹生产经营、矿山生产、安全评价等行业；协助限制失信被执行人担任生产经营单位主要负责人及董事、监事、高级管理人员，已担任相关职务的，按规定程序要求变更</w:t>
            </w:r>
          </w:p>
        </w:tc>
        <w:tc>
          <w:tcPr>
            <w:tcW w:w="1131" w:type="dxa"/>
            <w:shd w:val="clear" w:color="auto" w:fill="auto"/>
            <w:vAlign w:val="center"/>
          </w:tcPr>
          <w:p w14:paraId="7CCC04D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325227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91" w:type="dxa"/>
            <w:vMerge w:val="continue"/>
            <w:shd w:val="clear" w:color="auto" w:fill="auto"/>
            <w:vAlign w:val="center"/>
          </w:tcPr>
          <w:p w14:paraId="2B841459">
            <w:pPr>
              <w:widowControl/>
              <w:spacing w:line="240" w:lineRule="auto"/>
              <w:ind w:firstLine="0" w:firstLineChars="0"/>
              <w:jc w:val="center"/>
              <w:rPr>
                <w:rFonts w:ascii="微软雅黑" w:hAnsi="微软雅黑" w:eastAsia="微软雅黑" w:cs="宋体"/>
                <w:kern w:val="0"/>
                <w:sz w:val="20"/>
                <w:szCs w:val="20"/>
              </w:rPr>
            </w:pPr>
          </w:p>
        </w:tc>
        <w:tc>
          <w:tcPr>
            <w:tcW w:w="1736" w:type="dxa"/>
            <w:vMerge w:val="restart"/>
            <w:shd w:val="clear" w:color="auto" w:fill="auto"/>
            <w:vAlign w:val="center"/>
          </w:tcPr>
          <w:p w14:paraId="672AC3CF">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54215BC5">
            <w:pPr>
              <w:widowControl/>
              <w:spacing w:line="240" w:lineRule="auto"/>
              <w:ind w:firstLine="0" w:firstLineChars="0"/>
              <w:rPr>
                <w:rFonts w:ascii="微软雅黑" w:hAnsi="微软雅黑" w:eastAsia="微软雅黑" w:cs="宋体"/>
                <w:kern w:val="0"/>
                <w:sz w:val="20"/>
                <w:szCs w:val="20"/>
              </w:rPr>
            </w:pPr>
          </w:p>
        </w:tc>
        <w:tc>
          <w:tcPr>
            <w:tcW w:w="1114" w:type="dxa"/>
            <w:shd w:val="clear" w:color="auto" w:fill="auto"/>
            <w:vAlign w:val="center"/>
          </w:tcPr>
          <w:p w14:paraId="0CAB0638">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67013CCD">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烟花爆竹生产企业安全生产许可证核发</w:t>
            </w:r>
          </w:p>
        </w:tc>
        <w:tc>
          <w:tcPr>
            <w:tcW w:w="1072" w:type="dxa"/>
            <w:shd w:val="clear" w:color="auto" w:fill="auto"/>
            <w:vAlign w:val="center"/>
          </w:tcPr>
          <w:p w14:paraId="393A465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50" w:type="dxa"/>
            <w:vAlign w:val="center"/>
          </w:tcPr>
          <w:p w14:paraId="3C1FA4A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71" w:type="dxa"/>
            <w:shd w:val="clear" w:color="auto" w:fill="auto"/>
            <w:vAlign w:val="center"/>
          </w:tcPr>
          <w:p w14:paraId="5E40DCF9">
            <w:pPr>
              <w:widowControl/>
              <w:numPr>
                <w:ilvl w:val="0"/>
                <w:numId w:val="6"/>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《烟花爆竹生产企业安全生产许可证实施办法》（国家安监总局令第54号）第四章第二十七条；</w:t>
            </w:r>
          </w:p>
          <w:p w14:paraId="7C26EDA3">
            <w:pPr>
              <w:widowControl/>
              <w:numPr>
                <w:ilvl w:val="0"/>
                <w:numId w:val="6"/>
              </w:numPr>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2.《安全生产许可证条例》（国务院第397号，2014年7月29日修订）第二条、第三条。</w:t>
            </w:r>
          </w:p>
          <w:p w14:paraId="35D0A40F">
            <w:pPr>
              <w:widowControl/>
              <w:spacing w:line="240" w:lineRule="auto"/>
              <w:ind w:firstLine="0" w:firstLineChars="0"/>
              <w:rPr>
                <w:rFonts w:ascii="微软雅黑" w:hAnsi="微软雅黑" w:eastAsia="微软雅黑" w:cs="宋体"/>
                <w:kern w:val="0"/>
                <w:sz w:val="20"/>
                <w:szCs w:val="20"/>
              </w:rPr>
            </w:pPr>
          </w:p>
        </w:tc>
      </w:tr>
      <w:tr w14:paraId="4029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0" w:type="dxa"/>
            <w:shd w:val="clear" w:color="auto" w:fill="auto"/>
            <w:vAlign w:val="center"/>
          </w:tcPr>
          <w:p w14:paraId="1B97F57D">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3</w:t>
            </w:r>
          </w:p>
        </w:tc>
        <w:tc>
          <w:tcPr>
            <w:tcW w:w="1078" w:type="dxa"/>
            <w:vAlign w:val="center"/>
          </w:tcPr>
          <w:p w14:paraId="28C0C30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w:t>
            </w:r>
          </w:p>
        </w:tc>
        <w:tc>
          <w:tcPr>
            <w:tcW w:w="1078" w:type="dxa"/>
            <w:vAlign w:val="center"/>
          </w:tcPr>
          <w:p w14:paraId="0D2DF27E">
            <w:pPr>
              <w:widowControl/>
              <w:spacing w:line="240" w:lineRule="auto"/>
              <w:ind w:firstLine="0" w:firstLineChars="0"/>
              <w:jc w:val="left"/>
              <w:rPr>
                <w:rFonts w:ascii="微软雅黑" w:hAnsi="微软雅黑" w:eastAsia="微软雅黑" w:cs="宋体"/>
                <w:kern w:val="0"/>
                <w:sz w:val="20"/>
                <w:szCs w:val="20"/>
              </w:rPr>
            </w:pPr>
          </w:p>
        </w:tc>
        <w:tc>
          <w:tcPr>
            <w:tcW w:w="819" w:type="dxa"/>
            <w:shd w:val="clear" w:color="auto" w:fill="auto"/>
            <w:vAlign w:val="center"/>
          </w:tcPr>
          <w:p w14:paraId="4B46054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6DD21DC7">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应急管理</w:t>
            </w:r>
            <w:r>
              <w:rPr>
                <w:rFonts w:hint="eastAsia" w:ascii="微软雅黑" w:hAnsi="微软雅黑" w:eastAsia="微软雅黑" w:cs="宋体"/>
                <w:kern w:val="0"/>
                <w:sz w:val="20"/>
                <w:szCs w:val="20"/>
                <w:lang w:eastAsia="zh-CN"/>
              </w:rPr>
              <w:t>局</w:t>
            </w:r>
          </w:p>
        </w:tc>
        <w:tc>
          <w:tcPr>
            <w:tcW w:w="2082" w:type="dxa"/>
            <w:vMerge w:val="continue"/>
            <w:vAlign w:val="center"/>
          </w:tcPr>
          <w:p w14:paraId="770FA888">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4052757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CDF23F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91" w:type="dxa"/>
            <w:vMerge w:val="continue"/>
            <w:shd w:val="clear" w:color="auto" w:fill="auto"/>
            <w:vAlign w:val="center"/>
          </w:tcPr>
          <w:p w14:paraId="4BC5FB19">
            <w:pPr>
              <w:widowControl/>
              <w:spacing w:line="240" w:lineRule="auto"/>
              <w:ind w:firstLine="0" w:firstLineChars="0"/>
              <w:jc w:val="center"/>
              <w:rPr>
                <w:rFonts w:ascii="微软雅黑" w:hAnsi="微软雅黑" w:eastAsia="微软雅黑" w:cs="宋体"/>
                <w:kern w:val="0"/>
                <w:sz w:val="20"/>
                <w:szCs w:val="20"/>
              </w:rPr>
            </w:pPr>
          </w:p>
        </w:tc>
        <w:tc>
          <w:tcPr>
            <w:tcW w:w="1736" w:type="dxa"/>
            <w:vMerge w:val="continue"/>
            <w:shd w:val="clear" w:color="auto" w:fill="auto"/>
            <w:vAlign w:val="center"/>
          </w:tcPr>
          <w:p w14:paraId="528FD966">
            <w:pPr>
              <w:widowControl/>
              <w:spacing w:line="240" w:lineRule="auto"/>
              <w:ind w:firstLine="0" w:firstLineChars="0"/>
              <w:rPr>
                <w:rFonts w:ascii="微软雅黑" w:hAnsi="微软雅黑" w:eastAsia="微软雅黑" w:cs="宋体"/>
                <w:kern w:val="0"/>
                <w:sz w:val="20"/>
                <w:szCs w:val="20"/>
              </w:rPr>
            </w:pPr>
          </w:p>
        </w:tc>
        <w:tc>
          <w:tcPr>
            <w:tcW w:w="1114" w:type="dxa"/>
            <w:shd w:val="clear" w:color="auto" w:fill="auto"/>
            <w:vAlign w:val="center"/>
          </w:tcPr>
          <w:p w14:paraId="4A42FBA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22B7F9F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第二、三类非药品类易制毒化学品生产备案证明</w:t>
            </w:r>
          </w:p>
        </w:tc>
        <w:tc>
          <w:tcPr>
            <w:tcW w:w="1072" w:type="dxa"/>
            <w:shd w:val="clear" w:color="auto" w:fill="auto"/>
            <w:vAlign w:val="center"/>
          </w:tcPr>
          <w:p w14:paraId="7D889C7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50" w:type="dxa"/>
            <w:vAlign w:val="center"/>
          </w:tcPr>
          <w:p w14:paraId="586C52F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2971" w:type="dxa"/>
            <w:shd w:val="clear" w:color="auto" w:fill="auto"/>
            <w:vAlign w:val="center"/>
          </w:tcPr>
          <w:p w14:paraId="5909A07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1.《易制毒化学品管理条例》（国务院令第445号）第十三条；</w:t>
            </w:r>
          </w:p>
          <w:p w14:paraId="6E28DCC0">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2.《非药品类易制毒化学品生产、经营许可办法》（国家安监总局令第5号）第十八条。</w:t>
            </w:r>
          </w:p>
        </w:tc>
      </w:tr>
      <w:tr w14:paraId="631A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700" w:type="dxa"/>
            <w:shd w:val="clear" w:color="auto" w:fill="auto"/>
            <w:vAlign w:val="center"/>
          </w:tcPr>
          <w:p w14:paraId="33C2A07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4</w:t>
            </w:r>
          </w:p>
        </w:tc>
        <w:tc>
          <w:tcPr>
            <w:tcW w:w="1078" w:type="dxa"/>
            <w:vAlign w:val="center"/>
          </w:tcPr>
          <w:p w14:paraId="3FEE130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w:t>
            </w:r>
          </w:p>
        </w:tc>
        <w:tc>
          <w:tcPr>
            <w:tcW w:w="1078" w:type="dxa"/>
            <w:vAlign w:val="center"/>
          </w:tcPr>
          <w:p w14:paraId="0883172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shd w:val="clear" w:color="auto" w:fill="auto"/>
            <w:vAlign w:val="center"/>
          </w:tcPr>
          <w:p w14:paraId="59AD08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1AD52D8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应急管理</w:t>
            </w:r>
            <w:r>
              <w:rPr>
                <w:rFonts w:hint="eastAsia" w:ascii="微软雅黑" w:hAnsi="微软雅黑" w:eastAsia="微软雅黑" w:cs="宋体"/>
                <w:kern w:val="0"/>
                <w:sz w:val="20"/>
                <w:szCs w:val="20"/>
                <w:lang w:eastAsia="zh-CN"/>
              </w:rPr>
              <w:t>局</w:t>
            </w:r>
          </w:p>
        </w:tc>
        <w:tc>
          <w:tcPr>
            <w:tcW w:w="2082" w:type="dxa"/>
            <w:vMerge w:val="restart"/>
            <w:vAlign w:val="center"/>
          </w:tcPr>
          <w:p w14:paraId="6592A2B4">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安全生产许可审批登记信息；协助限制失信被执行人从事危险化学品生产经营储存、烟花爆竹生产经营、矿山生产、安全评价等行业；协助限制失信被执行人担任生产经营单位主要负责人及董事、监事、高级管理人员，已担任相关职务的，按规定程序要求变更</w:t>
            </w:r>
          </w:p>
        </w:tc>
        <w:tc>
          <w:tcPr>
            <w:tcW w:w="1131" w:type="dxa"/>
            <w:shd w:val="clear" w:color="auto" w:fill="auto"/>
            <w:vAlign w:val="center"/>
          </w:tcPr>
          <w:p w14:paraId="1C25FC4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F16F2C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91" w:type="dxa"/>
            <w:vMerge w:val="continue"/>
            <w:shd w:val="clear" w:color="auto" w:fill="auto"/>
            <w:vAlign w:val="center"/>
          </w:tcPr>
          <w:p w14:paraId="702F924E">
            <w:pPr>
              <w:widowControl/>
              <w:spacing w:line="240" w:lineRule="auto"/>
              <w:ind w:firstLine="0" w:firstLineChars="0"/>
              <w:jc w:val="center"/>
              <w:rPr>
                <w:rFonts w:ascii="微软雅黑" w:hAnsi="微软雅黑" w:eastAsia="微软雅黑" w:cs="宋体"/>
                <w:kern w:val="0"/>
                <w:sz w:val="20"/>
                <w:szCs w:val="20"/>
              </w:rPr>
            </w:pPr>
          </w:p>
        </w:tc>
        <w:tc>
          <w:tcPr>
            <w:tcW w:w="1736" w:type="dxa"/>
            <w:vMerge w:val="continue"/>
            <w:shd w:val="clear" w:color="auto" w:fill="auto"/>
            <w:vAlign w:val="center"/>
          </w:tcPr>
          <w:p w14:paraId="286B51B1">
            <w:pPr>
              <w:widowControl/>
              <w:spacing w:line="240" w:lineRule="auto"/>
              <w:ind w:firstLine="0" w:firstLineChars="0"/>
              <w:rPr>
                <w:rFonts w:ascii="微软雅黑" w:hAnsi="微软雅黑" w:eastAsia="微软雅黑" w:cs="宋体"/>
                <w:kern w:val="0"/>
                <w:sz w:val="20"/>
                <w:szCs w:val="20"/>
              </w:rPr>
            </w:pPr>
          </w:p>
        </w:tc>
        <w:tc>
          <w:tcPr>
            <w:tcW w:w="1114" w:type="dxa"/>
            <w:shd w:val="clear" w:color="auto" w:fill="auto"/>
            <w:vAlign w:val="center"/>
          </w:tcPr>
          <w:p w14:paraId="40AAB80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55F083D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第一类非药品类易制毒化学品生产许可证核发</w:t>
            </w:r>
          </w:p>
        </w:tc>
        <w:tc>
          <w:tcPr>
            <w:tcW w:w="1072" w:type="dxa"/>
            <w:shd w:val="clear" w:color="auto" w:fill="auto"/>
            <w:vAlign w:val="center"/>
          </w:tcPr>
          <w:p w14:paraId="71C7572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50" w:type="dxa"/>
            <w:vAlign w:val="center"/>
          </w:tcPr>
          <w:p w14:paraId="078C1F7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2971" w:type="dxa"/>
            <w:shd w:val="clear" w:color="auto" w:fill="auto"/>
            <w:vAlign w:val="center"/>
          </w:tcPr>
          <w:p w14:paraId="6299C37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1.《易制毒化学品管理条例》（国务院令第445号）第二条、第七条；</w:t>
            </w:r>
          </w:p>
          <w:p w14:paraId="69C3354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2.《关于省政府部门下放一批行政权力事项的通知》（冀政办发〔2016〕7号）；</w:t>
            </w:r>
          </w:p>
          <w:p w14:paraId="08075545">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3:《易制毒化学品管理条例》（国务院令第445号）第十条。</w:t>
            </w:r>
          </w:p>
        </w:tc>
      </w:tr>
      <w:tr w14:paraId="46F2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700" w:type="dxa"/>
            <w:shd w:val="clear" w:color="auto" w:fill="auto"/>
            <w:vAlign w:val="center"/>
          </w:tcPr>
          <w:p w14:paraId="59559F2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val="en-US" w:eastAsia="zh-CN"/>
              </w:rPr>
              <w:t>5</w:t>
            </w:r>
          </w:p>
        </w:tc>
        <w:tc>
          <w:tcPr>
            <w:tcW w:w="1078" w:type="dxa"/>
            <w:vAlign w:val="center"/>
          </w:tcPr>
          <w:p w14:paraId="44DFED2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8C7E73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shd w:val="clear" w:color="auto" w:fill="auto"/>
            <w:vAlign w:val="center"/>
          </w:tcPr>
          <w:p w14:paraId="1190814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6BFDD8F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应急管理</w:t>
            </w:r>
            <w:r>
              <w:rPr>
                <w:rFonts w:hint="eastAsia" w:ascii="微软雅黑" w:hAnsi="微软雅黑" w:eastAsia="微软雅黑" w:cs="宋体"/>
                <w:kern w:val="0"/>
                <w:sz w:val="20"/>
                <w:szCs w:val="20"/>
                <w:lang w:eastAsia="zh-CN"/>
              </w:rPr>
              <w:t>局</w:t>
            </w:r>
          </w:p>
        </w:tc>
        <w:tc>
          <w:tcPr>
            <w:tcW w:w="2082" w:type="dxa"/>
            <w:vMerge w:val="continue"/>
            <w:vAlign w:val="center"/>
          </w:tcPr>
          <w:p w14:paraId="3A86E853">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1DDC5FB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CAB643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91" w:type="dxa"/>
            <w:shd w:val="clear" w:color="auto" w:fill="auto"/>
            <w:vAlign w:val="center"/>
          </w:tcPr>
          <w:p w14:paraId="3CE9BBF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详见下方</w:t>
            </w:r>
          </w:p>
        </w:tc>
        <w:tc>
          <w:tcPr>
            <w:tcW w:w="1736" w:type="dxa"/>
            <w:shd w:val="clear" w:color="auto" w:fill="auto"/>
            <w:vAlign w:val="center"/>
          </w:tcPr>
          <w:p w14:paraId="3D88238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14" w:type="dxa"/>
            <w:shd w:val="clear" w:color="auto" w:fill="auto"/>
            <w:vAlign w:val="center"/>
          </w:tcPr>
          <w:p w14:paraId="211BE1C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2DCC9FA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第一类非药品类易制毒化学品经营许可证核发</w:t>
            </w:r>
          </w:p>
        </w:tc>
        <w:tc>
          <w:tcPr>
            <w:tcW w:w="1072" w:type="dxa"/>
            <w:shd w:val="clear" w:color="auto" w:fill="auto"/>
            <w:vAlign w:val="center"/>
          </w:tcPr>
          <w:p w14:paraId="227A1D9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50" w:type="dxa"/>
            <w:vAlign w:val="center"/>
          </w:tcPr>
          <w:p w14:paraId="18BD952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否</w:t>
            </w:r>
          </w:p>
        </w:tc>
        <w:tc>
          <w:tcPr>
            <w:tcW w:w="2971" w:type="dxa"/>
            <w:shd w:val="clear" w:color="auto" w:fill="auto"/>
            <w:vAlign w:val="center"/>
          </w:tcPr>
          <w:p w14:paraId="6FE9EDD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1.《非药品类易制毒化学品生产、经营许可办法》（国家安监总局令第5号）第三条；</w:t>
            </w:r>
          </w:p>
          <w:p w14:paraId="06BD2BD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2.《易制毒化学品管理条例》（国务院令第445号）第十条；</w:t>
            </w:r>
          </w:p>
          <w:p w14:paraId="049738A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3.《关于省政府部门下放一批行政权力事项的通知》（冀政办发〔2016〕7号）。</w:t>
            </w:r>
          </w:p>
        </w:tc>
      </w:tr>
      <w:tr w14:paraId="1A15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5" w:hRule="atLeast"/>
          <w:jc w:val="center"/>
        </w:trPr>
        <w:tc>
          <w:tcPr>
            <w:tcW w:w="22102" w:type="dxa"/>
            <w:gridSpan w:val="15"/>
            <w:tcBorders>
              <w:bottom w:val="single" w:color="auto" w:sz="4" w:space="0"/>
            </w:tcBorders>
            <w:shd w:val="clear" w:color="auto" w:fill="auto"/>
            <w:vAlign w:val="center"/>
          </w:tcPr>
          <w:p w14:paraId="0D1DEE08">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165DCC6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自然人经营的投资人不依照本法规定保证安全生产所必需的资金投入，致使生产经营单位不具备安全生产条件的，责令限期改正，提供必需的资金；逾期未改正的，责令生产经营单位停产停业整顿。</w:t>
            </w:r>
          </w:p>
          <w:p w14:paraId="5F0D91F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有前款违法行为，导致发生生产安全事故的，对生产经营单位的主要负责人给予撤职处分，对自然人经营的投资人处二万元以上二十万元以下的罚款；构成犯罪的，依照刑法有关规定追究刑事责任。</w:t>
            </w:r>
          </w:p>
          <w:p w14:paraId="1886D7B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p>
          <w:p w14:paraId="566772E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2.《安全评价机构管理规定》</w:t>
            </w:r>
          </w:p>
          <w:p w14:paraId="5EA61677">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tc>
      </w:tr>
    </w:tbl>
    <w:p w14:paraId="37CC65D3">
      <w:pPr>
        <w:ind w:firstLine="640"/>
      </w:pPr>
      <w:r>
        <w:rPr>
          <w:bCs/>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848"/>
        <w:gridCol w:w="1800"/>
        <w:gridCol w:w="1093"/>
        <w:gridCol w:w="2186"/>
        <w:gridCol w:w="1093"/>
        <w:gridCol w:w="1028"/>
        <w:gridCol w:w="2993"/>
      </w:tblGrid>
      <w:tr w14:paraId="3BC3D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20D385A7">
            <w:pPr>
              <w:pStyle w:val="2"/>
              <w:rPr>
                <w:rFonts w:hint="eastAsia" w:eastAsia="华文中宋"/>
                <w:lang w:eastAsia="zh-CN"/>
              </w:rPr>
            </w:pPr>
            <w:bookmarkStart w:id="22" w:name="_Toc20473867"/>
            <w:r>
              <w:rPr>
                <w:rFonts w:hint="eastAsia"/>
              </w:rPr>
              <w:t>2</w:t>
            </w:r>
            <w:r>
              <w:rPr>
                <w:rFonts w:hint="eastAsia"/>
                <w:lang w:val="en-US" w:eastAsia="zh-CN"/>
              </w:rPr>
              <w:t>3</w:t>
            </w:r>
            <w:r>
              <w:rPr>
                <w:rFonts w:hint="eastAsia"/>
              </w:rPr>
              <w:t>、</w:t>
            </w:r>
            <w:bookmarkEnd w:id="22"/>
            <w:r>
              <w:rPr>
                <w:rFonts w:hint="eastAsia"/>
                <w:lang w:eastAsia="zh-CN"/>
              </w:rPr>
              <w:t>县行政审批局</w:t>
            </w:r>
          </w:p>
        </w:tc>
      </w:tr>
      <w:tr w14:paraId="31E8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2DC81030">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009" w:type="dxa"/>
            <w:gridSpan w:val="9"/>
            <w:shd w:val="clear" w:color="000000" w:fill="D6DCE4"/>
            <w:vAlign w:val="center"/>
          </w:tcPr>
          <w:p w14:paraId="1C8D93A6">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393" w:type="dxa"/>
            <w:gridSpan w:val="5"/>
            <w:shd w:val="clear" w:color="000000" w:fill="D6DCE4"/>
            <w:vAlign w:val="center"/>
          </w:tcPr>
          <w:p w14:paraId="508294E2">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4E6C8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5D934A56">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315C70E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1D64805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5E6743C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77DAB17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4C2B469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6B48443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267DFB1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848" w:type="dxa"/>
            <w:shd w:val="clear" w:color="000000" w:fill="D6DCE4"/>
            <w:vAlign w:val="center"/>
          </w:tcPr>
          <w:p w14:paraId="7E65E3E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800" w:type="dxa"/>
            <w:shd w:val="clear" w:color="000000" w:fill="D6DCE4"/>
            <w:vAlign w:val="center"/>
          </w:tcPr>
          <w:p w14:paraId="05A2520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093" w:type="dxa"/>
            <w:shd w:val="clear" w:color="000000" w:fill="D6DCE4"/>
            <w:vAlign w:val="center"/>
          </w:tcPr>
          <w:p w14:paraId="3346E96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86" w:type="dxa"/>
            <w:shd w:val="clear" w:color="000000" w:fill="D6DCE4"/>
            <w:vAlign w:val="center"/>
          </w:tcPr>
          <w:p w14:paraId="44D4960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93" w:type="dxa"/>
            <w:shd w:val="clear" w:color="000000" w:fill="D6DCE4"/>
            <w:vAlign w:val="center"/>
          </w:tcPr>
          <w:p w14:paraId="727451E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1028" w:type="dxa"/>
            <w:shd w:val="clear" w:color="000000" w:fill="D6DCE4"/>
            <w:vAlign w:val="center"/>
          </w:tcPr>
          <w:p w14:paraId="0BD02C2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2993" w:type="dxa"/>
            <w:shd w:val="clear" w:color="000000" w:fill="D6DCE4"/>
            <w:vAlign w:val="center"/>
          </w:tcPr>
          <w:p w14:paraId="5085862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4F3F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0" w:hRule="atLeast"/>
          <w:jc w:val="center"/>
        </w:trPr>
        <w:tc>
          <w:tcPr>
            <w:tcW w:w="700" w:type="dxa"/>
            <w:shd w:val="clear" w:color="auto" w:fill="auto"/>
            <w:vAlign w:val="center"/>
          </w:tcPr>
          <w:p w14:paraId="57811B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453EAD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547E1B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116375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187D060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shd w:val="clear" w:color="000000" w:fill="FFFFFF"/>
            <w:vAlign w:val="center"/>
          </w:tcPr>
          <w:p w14:paraId="489A9EBE">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限制失信被执行人设立融资性担保公司</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39BB91D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17893F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restart"/>
            <w:shd w:val="clear" w:color="auto" w:fill="auto"/>
            <w:vAlign w:val="center"/>
          </w:tcPr>
          <w:p w14:paraId="2BE26E66">
            <w:pPr>
              <w:widowControl/>
              <w:numPr>
                <w:ilvl w:val="0"/>
                <w:numId w:val="7"/>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《融资性担保公司管理暂行办法》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融资性担保公司应当以安全性、流动性、收益性为经营原则，建立</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场化运作的可持续审慎经营模式。</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融资性担保公司与企业、银行业金融机构等客户的业务往来，应当遵循诚实守信的原则，并遵守合同的约定。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第九条设立融资性担保公司，应当具备下列条件：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（一）有符合《中华人民共和国公司法》规定的章程。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（二）有具备持续出资能力的股东。</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（三）有符合本办法规定的注册资本。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（四）有符合任职资格的董事、监事、高级管理人员和合格的从业人员。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（五）有健全的组织机构、内部控制和风险管理制度。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（六）有符合要求的营业场所。</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（七）监管部门规定的其他审慎性条件。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董事、监事、高级管理人员和从业人员的资格管理办法由融资性担保业务监管部际联席会议另行制定。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2.《融资性担保公司董事、监事、高级管理人员任职资格管理暂行办法》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第五条 融资性担保公司董事、监事、高级管理人员应当具备以下条件：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（一）具有完全民事行为能力；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（二）遵纪守法，诚实守信，勤勉尽职，具有良好的职业操守、品行和声誉；</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（三）熟悉经济、金融、担保的法律法规，具有良好的合规意识和审慎经营意识；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（四）具备与拟任职务相适应的知识、经验和能力。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下列人员不得担任融资性担保公司董事、监事、高级管理人员：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（一）有故意或重大过失犯罪记录的；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 xml:space="preserve">（二）因违反职业操守或者工作严重失职给所任职的机构造成重大损失或者恶劣影响的；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（三）最近五年担任因违法经营而被撤销、接管、合并、宣告破产或者吊销营业执照的机构的董事、监事、高级管理人员，并负有个人责任的；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（四）曾在履行工作职责时有提供虚假信息等违反诚信原则行为，或指使、参与所任职机构对抗依法监管或案件查处，情节严重的；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（五）被取消董事、监事、高级管理人员任职资格或禁止从事担保或金融行业工作的年限未满的；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（六）提交虚假申请材料或明知不具备本办法规定的任职资格条件，采用欺骗、贿赂等不正当手段获得任职资格核准的；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（七）个人或配偶有数额较大的到期未偿还债务的；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（八）法律、法规规定的其他情形。</w:t>
            </w:r>
          </w:p>
          <w:p w14:paraId="0CCDF11F">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3</w:t>
            </w:r>
            <w:r>
              <w:rPr>
                <w:rFonts w:hint="eastAsia" w:ascii="微软雅黑" w:hAnsi="微软雅黑" w:eastAsia="微软雅黑" w:cs="宋体"/>
                <w:kern w:val="0"/>
                <w:sz w:val="20"/>
                <w:szCs w:val="20"/>
              </w:rPr>
              <w:t>.《药品生产质量管理规范》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企业应当严格执行本规范，坚持诚实守信，禁止任何虚假、欺骗行为。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val="en-US" w:eastAsia="zh-CN"/>
              </w:rPr>
              <w:t>4</w:t>
            </w:r>
            <w:r>
              <w:rPr>
                <w:rFonts w:hint="eastAsia" w:ascii="微软雅黑" w:hAnsi="微软雅黑" w:eastAsia="微软雅黑" w:cs="宋体"/>
                <w:kern w:val="0"/>
                <w:sz w:val="20"/>
                <w:szCs w:val="20"/>
              </w:rPr>
              <w:t>.《中华人民共和国药品管理法》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第七十五条 从事生产、销售假药及生产、销售劣药情节严重的企业或者其他单位，其直接负责的主管人员和其他直接责任人员十年内不得从事药品生产、经营活动。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对生产者专门用于生产假药、劣药的原辅材料、包装材料、生产设备，予以没收。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第八十二条 违反本法规定，提供虚假的证明、文件资料、样品或者采取其他欺骗手段取得《药品生产许可证》、《药品经营许可证》、《医疗机构制剂许可证》或者药品批准证明文件的，吊销《药品生产许可证》、《药品经营许可证》、《医疗机构制剂许可证》或者撤销药品批准证明文件，五年内不受理其申请，并处一万元以上三万元以下的罚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val="en-US" w:eastAsia="zh-CN"/>
              </w:rPr>
              <w:t>5</w:t>
            </w:r>
            <w:r>
              <w:rPr>
                <w:rFonts w:hint="eastAsia" w:ascii="微软雅黑" w:hAnsi="微软雅黑" w:eastAsia="微软雅黑" w:cs="宋体"/>
                <w:kern w:val="0"/>
                <w:sz w:val="20"/>
                <w:szCs w:val="20"/>
              </w:rPr>
              <w:t>.《中华人民共和国食品安全法》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第一百一十三条 县级以上人民政府食品药品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第一百三十五条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因食品安全犯罪被判处有期徒刑以上刑罚的，终身不得从事食品生产经营管理工作，也不得担任食品生产经营企业食品安全管理人员。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食品生产经营者聘用人员违反前两款规定的，由县级以上人民政府食品药品监督管理部门吊销许可证。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第一百三十八条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违反本法规定，受到开除处分的食品检验机构人员，自处分决定作出之日起十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食品检验机构出具虚假检验报告，使消费者的合法权益受到损害的，应当与食品生产经营者承担连带责任。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val="en-US" w:eastAsia="zh-CN"/>
              </w:rPr>
              <w:t>6</w:t>
            </w:r>
            <w:r>
              <w:rPr>
                <w:rFonts w:hint="eastAsia" w:ascii="微软雅黑" w:hAnsi="微软雅黑" w:eastAsia="微软雅黑" w:cs="宋体"/>
                <w:kern w:val="0"/>
                <w:sz w:val="20"/>
                <w:szCs w:val="20"/>
              </w:rPr>
              <w:t>.《医疗器械监督管理条例》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第六十三、六十四、六十五、六十九、七十、七十一条。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val="en-US" w:eastAsia="zh-CN"/>
              </w:rPr>
              <w:t>7</w:t>
            </w:r>
            <w:r>
              <w:rPr>
                <w:rFonts w:hint="eastAsia" w:ascii="微软雅黑" w:hAnsi="微软雅黑" w:eastAsia="微软雅黑" w:cs="宋体"/>
                <w:kern w:val="0"/>
                <w:sz w:val="20"/>
                <w:szCs w:val="20"/>
              </w:rPr>
              <w:t>.</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val="en-US" w:eastAsia="zh-CN"/>
              </w:rPr>
              <w:t>8</w:t>
            </w:r>
            <w:r>
              <w:rPr>
                <w:rFonts w:hint="eastAsia" w:ascii="微软雅黑" w:hAnsi="微软雅黑" w:eastAsia="微软雅黑" w:cs="宋体"/>
                <w:kern w:val="0"/>
                <w:sz w:val="20"/>
                <w:szCs w:val="20"/>
              </w:rPr>
              <w:t>.《安全评价机构管理规定》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p w14:paraId="1E33A462">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9</w:t>
            </w:r>
            <w:r>
              <w:rPr>
                <w:rFonts w:hint="eastAsia" w:ascii="微软雅黑" w:hAnsi="微软雅黑" w:eastAsia="微软雅黑" w:cs="宋体"/>
                <w:kern w:val="0"/>
                <w:sz w:val="20"/>
                <w:szCs w:val="20"/>
              </w:rPr>
              <w:t>.</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lang w:val="en-US" w:eastAsia="zh-CN"/>
              </w:rPr>
              <w:t>10</w:t>
            </w:r>
            <w:r>
              <w:rPr>
                <w:rFonts w:hint="eastAsia" w:ascii="微软雅黑" w:hAnsi="微软雅黑" w:eastAsia="微软雅黑" w:cs="宋体"/>
                <w:kern w:val="0"/>
                <w:sz w:val="20"/>
                <w:szCs w:val="20"/>
              </w:rPr>
              <w:t>．《安全评价机构管理规定》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p w14:paraId="276557E0">
            <w:pPr>
              <w:widowControl/>
              <w:spacing w:line="240" w:lineRule="auto"/>
              <w:ind w:firstLine="0" w:firstLineChars="0"/>
              <w:jc w:val="center"/>
              <w:rPr>
                <w:rFonts w:ascii="微软雅黑" w:hAnsi="微软雅黑" w:eastAsia="微软雅黑" w:cs="宋体"/>
                <w:kern w:val="0"/>
                <w:sz w:val="20"/>
                <w:szCs w:val="20"/>
              </w:rPr>
            </w:pPr>
          </w:p>
        </w:tc>
        <w:tc>
          <w:tcPr>
            <w:tcW w:w="1800" w:type="dxa"/>
            <w:shd w:val="clear" w:color="auto" w:fill="auto"/>
            <w:vAlign w:val="center"/>
          </w:tcPr>
          <w:p w14:paraId="650AE43F">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0193EC2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6991499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公司登记</w:t>
            </w:r>
          </w:p>
        </w:tc>
        <w:tc>
          <w:tcPr>
            <w:tcW w:w="1093" w:type="dxa"/>
            <w:shd w:val="clear" w:color="auto" w:fill="auto"/>
            <w:vAlign w:val="center"/>
          </w:tcPr>
          <w:p w14:paraId="5E8E7DE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0DE9247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shd w:val="clear" w:color="auto" w:fill="auto"/>
            <w:vAlign w:val="center"/>
          </w:tcPr>
          <w:p w14:paraId="1653932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67BD081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2.《合伙企业登记管理办法》（国务院236号令）第二条、第三条、第四条、第十一条、第十八条、第二十一条、第二十一条；</w:t>
            </w:r>
          </w:p>
          <w:p w14:paraId="4D57142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3.《企业法人登记管理条例》（国务院令第1号）第三条；</w:t>
            </w:r>
          </w:p>
          <w:p w14:paraId="53DC6E8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4.《中华人民共和国公司法》第六条；</w:t>
            </w:r>
          </w:p>
          <w:p w14:paraId="3D5F155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5.《中华人民共和国外资企业法》第七条、第二十三条；</w:t>
            </w:r>
          </w:p>
          <w:p w14:paraId="16EC242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p w14:paraId="49D3B35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7.《中华人民共和国中外合资经营企业法》第三条、第十五条、第六条、第二十五条；</w:t>
            </w:r>
          </w:p>
          <w:p w14:paraId="6894CD81">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8.《公司登记管理条例》第三条、第二十六条。</w:t>
            </w:r>
          </w:p>
        </w:tc>
      </w:tr>
      <w:tr w14:paraId="5286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0" w:hRule="atLeast"/>
          <w:jc w:val="center"/>
        </w:trPr>
        <w:tc>
          <w:tcPr>
            <w:tcW w:w="700" w:type="dxa"/>
            <w:shd w:val="clear" w:color="auto" w:fill="auto"/>
            <w:vAlign w:val="center"/>
          </w:tcPr>
          <w:p w14:paraId="14C47D2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vAlign w:val="center"/>
          </w:tcPr>
          <w:p w14:paraId="77F22A3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17B880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1F2410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E5341B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Align w:val="center"/>
          </w:tcPr>
          <w:p w14:paraId="27784751">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限制失信被执行人设立融资性担保公司</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4926935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BD2975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492B2D0D">
            <w:pPr>
              <w:widowControl/>
              <w:spacing w:line="240" w:lineRule="auto"/>
              <w:ind w:firstLine="0" w:firstLineChars="0"/>
              <w:jc w:val="center"/>
              <w:rPr>
                <w:rFonts w:ascii="微软雅黑" w:hAnsi="微软雅黑" w:eastAsia="微软雅黑" w:cs="宋体"/>
                <w:kern w:val="0"/>
                <w:sz w:val="20"/>
                <w:szCs w:val="20"/>
              </w:rPr>
            </w:pPr>
          </w:p>
        </w:tc>
        <w:tc>
          <w:tcPr>
            <w:tcW w:w="1800" w:type="dxa"/>
            <w:shd w:val="clear" w:color="auto" w:fill="auto"/>
            <w:vAlign w:val="center"/>
          </w:tcPr>
          <w:p w14:paraId="0636320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5282302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5098438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非公司企业登记</w:t>
            </w:r>
          </w:p>
        </w:tc>
        <w:tc>
          <w:tcPr>
            <w:tcW w:w="1093" w:type="dxa"/>
            <w:shd w:val="clear" w:color="auto" w:fill="auto"/>
            <w:vAlign w:val="center"/>
          </w:tcPr>
          <w:p w14:paraId="1D17E17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5F15CCD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1BC2771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5E9FD8B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p w14:paraId="0700E6E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3.《中华人民共和国外资企业法》第七条、第二十三条；</w:t>
            </w:r>
          </w:p>
          <w:p w14:paraId="5027A8B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4.《公司登记管理条例》第三条、第二十六条；</w:t>
            </w:r>
          </w:p>
          <w:p w14:paraId="5838BDA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5.《企业法人登记管理条例》（国务院令第1号）第三条；</w:t>
            </w:r>
          </w:p>
          <w:p w14:paraId="5F2924A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6.《合伙企业登记管理办法》（国务院236号令）第二条、第三条、第四条、第十一条、第十八条、第二十一条、第二十一条；</w:t>
            </w:r>
          </w:p>
          <w:p w14:paraId="0ACA012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7.《中华人民共和国中外合资经营企业法》第三条、第十五条、第六条、第二十五条；</w:t>
            </w:r>
          </w:p>
          <w:p w14:paraId="667A014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8.《中华人民共和国公司法》第六条。</w:t>
            </w:r>
          </w:p>
        </w:tc>
      </w:tr>
      <w:tr w14:paraId="30B9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shd w:val="clear" w:color="auto" w:fill="auto"/>
            <w:vAlign w:val="center"/>
          </w:tcPr>
          <w:p w14:paraId="729CA0B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vAlign w:val="center"/>
          </w:tcPr>
          <w:p w14:paraId="4CC316A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3924097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2BAA060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EC5B6B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Align w:val="center"/>
          </w:tcPr>
          <w:p w14:paraId="57B00E57">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限制失信被执行人设立融资性担保公司</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5E09277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35C05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2E92B5BD">
            <w:pPr>
              <w:widowControl/>
              <w:spacing w:line="240" w:lineRule="auto"/>
              <w:ind w:firstLine="0" w:firstLineChars="0"/>
              <w:jc w:val="center"/>
              <w:rPr>
                <w:rFonts w:ascii="微软雅黑" w:hAnsi="微软雅黑" w:eastAsia="微软雅黑" w:cs="宋体"/>
                <w:kern w:val="0"/>
                <w:sz w:val="20"/>
                <w:szCs w:val="20"/>
              </w:rPr>
            </w:pPr>
          </w:p>
        </w:tc>
        <w:tc>
          <w:tcPr>
            <w:tcW w:w="1800" w:type="dxa"/>
            <w:shd w:val="clear" w:color="auto" w:fill="auto"/>
            <w:vAlign w:val="center"/>
          </w:tcPr>
          <w:p w14:paraId="0834BB16">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38B3C66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777E2B0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非公司企业法人按</w:t>
            </w:r>
            <w:r>
              <w:rPr>
                <w:rFonts w:hint="eastAsia" w:ascii="微软雅黑" w:hAnsi="微软雅黑" w:eastAsia="微软雅黑" w:cs="宋体"/>
                <w:kern w:val="0"/>
                <w:sz w:val="20"/>
                <w:szCs w:val="20"/>
                <w:lang w:eastAsia="zh-CN"/>
              </w:rPr>
              <w:t>《中华人民共和国公司法》</w:t>
            </w:r>
            <w:r>
              <w:rPr>
                <w:rFonts w:hint="eastAsia" w:ascii="微软雅黑" w:hAnsi="微软雅黑" w:eastAsia="微软雅黑" w:cs="宋体"/>
                <w:kern w:val="0"/>
                <w:sz w:val="20"/>
                <w:szCs w:val="20"/>
              </w:rPr>
              <w:t>改制登记</w:t>
            </w:r>
          </w:p>
        </w:tc>
        <w:tc>
          <w:tcPr>
            <w:tcW w:w="1093" w:type="dxa"/>
            <w:shd w:val="clear" w:color="auto" w:fill="auto"/>
            <w:vAlign w:val="center"/>
          </w:tcPr>
          <w:p w14:paraId="200B64E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539C7A6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1DDA53D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1147B9C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2.《公司登记管理条例》第三条、第二十六条；</w:t>
            </w:r>
          </w:p>
          <w:p w14:paraId="2E373AE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p w14:paraId="6DF39A2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4.《中华人民共和国公司法》第六条；</w:t>
            </w:r>
          </w:p>
          <w:p w14:paraId="4DD3BD2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5.《中华人民共和国中外合资经营企业法》第三条、第十五条、第六条、第二十五条；</w:t>
            </w:r>
          </w:p>
          <w:p w14:paraId="59A41B1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6.《企业法人登记管理条例》（国务院令第1号）第三条；</w:t>
            </w:r>
          </w:p>
          <w:p w14:paraId="4086CB5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7.《中华人民共和国外资企业法》第七条、第二十三条；</w:t>
            </w:r>
          </w:p>
          <w:p w14:paraId="4AB6CAC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8.《合伙企业登记管理办法》（国务院236号令）第二条、第三条、第四条、第十一条、第十八条、第二十一条、第二十一条。</w:t>
            </w:r>
          </w:p>
        </w:tc>
      </w:tr>
      <w:tr w14:paraId="371E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0" w:hRule="atLeast"/>
          <w:jc w:val="center"/>
        </w:trPr>
        <w:tc>
          <w:tcPr>
            <w:tcW w:w="700" w:type="dxa"/>
            <w:shd w:val="clear" w:color="auto" w:fill="auto"/>
            <w:vAlign w:val="center"/>
          </w:tcPr>
          <w:p w14:paraId="396E0DD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vAlign w:val="center"/>
          </w:tcPr>
          <w:p w14:paraId="7AE2A57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41F152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765AF10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1AD81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Align w:val="center"/>
          </w:tcPr>
          <w:p w14:paraId="7BACD1A3">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限制失信被执行人设立融资性担保</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公司限制失信被执行人担任银行业金融机构、证券公司、基金管理公司、期货公司、保险公司、融资性担保公司的董事、监事、高级管理人员</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3FB2647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289145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609DA855">
            <w:pPr>
              <w:widowControl/>
              <w:spacing w:line="240" w:lineRule="auto"/>
              <w:ind w:firstLine="0" w:firstLineChars="0"/>
              <w:jc w:val="left"/>
              <w:rPr>
                <w:rFonts w:ascii="微软雅黑" w:hAnsi="微软雅黑" w:eastAsia="微软雅黑" w:cs="宋体"/>
                <w:kern w:val="0"/>
                <w:sz w:val="20"/>
                <w:szCs w:val="20"/>
                <w:lang w:val="en-US" w:eastAsia="zh-CN" w:bidi="ar-SA"/>
              </w:rPr>
            </w:pPr>
          </w:p>
        </w:tc>
        <w:tc>
          <w:tcPr>
            <w:tcW w:w="1800" w:type="dxa"/>
            <w:shd w:val="clear" w:color="auto" w:fill="auto"/>
            <w:vAlign w:val="center"/>
          </w:tcPr>
          <w:p w14:paraId="2825C7D1">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74F5037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7D3A844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企业备案</w:t>
            </w:r>
          </w:p>
        </w:tc>
        <w:tc>
          <w:tcPr>
            <w:tcW w:w="1093" w:type="dxa"/>
            <w:shd w:val="clear" w:color="auto" w:fill="auto"/>
            <w:vAlign w:val="center"/>
          </w:tcPr>
          <w:p w14:paraId="1D45959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4D8AC1B5">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1C6A105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1.《企业法人登记管理条例》（国务院令第1号）第三条；</w:t>
            </w:r>
          </w:p>
          <w:p w14:paraId="720C95D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2.《合伙企业登记管理办法》（国务院236号令）第二条、第三条、第四条、第十一条、第十八条、第二十一条、第二十一条；</w:t>
            </w:r>
          </w:p>
          <w:p w14:paraId="56A56D1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3.《中华人民共和国中外合资经营企业法》第三条、第十五条、第六条、第二十五条；</w:t>
            </w:r>
          </w:p>
          <w:p w14:paraId="6BDA70B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4.《中华人民共和国公司法》第六条；</w:t>
            </w:r>
          </w:p>
          <w:p w14:paraId="6303A62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5.《公司登记管理条例》第三条、第二十六条；</w:t>
            </w:r>
          </w:p>
          <w:p w14:paraId="6EAFEF1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p w14:paraId="77B5D64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6EB577B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8.《中华人民共和国外资企业法》第七条、第二十三条。</w:t>
            </w:r>
          </w:p>
        </w:tc>
      </w:tr>
      <w:tr w14:paraId="760B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700" w:type="dxa"/>
            <w:shd w:val="clear" w:color="auto" w:fill="auto"/>
            <w:vAlign w:val="center"/>
          </w:tcPr>
          <w:p w14:paraId="54F090A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5</w:t>
            </w:r>
          </w:p>
        </w:tc>
        <w:tc>
          <w:tcPr>
            <w:tcW w:w="1078" w:type="dxa"/>
            <w:vAlign w:val="center"/>
          </w:tcPr>
          <w:p w14:paraId="22CB66D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D6F718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34D9B1F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97742F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Align w:val="center"/>
          </w:tcPr>
          <w:p w14:paraId="76F1D287">
            <w:pPr>
              <w:widowControl/>
              <w:spacing w:line="240" w:lineRule="auto"/>
              <w:ind w:firstLine="0" w:firstLineChars="0"/>
              <w:jc w:val="left"/>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限制失信被执行人设立融资性担保公司</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1011A67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3C8E2C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72A735B7">
            <w:pPr>
              <w:widowControl/>
              <w:spacing w:line="240" w:lineRule="auto"/>
              <w:ind w:firstLine="0" w:firstLineChars="0"/>
              <w:jc w:val="center"/>
              <w:rPr>
                <w:rFonts w:ascii="微软雅黑" w:hAnsi="微软雅黑" w:eastAsia="微软雅黑" w:cs="宋体"/>
                <w:kern w:val="0"/>
                <w:sz w:val="20"/>
                <w:szCs w:val="20"/>
              </w:rPr>
            </w:pPr>
          </w:p>
        </w:tc>
        <w:tc>
          <w:tcPr>
            <w:tcW w:w="1800" w:type="dxa"/>
            <w:shd w:val="clear" w:color="auto" w:fill="auto"/>
            <w:vAlign w:val="center"/>
          </w:tcPr>
          <w:p w14:paraId="13B80E46">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4D77F10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49D94E1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合伙企业登记</w:t>
            </w:r>
          </w:p>
        </w:tc>
        <w:tc>
          <w:tcPr>
            <w:tcW w:w="1093" w:type="dxa"/>
            <w:shd w:val="clear" w:color="auto" w:fill="auto"/>
            <w:vAlign w:val="center"/>
          </w:tcPr>
          <w:p w14:paraId="2E06397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668C25E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0BF4391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1.《中华人民共和国公司法》第六条；</w:t>
            </w:r>
          </w:p>
          <w:p w14:paraId="2F651C8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2.《公司登记管理条例》:第三条、第二十六条；</w:t>
            </w:r>
          </w:p>
          <w:p w14:paraId="6175F39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3.《中华人民共和国中外合资经营企业法》第三条、第十五条、第六条、第二十五条；</w:t>
            </w:r>
          </w:p>
          <w:p w14:paraId="7A11A39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p w14:paraId="1B8AD70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5.《合伙企业登记管理办法》（国务院236号令）第二条、第三条、第四条、第十一条、第十八条、第二十一条、第二十一条；</w:t>
            </w:r>
          </w:p>
          <w:p w14:paraId="31037AF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46B36694">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7.《企业法人登记管理条例（国务院令第1号）第三条；</w:t>
            </w:r>
          </w:p>
          <w:p w14:paraId="67B1574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8.《中华人民共和国外资企业法》第七条、第二十三条。</w:t>
            </w:r>
          </w:p>
        </w:tc>
      </w:tr>
      <w:tr w14:paraId="02DFE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0" w:hRule="atLeast"/>
          <w:jc w:val="center"/>
        </w:trPr>
        <w:tc>
          <w:tcPr>
            <w:tcW w:w="700" w:type="dxa"/>
            <w:shd w:val="clear" w:color="auto" w:fill="auto"/>
            <w:vAlign w:val="center"/>
          </w:tcPr>
          <w:p w14:paraId="736D82E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6</w:t>
            </w:r>
          </w:p>
        </w:tc>
        <w:tc>
          <w:tcPr>
            <w:tcW w:w="1078" w:type="dxa"/>
            <w:vAlign w:val="center"/>
          </w:tcPr>
          <w:p w14:paraId="177B697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44754A5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5C02D26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0582F0D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Align w:val="center"/>
          </w:tcPr>
          <w:p w14:paraId="77BB998A">
            <w:pPr>
              <w:widowControl/>
              <w:spacing w:line="240" w:lineRule="auto"/>
              <w:ind w:firstLine="0" w:firstLineChars="0"/>
              <w:jc w:val="left"/>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限制失信被执行人设立融资性担保公司</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35340B3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3FBF82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6031519C">
            <w:pPr>
              <w:widowControl/>
              <w:spacing w:line="240" w:lineRule="auto"/>
              <w:ind w:firstLine="0" w:firstLineChars="0"/>
              <w:jc w:val="center"/>
              <w:rPr>
                <w:rFonts w:ascii="微软雅黑" w:hAnsi="微软雅黑" w:eastAsia="微软雅黑" w:cs="宋体"/>
                <w:kern w:val="0"/>
                <w:sz w:val="20"/>
                <w:szCs w:val="20"/>
              </w:rPr>
            </w:pPr>
          </w:p>
        </w:tc>
        <w:tc>
          <w:tcPr>
            <w:tcW w:w="1800" w:type="dxa"/>
            <w:shd w:val="clear" w:color="auto" w:fill="auto"/>
            <w:vAlign w:val="center"/>
          </w:tcPr>
          <w:p w14:paraId="69322F2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55838D86">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4C2DF09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个人独资企业登记</w:t>
            </w:r>
          </w:p>
        </w:tc>
        <w:tc>
          <w:tcPr>
            <w:tcW w:w="1093" w:type="dxa"/>
            <w:shd w:val="clear" w:color="auto" w:fill="auto"/>
            <w:vAlign w:val="center"/>
          </w:tcPr>
          <w:p w14:paraId="51F9312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0D2FB88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0F59DF7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1.《中华人民共和国公司法》第六条；</w:t>
            </w:r>
          </w:p>
          <w:p w14:paraId="3F87A3D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2B83CD8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3.《中华人民共和国中外合资经营企业法》第三条、第十五条、第六条、第二十五条；</w:t>
            </w:r>
          </w:p>
          <w:p w14:paraId="5358829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4.《合伙企业登记管理办法》（国务院236号令）第二条、第三条、第四条、第十一条、第十八条、第二十一条、第二十一条；</w:t>
            </w:r>
          </w:p>
          <w:p w14:paraId="20EA4742">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5.《中华人民共和国外资企业法》第七条、第二十三条；</w:t>
            </w:r>
          </w:p>
          <w:p w14:paraId="09954FD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6.《公司登记管理条例》第三条、第二十六条；</w:t>
            </w:r>
          </w:p>
          <w:p w14:paraId="5D5ED8D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7.《企业法人登记管理条例》（国务院令第1号）第三条；</w:t>
            </w:r>
          </w:p>
          <w:p w14:paraId="449C1A7B">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8.</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tc>
      </w:tr>
      <w:tr w14:paraId="5ADF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700" w:type="dxa"/>
            <w:shd w:val="clear" w:color="auto" w:fill="auto"/>
            <w:vAlign w:val="center"/>
          </w:tcPr>
          <w:p w14:paraId="495A7154">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7</w:t>
            </w:r>
          </w:p>
        </w:tc>
        <w:tc>
          <w:tcPr>
            <w:tcW w:w="1078" w:type="dxa"/>
            <w:shd w:val="clear" w:color="auto" w:fill="auto"/>
            <w:vAlign w:val="center"/>
          </w:tcPr>
          <w:p w14:paraId="5B8DF81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448D60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F17BBC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1356525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shd w:val="clear" w:color="000000" w:fill="FFFFFF"/>
            <w:vAlign w:val="center"/>
          </w:tcPr>
          <w:p w14:paraId="0F43658F">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p>
        </w:tc>
        <w:tc>
          <w:tcPr>
            <w:tcW w:w="1131" w:type="dxa"/>
            <w:shd w:val="clear" w:color="auto" w:fill="auto"/>
            <w:vAlign w:val="center"/>
          </w:tcPr>
          <w:p w14:paraId="3486B6D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C37C9F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restart"/>
            <w:shd w:val="clear" w:color="auto" w:fill="auto"/>
            <w:vAlign w:val="center"/>
          </w:tcPr>
          <w:p w14:paraId="00823615">
            <w:pPr>
              <w:widowControl/>
              <w:numPr>
                <w:ilvl w:val="0"/>
                <w:numId w:val="8"/>
              </w:numPr>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《药品生产质量管理规范》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企业应当严格执行本规范，坚持诚实守信，禁止任何虚假、欺骗行为。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2.《中华人民共和国药品管理法》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第七十五条 从事生产、销售假药及生产、销售劣药情节严重的企业或者其他单位，其直接负责的主管人员和其他直接责任人员十年内不得从事药品生产、经营活动。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对生产者专门用于生产假药、劣药的原辅材料、包装材料、生产设备，予以没收。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第八十二条 违反本法规定，提供虚假的证明、文件资料、样品或者采取其他欺骗手段取得《药品生产许可证》、《药品经营许可证》、《医疗机构制剂许可证》或者药品批准证明文件的，吊销《药品生产许可证》、《药品经营许可证》、《医疗机构制剂许可证》或者撤销药品批准证明文件，五年内不受理其申请，并处一万元以上三万元以下的罚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3.《中华人民共和国食品安全法》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第一百一十三条 县级以上人民政府食品药品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第一百三十五条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因食品安全犯罪被判处有期徒刑以上刑罚的，终身不得从事食品生产经营管理工作，也不得担任食品生产经营企业食品安全管理人员。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食品生产经营者聘用人员违反前两款规定的，由县级以上人民政府食品药品监督管理部门吊销许可证。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第一百三十八条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违反本法规定，受到开除处分的食品检验机构人员，自处分决定作出之日起</w:t>
            </w:r>
            <w:r>
              <w:rPr>
                <w:rFonts w:hint="eastAsia" w:ascii="微软雅黑" w:hAnsi="微软雅黑" w:eastAsia="微软雅黑" w:cs="宋体"/>
                <w:kern w:val="0"/>
                <w:sz w:val="20"/>
                <w:szCs w:val="20"/>
                <w:lang w:eastAsia="zh-CN"/>
              </w:rPr>
              <w:t>十</w:t>
            </w:r>
            <w:r>
              <w:rPr>
                <w:rFonts w:hint="eastAsia" w:ascii="微软雅黑" w:hAnsi="微软雅黑" w:eastAsia="微软雅黑" w:cs="宋体"/>
                <w:kern w:val="0"/>
                <w:sz w:val="20"/>
                <w:szCs w:val="20"/>
              </w:rPr>
              <w:t>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食品检验机构出具虚假检验报告，使消费者的合法权益受到损害的，应当与食品生产经营者承担连带责任。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4.《医疗器械监督管理条例》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第六十三、六十四、六十五、六十九、七十、七十一条。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p>
          <w:p w14:paraId="347EED02">
            <w:pPr>
              <w:widowControl/>
              <w:numPr>
                <w:ilvl w:val="0"/>
                <w:numId w:val="0"/>
              </w:numPr>
              <w:spacing w:line="240" w:lineRule="auto"/>
              <w:ind w:left="0" w:leftChars="0"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p w14:paraId="10CB5EDD">
            <w:pPr>
              <w:widowControl/>
              <w:spacing w:line="240" w:lineRule="auto"/>
              <w:ind w:firstLine="0" w:firstLineChars="0"/>
              <w:jc w:val="center"/>
              <w:rPr>
                <w:rFonts w:ascii="微软雅黑" w:hAnsi="微软雅黑" w:eastAsia="微软雅黑" w:cs="宋体"/>
                <w:kern w:val="0"/>
                <w:sz w:val="20"/>
                <w:szCs w:val="20"/>
              </w:rPr>
            </w:pPr>
          </w:p>
          <w:p w14:paraId="5D99DF15">
            <w:pPr>
              <w:widowControl/>
              <w:spacing w:line="240" w:lineRule="auto"/>
              <w:ind w:firstLine="0" w:firstLineChars="0"/>
              <w:jc w:val="both"/>
              <w:rPr>
                <w:rFonts w:ascii="微软雅黑" w:hAnsi="微软雅黑" w:eastAsia="微软雅黑" w:cs="宋体"/>
                <w:kern w:val="0"/>
                <w:sz w:val="20"/>
                <w:szCs w:val="20"/>
              </w:rPr>
            </w:pPr>
          </w:p>
        </w:tc>
        <w:tc>
          <w:tcPr>
            <w:tcW w:w="1800" w:type="dxa"/>
            <w:shd w:val="clear" w:color="auto" w:fill="auto"/>
            <w:vAlign w:val="center"/>
          </w:tcPr>
          <w:p w14:paraId="6F6765F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1D8C92D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18FD844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食品（含保健食品）生产许可</w:t>
            </w:r>
          </w:p>
        </w:tc>
        <w:tc>
          <w:tcPr>
            <w:tcW w:w="1093" w:type="dxa"/>
            <w:shd w:val="clear" w:color="auto" w:fill="auto"/>
            <w:vAlign w:val="center"/>
          </w:tcPr>
          <w:p w14:paraId="75ABD54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22E03CDB">
            <w:pPr>
              <w:widowControl/>
              <w:numPr>
                <w:ilvl w:val="0"/>
                <w:numId w:val="0"/>
              </w:numPr>
              <w:spacing w:line="240" w:lineRule="auto"/>
              <w:rPr>
                <w:rFonts w:ascii="微软雅黑" w:hAnsi="微软雅黑" w:eastAsia="微软雅黑" w:cs="宋体"/>
                <w:kern w:val="0"/>
                <w:sz w:val="20"/>
                <w:szCs w:val="20"/>
              </w:rPr>
            </w:pPr>
          </w:p>
        </w:tc>
        <w:tc>
          <w:tcPr>
            <w:tcW w:w="2993" w:type="dxa"/>
            <w:shd w:val="clear" w:color="auto" w:fill="auto"/>
            <w:vAlign w:val="center"/>
          </w:tcPr>
          <w:p w14:paraId="7E28202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《中华人民共和国食品安全法》第三十五条。</w:t>
            </w:r>
          </w:p>
        </w:tc>
      </w:tr>
      <w:tr w14:paraId="614B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00" w:type="dxa"/>
            <w:shd w:val="clear" w:color="auto" w:fill="auto"/>
            <w:vAlign w:val="center"/>
          </w:tcPr>
          <w:p w14:paraId="73A79A0B">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8</w:t>
            </w:r>
          </w:p>
        </w:tc>
        <w:tc>
          <w:tcPr>
            <w:tcW w:w="1078" w:type="dxa"/>
            <w:vAlign w:val="center"/>
          </w:tcPr>
          <w:p w14:paraId="21A7083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03B518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11701F6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5C95C8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Merge w:val="restart"/>
            <w:vAlign w:val="center"/>
          </w:tcPr>
          <w:p w14:paraId="7BEA088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p>
        </w:tc>
        <w:tc>
          <w:tcPr>
            <w:tcW w:w="1131" w:type="dxa"/>
            <w:shd w:val="clear" w:color="auto" w:fill="auto"/>
            <w:vAlign w:val="center"/>
          </w:tcPr>
          <w:p w14:paraId="30B43A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AAA53A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18B08131">
            <w:pPr>
              <w:widowControl/>
              <w:spacing w:line="240" w:lineRule="auto"/>
              <w:ind w:firstLine="0" w:firstLineChars="0"/>
              <w:jc w:val="center"/>
              <w:rPr>
                <w:rFonts w:ascii="微软雅黑" w:hAnsi="微软雅黑" w:eastAsia="微软雅黑" w:cs="宋体"/>
                <w:kern w:val="0"/>
                <w:sz w:val="20"/>
                <w:szCs w:val="20"/>
              </w:rPr>
            </w:pPr>
          </w:p>
        </w:tc>
        <w:tc>
          <w:tcPr>
            <w:tcW w:w="1800" w:type="dxa"/>
            <w:vMerge w:val="restart"/>
            <w:shd w:val="clear" w:color="auto" w:fill="auto"/>
            <w:vAlign w:val="center"/>
          </w:tcPr>
          <w:p w14:paraId="1684C80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4C53E1AF">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25A1B4D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食品（含保健食品）经营许可</w:t>
            </w:r>
          </w:p>
        </w:tc>
        <w:tc>
          <w:tcPr>
            <w:tcW w:w="1093" w:type="dxa"/>
            <w:shd w:val="clear" w:color="auto" w:fill="auto"/>
            <w:vAlign w:val="center"/>
          </w:tcPr>
          <w:p w14:paraId="34A6B88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1354B9B1">
            <w:pPr>
              <w:widowControl/>
              <w:spacing w:line="240" w:lineRule="auto"/>
              <w:ind w:firstLine="0" w:firstLineChars="0"/>
              <w:jc w:val="left"/>
              <w:rPr>
                <w:rFonts w:ascii="微软雅黑" w:hAnsi="微软雅黑" w:eastAsia="微软雅黑" w:cs="宋体"/>
                <w:kern w:val="0"/>
                <w:sz w:val="20"/>
                <w:szCs w:val="20"/>
              </w:rPr>
            </w:pPr>
          </w:p>
        </w:tc>
        <w:tc>
          <w:tcPr>
            <w:tcW w:w="2993" w:type="dxa"/>
            <w:vAlign w:val="center"/>
          </w:tcPr>
          <w:p w14:paraId="480DCC0C">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《中华人民共和国食品安全法》;第三十五条。</w:t>
            </w:r>
          </w:p>
        </w:tc>
      </w:tr>
      <w:tr w14:paraId="7CE6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00" w:type="dxa"/>
            <w:shd w:val="clear" w:color="auto" w:fill="auto"/>
            <w:vAlign w:val="center"/>
          </w:tcPr>
          <w:p w14:paraId="6BB407DD">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9</w:t>
            </w:r>
          </w:p>
        </w:tc>
        <w:tc>
          <w:tcPr>
            <w:tcW w:w="1078" w:type="dxa"/>
            <w:vAlign w:val="center"/>
          </w:tcPr>
          <w:p w14:paraId="43C940E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6603C92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01AFC3F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7A2D803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377C1049">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7A62F0E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D09C2A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2ADFA962">
            <w:pPr>
              <w:widowControl/>
              <w:spacing w:line="240" w:lineRule="auto"/>
              <w:ind w:firstLine="0" w:firstLineChars="0"/>
              <w:jc w:val="center"/>
              <w:rPr>
                <w:rFonts w:ascii="微软雅黑" w:hAnsi="微软雅黑" w:eastAsia="微软雅黑" w:cs="宋体"/>
                <w:kern w:val="0"/>
                <w:sz w:val="20"/>
                <w:szCs w:val="20"/>
              </w:rPr>
            </w:pPr>
          </w:p>
        </w:tc>
        <w:tc>
          <w:tcPr>
            <w:tcW w:w="1800" w:type="dxa"/>
            <w:vMerge w:val="continue"/>
            <w:shd w:val="clear" w:color="auto" w:fill="auto"/>
            <w:vAlign w:val="center"/>
          </w:tcPr>
          <w:p w14:paraId="154F41C6">
            <w:pPr>
              <w:widowControl/>
              <w:spacing w:line="240" w:lineRule="auto"/>
              <w:ind w:firstLine="0" w:firstLineChars="0"/>
              <w:rPr>
                <w:rFonts w:ascii="微软雅黑" w:hAnsi="微软雅黑" w:eastAsia="微软雅黑" w:cs="宋体"/>
                <w:kern w:val="0"/>
                <w:sz w:val="20"/>
                <w:szCs w:val="20"/>
              </w:rPr>
            </w:pPr>
          </w:p>
        </w:tc>
        <w:tc>
          <w:tcPr>
            <w:tcW w:w="1093" w:type="dxa"/>
            <w:shd w:val="clear" w:color="auto" w:fill="auto"/>
            <w:vAlign w:val="center"/>
          </w:tcPr>
          <w:p w14:paraId="55CB0DA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3B260E1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食品添加剂生产许可</w:t>
            </w:r>
          </w:p>
        </w:tc>
        <w:tc>
          <w:tcPr>
            <w:tcW w:w="1093" w:type="dxa"/>
            <w:shd w:val="clear" w:color="auto" w:fill="auto"/>
            <w:vAlign w:val="center"/>
          </w:tcPr>
          <w:p w14:paraId="0058A78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08EFFCEA">
            <w:pPr>
              <w:widowControl/>
              <w:spacing w:line="240" w:lineRule="auto"/>
              <w:ind w:firstLine="0" w:firstLineChars="0"/>
              <w:jc w:val="left"/>
              <w:rPr>
                <w:rFonts w:ascii="微软雅黑" w:hAnsi="微软雅黑" w:eastAsia="微软雅黑" w:cs="宋体"/>
                <w:kern w:val="0"/>
                <w:sz w:val="20"/>
                <w:szCs w:val="20"/>
              </w:rPr>
            </w:pPr>
          </w:p>
        </w:tc>
        <w:tc>
          <w:tcPr>
            <w:tcW w:w="2993" w:type="dxa"/>
            <w:vAlign w:val="center"/>
          </w:tcPr>
          <w:p w14:paraId="3D14000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《中华人民共和国食品安全法》第三十九条。</w:t>
            </w:r>
          </w:p>
        </w:tc>
      </w:tr>
      <w:tr w14:paraId="0F4F8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469534DE">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10</w:t>
            </w:r>
          </w:p>
        </w:tc>
        <w:tc>
          <w:tcPr>
            <w:tcW w:w="1078" w:type="dxa"/>
            <w:vAlign w:val="center"/>
          </w:tcPr>
          <w:p w14:paraId="24C19B4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12FCB57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39F2AE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169140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404DD823">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55D00C4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6F0241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61A66AF2">
            <w:pPr>
              <w:widowControl/>
              <w:spacing w:line="240" w:lineRule="auto"/>
              <w:ind w:firstLine="0" w:firstLineChars="0"/>
              <w:jc w:val="center"/>
              <w:rPr>
                <w:rFonts w:ascii="微软雅黑" w:hAnsi="微软雅黑" w:eastAsia="微软雅黑" w:cs="宋体"/>
                <w:kern w:val="0"/>
                <w:sz w:val="20"/>
                <w:szCs w:val="20"/>
              </w:rPr>
            </w:pPr>
          </w:p>
        </w:tc>
        <w:tc>
          <w:tcPr>
            <w:tcW w:w="1800" w:type="dxa"/>
            <w:vMerge w:val="continue"/>
            <w:shd w:val="clear" w:color="auto" w:fill="auto"/>
            <w:vAlign w:val="center"/>
          </w:tcPr>
          <w:p w14:paraId="4362BA14">
            <w:pPr>
              <w:widowControl/>
              <w:spacing w:line="240" w:lineRule="auto"/>
              <w:ind w:firstLine="0" w:firstLineChars="0"/>
              <w:rPr>
                <w:rFonts w:ascii="微软雅黑" w:hAnsi="微软雅黑" w:eastAsia="微软雅黑" w:cs="宋体"/>
                <w:kern w:val="0"/>
                <w:sz w:val="20"/>
                <w:szCs w:val="20"/>
              </w:rPr>
            </w:pPr>
          </w:p>
        </w:tc>
        <w:tc>
          <w:tcPr>
            <w:tcW w:w="1093" w:type="dxa"/>
            <w:shd w:val="clear" w:color="auto" w:fill="auto"/>
            <w:vAlign w:val="center"/>
          </w:tcPr>
          <w:p w14:paraId="6D6B7F2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316F728A">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食品生产许可（核发）</w:t>
            </w:r>
          </w:p>
        </w:tc>
        <w:tc>
          <w:tcPr>
            <w:tcW w:w="1093" w:type="dxa"/>
            <w:shd w:val="clear" w:color="auto" w:fill="auto"/>
            <w:vAlign w:val="center"/>
          </w:tcPr>
          <w:p w14:paraId="06B72B6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0098885A">
            <w:pPr>
              <w:widowControl/>
              <w:spacing w:line="240" w:lineRule="auto"/>
              <w:ind w:firstLine="0" w:firstLineChars="0"/>
              <w:jc w:val="left"/>
              <w:rPr>
                <w:rFonts w:ascii="微软雅黑" w:hAnsi="微软雅黑" w:eastAsia="微软雅黑" w:cs="宋体"/>
                <w:kern w:val="0"/>
                <w:sz w:val="20"/>
                <w:szCs w:val="20"/>
              </w:rPr>
            </w:pPr>
          </w:p>
        </w:tc>
        <w:tc>
          <w:tcPr>
            <w:tcW w:w="2993" w:type="dxa"/>
            <w:vAlign w:val="center"/>
          </w:tcPr>
          <w:p w14:paraId="7445869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《食品生产许可管理办法》（国家食品药品监督管理总局令第16号）第十三条。</w:t>
            </w:r>
          </w:p>
          <w:p w14:paraId="4D655E97">
            <w:pPr>
              <w:widowControl/>
              <w:spacing w:line="240" w:lineRule="auto"/>
              <w:ind w:firstLine="0" w:firstLineChars="0"/>
              <w:jc w:val="left"/>
              <w:rPr>
                <w:rFonts w:ascii="微软雅黑" w:hAnsi="微软雅黑" w:eastAsia="微软雅黑" w:cs="宋体"/>
                <w:kern w:val="0"/>
                <w:sz w:val="20"/>
                <w:szCs w:val="20"/>
              </w:rPr>
            </w:pPr>
          </w:p>
        </w:tc>
      </w:tr>
      <w:tr w14:paraId="6F0C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00" w:type="dxa"/>
            <w:shd w:val="clear" w:color="auto" w:fill="auto"/>
            <w:vAlign w:val="center"/>
          </w:tcPr>
          <w:p w14:paraId="0B054F39">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11</w:t>
            </w:r>
          </w:p>
        </w:tc>
        <w:tc>
          <w:tcPr>
            <w:tcW w:w="1078" w:type="dxa"/>
            <w:vAlign w:val="center"/>
          </w:tcPr>
          <w:p w14:paraId="075A510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0036F9F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6893133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27727AE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Merge w:val="restart"/>
            <w:vAlign w:val="center"/>
          </w:tcPr>
          <w:p w14:paraId="296B0AE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p>
        </w:tc>
        <w:tc>
          <w:tcPr>
            <w:tcW w:w="1131" w:type="dxa"/>
            <w:shd w:val="clear" w:color="auto" w:fill="auto"/>
            <w:vAlign w:val="center"/>
          </w:tcPr>
          <w:p w14:paraId="018D2EBB">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4C68F4D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753AE689">
            <w:pPr>
              <w:widowControl/>
              <w:spacing w:line="240" w:lineRule="auto"/>
              <w:ind w:firstLine="0" w:firstLineChars="0"/>
              <w:jc w:val="center"/>
              <w:rPr>
                <w:rFonts w:ascii="微软雅黑" w:hAnsi="微软雅黑" w:eastAsia="微软雅黑" w:cs="宋体"/>
                <w:kern w:val="0"/>
                <w:sz w:val="20"/>
                <w:szCs w:val="20"/>
              </w:rPr>
            </w:pPr>
          </w:p>
        </w:tc>
        <w:tc>
          <w:tcPr>
            <w:tcW w:w="1800" w:type="dxa"/>
            <w:vMerge w:val="restart"/>
            <w:shd w:val="clear" w:color="auto" w:fill="auto"/>
            <w:vAlign w:val="center"/>
          </w:tcPr>
          <w:p w14:paraId="5BC9F94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2A5951D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0A2BFE8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食品生产许可（延续）</w:t>
            </w:r>
          </w:p>
        </w:tc>
        <w:tc>
          <w:tcPr>
            <w:tcW w:w="1093" w:type="dxa"/>
            <w:shd w:val="clear" w:color="auto" w:fill="auto"/>
            <w:vAlign w:val="center"/>
          </w:tcPr>
          <w:p w14:paraId="2F7DF38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3D089E3E">
            <w:pPr>
              <w:widowControl/>
              <w:spacing w:line="240" w:lineRule="auto"/>
              <w:ind w:firstLine="0" w:firstLineChars="0"/>
              <w:jc w:val="left"/>
              <w:rPr>
                <w:rFonts w:ascii="微软雅黑" w:hAnsi="微软雅黑" w:eastAsia="微软雅黑" w:cs="宋体"/>
                <w:kern w:val="0"/>
                <w:sz w:val="20"/>
                <w:szCs w:val="20"/>
              </w:rPr>
            </w:pPr>
          </w:p>
        </w:tc>
        <w:tc>
          <w:tcPr>
            <w:tcW w:w="2993" w:type="dxa"/>
            <w:vAlign w:val="center"/>
          </w:tcPr>
          <w:p w14:paraId="14CD6A9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《食品生产许可管理办法》（国家食品药品监督管理总局令第16号）第三十五条。</w:t>
            </w:r>
          </w:p>
        </w:tc>
      </w:tr>
      <w:tr w14:paraId="1565B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2307CD18">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12</w:t>
            </w:r>
          </w:p>
        </w:tc>
        <w:tc>
          <w:tcPr>
            <w:tcW w:w="1078" w:type="dxa"/>
            <w:vAlign w:val="center"/>
          </w:tcPr>
          <w:p w14:paraId="3BB57AC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1B2F06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20BD95E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17E380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5F29791F">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521A462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7AB6EC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04EC1F3C">
            <w:pPr>
              <w:widowControl/>
              <w:spacing w:line="240" w:lineRule="auto"/>
              <w:ind w:firstLine="0" w:firstLineChars="0"/>
              <w:jc w:val="center"/>
              <w:rPr>
                <w:rFonts w:ascii="微软雅黑" w:hAnsi="微软雅黑" w:eastAsia="微软雅黑" w:cs="宋体"/>
                <w:kern w:val="0"/>
                <w:sz w:val="20"/>
                <w:szCs w:val="20"/>
              </w:rPr>
            </w:pPr>
          </w:p>
        </w:tc>
        <w:tc>
          <w:tcPr>
            <w:tcW w:w="1800" w:type="dxa"/>
            <w:vMerge w:val="continue"/>
            <w:shd w:val="clear" w:color="auto" w:fill="auto"/>
            <w:vAlign w:val="center"/>
          </w:tcPr>
          <w:p w14:paraId="41DEB587">
            <w:pPr>
              <w:widowControl/>
              <w:spacing w:line="240" w:lineRule="auto"/>
              <w:ind w:firstLine="0" w:firstLineChars="0"/>
              <w:rPr>
                <w:rFonts w:ascii="微软雅黑" w:hAnsi="微软雅黑" w:eastAsia="微软雅黑" w:cs="宋体"/>
                <w:kern w:val="0"/>
                <w:sz w:val="20"/>
                <w:szCs w:val="20"/>
              </w:rPr>
            </w:pPr>
          </w:p>
        </w:tc>
        <w:tc>
          <w:tcPr>
            <w:tcW w:w="1093" w:type="dxa"/>
            <w:shd w:val="clear" w:color="auto" w:fill="auto"/>
            <w:vAlign w:val="center"/>
          </w:tcPr>
          <w:p w14:paraId="291966D9">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77714A7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食品生产许可（变更）</w:t>
            </w:r>
          </w:p>
        </w:tc>
        <w:tc>
          <w:tcPr>
            <w:tcW w:w="1093" w:type="dxa"/>
            <w:shd w:val="clear" w:color="auto" w:fill="auto"/>
            <w:vAlign w:val="center"/>
          </w:tcPr>
          <w:p w14:paraId="011C7FB1">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78278391">
            <w:pPr>
              <w:widowControl/>
              <w:spacing w:line="240" w:lineRule="auto"/>
              <w:ind w:firstLine="0" w:firstLineChars="0"/>
              <w:jc w:val="left"/>
              <w:rPr>
                <w:rFonts w:ascii="微软雅黑" w:hAnsi="微软雅黑" w:eastAsia="微软雅黑" w:cs="宋体"/>
                <w:kern w:val="0"/>
                <w:sz w:val="20"/>
                <w:szCs w:val="20"/>
              </w:rPr>
            </w:pPr>
          </w:p>
        </w:tc>
        <w:tc>
          <w:tcPr>
            <w:tcW w:w="2993" w:type="dxa"/>
            <w:vAlign w:val="center"/>
          </w:tcPr>
          <w:p w14:paraId="03771FF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《食品生产许可管理办法》（国家食品药品监督管理总局令第16号）第三十二、三十三条。</w:t>
            </w:r>
          </w:p>
        </w:tc>
      </w:tr>
      <w:tr w14:paraId="14DA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00" w:type="dxa"/>
            <w:shd w:val="clear" w:color="auto" w:fill="auto"/>
            <w:vAlign w:val="center"/>
          </w:tcPr>
          <w:p w14:paraId="338D4729">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13</w:t>
            </w:r>
          </w:p>
        </w:tc>
        <w:tc>
          <w:tcPr>
            <w:tcW w:w="1078" w:type="dxa"/>
            <w:vAlign w:val="center"/>
          </w:tcPr>
          <w:p w14:paraId="2D1D071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4A9D5F8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7104D0B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461B70C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72181806">
            <w:pPr>
              <w:widowControl/>
              <w:spacing w:line="240" w:lineRule="auto"/>
              <w:ind w:firstLine="0" w:firstLineChars="0"/>
              <w:jc w:val="left"/>
              <w:rPr>
                <w:rFonts w:ascii="微软雅黑" w:hAnsi="微软雅黑" w:eastAsia="微软雅黑" w:cs="宋体"/>
                <w:kern w:val="0"/>
                <w:sz w:val="20"/>
                <w:szCs w:val="20"/>
              </w:rPr>
            </w:pPr>
          </w:p>
        </w:tc>
        <w:tc>
          <w:tcPr>
            <w:tcW w:w="1131" w:type="dxa"/>
            <w:shd w:val="clear" w:color="auto" w:fill="auto"/>
            <w:vAlign w:val="center"/>
          </w:tcPr>
          <w:p w14:paraId="6E4AA72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289840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shd w:val="clear" w:color="auto" w:fill="auto"/>
            <w:vAlign w:val="center"/>
          </w:tcPr>
          <w:p w14:paraId="7BD44016">
            <w:pPr>
              <w:widowControl/>
              <w:spacing w:line="240" w:lineRule="auto"/>
              <w:ind w:firstLine="0" w:firstLineChars="0"/>
              <w:jc w:val="center"/>
              <w:rPr>
                <w:rFonts w:ascii="微软雅黑" w:hAnsi="微软雅黑" w:eastAsia="微软雅黑" w:cs="宋体"/>
                <w:kern w:val="0"/>
                <w:sz w:val="20"/>
                <w:szCs w:val="20"/>
              </w:rPr>
            </w:pPr>
          </w:p>
        </w:tc>
        <w:tc>
          <w:tcPr>
            <w:tcW w:w="1800" w:type="dxa"/>
            <w:vMerge w:val="continue"/>
            <w:shd w:val="clear" w:color="auto" w:fill="auto"/>
            <w:vAlign w:val="center"/>
          </w:tcPr>
          <w:p w14:paraId="4164E6A8">
            <w:pPr>
              <w:widowControl/>
              <w:spacing w:line="240" w:lineRule="auto"/>
              <w:ind w:firstLine="0" w:firstLineChars="0"/>
              <w:rPr>
                <w:rFonts w:ascii="微软雅黑" w:hAnsi="微软雅黑" w:eastAsia="微软雅黑" w:cs="宋体"/>
                <w:kern w:val="0"/>
                <w:sz w:val="20"/>
                <w:szCs w:val="20"/>
              </w:rPr>
            </w:pPr>
          </w:p>
        </w:tc>
        <w:tc>
          <w:tcPr>
            <w:tcW w:w="1093" w:type="dxa"/>
            <w:shd w:val="clear" w:color="auto" w:fill="auto"/>
            <w:vAlign w:val="center"/>
          </w:tcPr>
          <w:p w14:paraId="588ADE10">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行政确认</w:t>
            </w:r>
          </w:p>
        </w:tc>
        <w:tc>
          <w:tcPr>
            <w:tcW w:w="2186" w:type="dxa"/>
            <w:shd w:val="clear" w:color="auto" w:fill="auto"/>
            <w:vAlign w:val="center"/>
          </w:tcPr>
          <w:p w14:paraId="677E37E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河北省网络餐饮服务备案</w:t>
            </w:r>
          </w:p>
        </w:tc>
        <w:tc>
          <w:tcPr>
            <w:tcW w:w="1093" w:type="dxa"/>
            <w:shd w:val="clear" w:color="auto" w:fill="auto"/>
            <w:vAlign w:val="center"/>
          </w:tcPr>
          <w:p w14:paraId="39145FD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shd w:val="clear" w:color="auto" w:fill="auto"/>
            <w:vAlign w:val="center"/>
          </w:tcPr>
          <w:p w14:paraId="7A564635">
            <w:pPr>
              <w:widowControl/>
              <w:spacing w:line="240" w:lineRule="auto"/>
              <w:ind w:firstLine="0" w:firstLineChars="0"/>
              <w:jc w:val="left"/>
              <w:rPr>
                <w:rFonts w:ascii="微软雅黑" w:hAnsi="微软雅黑" w:eastAsia="微软雅黑" w:cs="宋体"/>
                <w:kern w:val="0"/>
                <w:sz w:val="20"/>
                <w:szCs w:val="20"/>
              </w:rPr>
            </w:pPr>
          </w:p>
        </w:tc>
        <w:tc>
          <w:tcPr>
            <w:tcW w:w="2993" w:type="dxa"/>
            <w:vAlign w:val="center"/>
          </w:tcPr>
          <w:p w14:paraId="27EFF0DD">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《网络食品安全违法行为查处办法》（国家食品药品监督管理总局令第27号）第八条。</w:t>
            </w:r>
          </w:p>
        </w:tc>
      </w:tr>
      <w:tr w14:paraId="1E50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00" w:type="dxa"/>
            <w:shd w:val="clear" w:color="auto" w:fill="auto"/>
            <w:vAlign w:val="center"/>
          </w:tcPr>
          <w:p w14:paraId="4A75A5A5">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14</w:t>
            </w:r>
          </w:p>
        </w:tc>
        <w:tc>
          <w:tcPr>
            <w:tcW w:w="1078" w:type="dxa"/>
            <w:vAlign w:val="center"/>
          </w:tcPr>
          <w:p w14:paraId="5D45F18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2C41403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93D8F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592DCC42">
            <w:pPr>
              <w:widowControl/>
              <w:spacing w:line="240" w:lineRule="auto"/>
              <w:ind w:firstLine="0" w:firstLineChars="0"/>
              <w:jc w:val="left"/>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Align w:val="center"/>
          </w:tcPr>
          <w:p w14:paraId="3B0DA19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药品医疗器械登记信息、出入境检验检疫信用等级信息；将失信被执行人信息作为从事药品、食品安全行业从严审批的参考；协助限制失信被执行人担任生产经营单位主要负责人及董事、监事、高级管理人员，已担任相关职务的，按规定程序要求变更</w:t>
            </w:r>
          </w:p>
        </w:tc>
        <w:tc>
          <w:tcPr>
            <w:tcW w:w="1131" w:type="dxa"/>
            <w:shd w:val="clear" w:color="auto" w:fill="auto"/>
            <w:vAlign w:val="center"/>
          </w:tcPr>
          <w:p w14:paraId="14ED543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500EBA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2848" w:type="dxa"/>
            <w:vMerge w:val="restart"/>
            <w:shd w:val="clear" w:color="auto" w:fill="auto"/>
            <w:vAlign w:val="center"/>
          </w:tcPr>
          <w:p w14:paraId="5EAF4B89">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详见下方</w:t>
            </w:r>
          </w:p>
        </w:tc>
        <w:tc>
          <w:tcPr>
            <w:tcW w:w="1800" w:type="dxa"/>
            <w:shd w:val="clear" w:color="auto" w:fill="auto"/>
            <w:vAlign w:val="center"/>
          </w:tcPr>
          <w:p w14:paraId="3A8D6EE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093" w:type="dxa"/>
            <w:shd w:val="clear" w:color="auto" w:fill="auto"/>
            <w:vAlign w:val="center"/>
          </w:tcPr>
          <w:p w14:paraId="0CE54AF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616B7F23">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药品零售企业许可</w:t>
            </w:r>
          </w:p>
        </w:tc>
        <w:tc>
          <w:tcPr>
            <w:tcW w:w="1093" w:type="dxa"/>
            <w:shd w:val="clear" w:color="auto" w:fill="auto"/>
            <w:vAlign w:val="center"/>
          </w:tcPr>
          <w:p w14:paraId="07B2AEA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28" w:type="dxa"/>
            <w:vAlign w:val="center"/>
          </w:tcPr>
          <w:p w14:paraId="540955E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4539C569">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《中华人民共和国药品管理法》第十四条。</w:t>
            </w:r>
          </w:p>
        </w:tc>
      </w:tr>
      <w:tr w14:paraId="7164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00" w:type="dxa"/>
            <w:shd w:val="clear" w:color="auto" w:fill="auto"/>
            <w:vAlign w:val="center"/>
          </w:tcPr>
          <w:p w14:paraId="73CBDC11">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15</w:t>
            </w:r>
          </w:p>
        </w:tc>
        <w:tc>
          <w:tcPr>
            <w:tcW w:w="1078" w:type="dxa"/>
            <w:vAlign w:val="center"/>
          </w:tcPr>
          <w:p w14:paraId="149B7D3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5589976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53177C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6DA3FC8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县行政审批局</w:t>
            </w:r>
          </w:p>
        </w:tc>
        <w:tc>
          <w:tcPr>
            <w:tcW w:w="2082" w:type="dxa"/>
            <w:vAlign w:val="center"/>
          </w:tcPr>
          <w:p w14:paraId="2D340775">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药品医疗器械登记信息、出入境检验检疫信用等级信息；将失信被执行人信息作为从事药品、食品安全行业从严审批的参考；协助限制失信被执行人担任生产经营单位主要负责人及董事、监事、高级管理人员，已担任相关职务的，按规定程序要求变更</w:t>
            </w:r>
          </w:p>
        </w:tc>
        <w:tc>
          <w:tcPr>
            <w:tcW w:w="1131" w:type="dxa"/>
            <w:shd w:val="clear" w:color="auto" w:fill="auto"/>
            <w:vAlign w:val="center"/>
          </w:tcPr>
          <w:p w14:paraId="7E848EB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8AA726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2848" w:type="dxa"/>
            <w:vMerge w:val="continue"/>
            <w:shd w:val="clear" w:color="auto" w:fill="auto"/>
            <w:vAlign w:val="center"/>
          </w:tcPr>
          <w:p w14:paraId="1372341C">
            <w:pPr>
              <w:widowControl/>
              <w:spacing w:line="240" w:lineRule="auto"/>
              <w:ind w:firstLine="0" w:firstLineChars="0"/>
              <w:jc w:val="center"/>
              <w:rPr>
                <w:rFonts w:ascii="微软雅黑" w:hAnsi="微软雅黑" w:eastAsia="微软雅黑" w:cs="宋体"/>
                <w:kern w:val="0"/>
                <w:sz w:val="20"/>
                <w:szCs w:val="20"/>
              </w:rPr>
            </w:pPr>
          </w:p>
        </w:tc>
        <w:tc>
          <w:tcPr>
            <w:tcW w:w="1800" w:type="dxa"/>
            <w:shd w:val="clear" w:color="auto" w:fill="auto"/>
            <w:vAlign w:val="center"/>
          </w:tcPr>
          <w:p w14:paraId="18F6E3A0">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093" w:type="dxa"/>
            <w:shd w:val="clear" w:color="auto" w:fill="auto"/>
            <w:vAlign w:val="center"/>
          </w:tcPr>
          <w:p w14:paraId="7179082C">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53030308">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第二类精神药品零售业务审批</w:t>
            </w:r>
          </w:p>
        </w:tc>
        <w:tc>
          <w:tcPr>
            <w:tcW w:w="1093" w:type="dxa"/>
            <w:shd w:val="clear" w:color="auto" w:fill="auto"/>
            <w:vAlign w:val="center"/>
          </w:tcPr>
          <w:p w14:paraId="35405974">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28" w:type="dxa"/>
            <w:vAlign w:val="center"/>
          </w:tcPr>
          <w:p w14:paraId="57AFB312">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7B03E5C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《麻醉药品和精神药品管理条例》（国务院令第442号）第三十一条。</w:t>
            </w:r>
          </w:p>
        </w:tc>
      </w:tr>
      <w:tr w14:paraId="7FCA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0" w:hRule="atLeast"/>
          <w:jc w:val="center"/>
        </w:trPr>
        <w:tc>
          <w:tcPr>
            <w:tcW w:w="700" w:type="dxa"/>
            <w:shd w:val="clear" w:color="auto" w:fill="auto"/>
            <w:vAlign w:val="center"/>
          </w:tcPr>
          <w:p w14:paraId="155A8F36">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16</w:t>
            </w:r>
          </w:p>
        </w:tc>
        <w:tc>
          <w:tcPr>
            <w:tcW w:w="1078" w:type="dxa"/>
            <w:vAlign w:val="center"/>
          </w:tcPr>
          <w:p w14:paraId="4CBE4E92">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tc>
        <w:tc>
          <w:tcPr>
            <w:tcW w:w="1078" w:type="dxa"/>
            <w:vAlign w:val="center"/>
          </w:tcPr>
          <w:p w14:paraId="29C594C8">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E4AD4BB">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6FD9FFC6">
            <w:pPr>
              <w:widowControl/>
              <w:spacing w:line="240" w:lineRule="auto"/>
              <w:ind w:firstLine="0" w:firstLineChars="0"/>
              <w:jc w:val="left"/>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Align w:val="center"/>
          </w:tcPr>
          <w:p w14:paraId="4673F1F1">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协助查询失信被执行人药品医疗器械登记信息、出入境检验检疫信用等级信息；将失信被执行人信息作为从事药品、食品安全行业从严审批的参考；协助限制失信被执行人担任生产经营单位主要负责人及董事、监事、高级管理人员，已担任相关职务的，按规定程序要求变更</w:t>
            </w:r>
          </w:p>
        </w:tc>
        <w:tc>
          <w:tcPr>
            <w:tcW w:w="1131" w:type="dxa"/>
            <w:shd w:val="clear" w:color="auto" w:fill="auto"/>
            <w:vAlign w:val="center"/>
          </w:tcPr>
          <w:p w14:paraId="63155D78">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96CF290">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强制</w:t>
            </w:r>
          </w:p>
        </w:tc>
        <w:tc>
          <w:tcPr>
            <w:tcW w:w="2848" w:type="dxa"/>
            <w:vMerge w:val="continue"/>
            <w:shd w:val="clear" w:color="auto" w:fill="auto"/>
            <w:vAlign w:val="center"/>
          </w:tcPr>
          <w:p w14:paraId="1B6806B8">
            <w:pPr>
              <w:widowControl/>
              <w:spacing w:line="240" w:lineRule="auto"/>
              <w:ind w:firstLine="0" w:firstLineChars="0"/>
              <w:jc w:val="center"/>
              <w:rPr>
                <w:rFonts w:hint="eastAsia" w:ascii="微软雅黑" w:hAnsi="微软雅黑" w:eastAsia="微软雅黑" w:cs="宋体"/>
                <w:kern w:val="0"/>
                <w:sz w:val="20"/>
                <w:szCs w:val="20"/>
              </w:rPr>
            </w:pPr>
          </w:p>
        </w:tc>
        <w:tc>
          <w:tcPr>
            <w:tcW w:w="1800" w:type="dxa"/>
            <w:shd w:val="clear" w:color="auto" w:fill="auto"/>
            <w:vAlign w:val="center"/>
          </w:tcPr>
          <w:p w14:paraId="588FC717">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093" w:type="dxa"/>
            <w:shd w:val="clear" w:color="auto" w:fill="auto"/>
            <w:vAlign w:val="center"/>
          </w:tcPr>
          <w:p w14:paraId="561D6D3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shd w:val="clear" w:color="auto" w:fill="auto"/>
            <w:vAlign w:val="center"/>
          </w:tcPr>
          <w:p w14:paraId="3921BCC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麻醉药品和第一类精神药品运输证明核发</w:t>
            </w:r>
          </w:p>
        </w:tc>
        <w:tc>
          <w:tcPr>
            <w:tcW w:w="1093" w:type="dxa"/>
            <w:shd w:val="clear" w:color="auto" w:fill="auto"/>
            <w:vAlign w:val="center"/>
          </w:tcPr>
          <w:p w14:paraId="25A3A8A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级</w:t>
            </w:r>
          </w:p>
        </w:tc>
        <w:tc>
          <w:tcPr>
            <w:tcW w:w="1028" w:type="dxa"/>
            <w:vAlign w:val="center"/>
          </w:tcPr>
          <w:p w14:paraId="50F38AA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144992B1">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1.《麻醉药品和精神药品管理条例》（国务院令第442号）第五十二条；</w:t>
            </w:r>
          </w:p>
          <w:p w14:paraId="09E221C8">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2.《国务院关于第六批取消和调整行政审批项目的决定》（国发〔2012〕52号）附件2第113项。</w:t>
            </w:r>
          </w:p>
        </w:tc>
      </w:tr>
      <w:tr w14:paraId="2D0F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02" w:type="dxa"/>
            <w:gridSpan w:val="15"/>
            <w:shd w:val="clear" w:color="auto" w:fill="auto"/>
            <w:vAlign w:val="center"/>
          </w:tcPr>
          <w:p w14:paraId="15F156F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2237A468">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1.《药品生产质量管理规范》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企业应当严格执行本规范，坚持诚实守信，禁止任何虚假、欺骗行为。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2.《中华人民共和国药品管理法》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第七十五条 从事生产、销售假药及生产、销售劣药情节严重的企业或者其他单位，其直接负责的主管人员和其他直接责任人员十年内不得从事药品生产、经营活动。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对生产者专门用于生产假药、劣药的原辅材料、包装材料、生产设备，予以没收。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第八十二条 违反本法规定，提供虚假的证明、文件资料、样品或者采取其他欺骗手段取得《药品生产许可证》、《药品经营许可证》、《医疗机构制剂许可证》或者药品批准证明文件的，吊销《药品生产许可证》、《药品经营许可证》、《医疗机构制剂许可证》或者撤销药品批准证明文件，五年内不受理其申请，并处一万元以上三万元以下的罚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3.《中华人民共和国食品安全法》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第一百一十三条 县级以上人民政府食品药品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第一百三十五条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食品安全犯罪被判处有期徒刑以上刑罚的，终身不得从事食品生产经营管理工作，也不得担任食品生产经营企业食品安全管理人员。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食品生产经营者聘用人员违反前两款规定的，由县级以上人民政府食品药品监督管理部门吊销许可证。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第一百三十八条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违反本法规定，受到开除处分的食品检验机构人员，自处分决定作出之日起十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食品检验机构出具虚假检验报告，使消费者的合法权益受到损害的，应当与食品生产经营者承担连带责任。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4.《医疗器械监督管理条例》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第六十三、六十四、六十五、六十九、七十、七十一条。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tc>
      </w:tr>
      <w:tr w14:paraId="5290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700" w:type="dxa"/>
            <w:vAlign w:val="center"/>
          </w:tcPr>
          <w:p w14:paraId="27249389">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17</w:t>
            </w:r>
          </w:p>
        </w:tc>
        <w:tc>
          <w:tcPr>
            <w:tcW w:w="1078" w:type="dxa"/>
            <w:vAlign w:val="center"/>
          </w:tcPr>
          <w:p w14:paraId="37A641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vAlign w:val="center"/>
          </w:tcPr>
          <w:p w14:paraId="7D0DB17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1B122A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0357A026">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Merge w:val="restart"/>
            <w:vAlign w:val="center"/>
          </w:tcPr>
          <w:p w14:paraId="019F2E1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将失信被执行人信息作为发起设立社会组织审批登记的参考，限制失信被执行人发起设立社会组织</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失信被执行人为个人的，限制其登记或备案为社会组织负责人</w:t>
            </w:r>
          </w:p>
        </w:tc>
        <w:tc>
          <w:tcPr>
            <w:tcW w:w="1131" w:type="dxa"/>
            <w:vAlign w:val="center"/>
          </w:tcPr>
          <w:p w14:paraId="08BF92E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28D4839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restart"/>
            <w:vAlign w:val="center"/>
          </w:tcPr>
          <w:p w14:paraId="6F09A79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《国务院关于建立完善守信联合激励和失信联合惩戒制度加快推进社会诚信建设的指导意见》</w:t>
            </w:r>
          </w:p>
          <w:p w14:paraId="035DDD2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（十）依法依规加强对失信行为的行政性约束和惩戒</w:t>
            </w:r>
          </w:p>
          <w:p w14:paraId="5923247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对严重失信主体，各地区、各有关部门应将其列为重点监管对象，依法依规采取行政性约束和惩戒措施。从严审核行政许可审批项目，从严控制生产许可证发放，限制新增项目审批、核准，限制股票发行上</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融资或发行债券，限制在全国股份转让系统挂牌、融资，限制发起设立或参股金融机构以及小额贷款公司、融资担保公司、创业投资公司、互联网融资平台等机构，限制从事互联网信息服务等。严格限制申请财政性资金项目，限制参与有关公共资源交易活动，限制参与基础设施和公用事业特许经营。对严重失信企业及其法定代表人、主要负责人和对失信行为负有直接责任的注册执业人员等实施</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场和行业禁入措施。及时撤销严重失信企业及其法定代表人、负责人、高级管理人员和对失信行为负有直接责任的董事、股东等人员的荣誉称号，取消参加评先评优资格。</w:t>
            </w:r>
          </w:p>
        </w:tc>
        <w:tc>
          <w:tcPr>
            <w:tcW w:w="1800" w:type="dxa"/>
            <w:vMerge w:val="restart"/>
            <w:vAlign w:val="center"/>
          </w:tcPr>
          <w:p w14:paraId="3B43301C">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vAlign w:val="center"/>
          </w:tcPr>
          <w:p w14:paraId="35DE8B9D">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vAlign w:val="center"/>
          </w:tcPr>
          <w:p w14:paraId="5F71605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社会团体成立</w:t>
            </w:r>
            <w:r>
              <w:rPr>
                <w:rFonts w:hint="eastAsia" w:ascii="微软雅黑" w:hAnsi="微软雅黑" w:eastAsia="微软雅黑" w:cs="宋体"/>
                <w:kern w:val="0"/>
                <w:sz w:val="20"/>
                <w:szCs w:val="20"/>
                <w:lang w:eastAsia="zh-CN"/>
              </w:rPr>
              <w:t>、变更</w:t>
            </w:r>
            <w:r>
              <w:rPr>
                <w:rFonts w:hint="eastAsia" w:ascii="微软雅黑" w:hAnsi="微软雅黑" w:eastAsia="微软雅黑" w:cs="宋体"/>
                <w:kern w:val="0"/>
                <w:sz w:val="20"/>
                <w:szCs w:val="20"/>
              </w:rPr>
              <w:t>登记</w:t>
            </w:r>
          </w:p>
        </w:tc>
        <w:tc>
          <w:tcPr>
            <w:tcW w:w="1093" w:type="dxa"/>
            <w:vAlign w:val="center"/>
          </w:tcPr>
          <w:p w14:paraId="74508A6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vAlign w:val="center"/>
          </w:tcPr>
          <w:p w14:paraId="57314F7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77477FF0">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《社会团体登记管理条例》（国务院令第250号）第六条、第七条、第十条、第十一条、第十二条。</w:t>
            </w:r>
          </w:p>
          <w:p w14:paraId="3DDBA907">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《社会团体登记管理条例》（国务院令第250号）第十八条。</w:t>
            </w:r>
          </w:p>
        </w:tc>
      </w:tr>
      <w:tr w14:paraId="3C4D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700" w:type="dxa"/>
            <w:vAlign w:val="center"/>
          </w:tcPr>
          <w:p w14:paraId="79A9F45F">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18</w:t>
            </w:r>
          </w:p>
        </w:tc>
        <w:tc>
          <w:tcPr>
            <w:tcW w:w="1078" w:type="dxa"/>
            <w:vAlign w:val="center"/>
          </w:tcPr>
          <w:p w14:paraId="4977FCB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tc>
        <w:tc>
          <w:tcPr>
            <w:tcW w:w="1078" w:type="dxa"/>
            <w:vAlign w:val="center"/>
          </w:tcPr>
          <w:p w14:paraId="1328D913">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016376E2">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0039256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13D2207B">
            <w:pPr>
              <w:widowControl/>
              <w:spacing w:line="240" w:lineRule="auto"/>
              <w:ind w:firstLine="0" w:firstLineChars="0"/>
              <w:rPr>
                <w:rFonts w:hint="eastAsia" w:ascii="微软雅黑" w:hAnsi="微软雅黑" w:eastAsia="微软雅黑" w:cs="宋体"/>
                <w:kern w:val="0"/>
                <w:sz w:val="20"/>
                <w:szCs w:val="20"/>
              </w:rPr>
            </w:pPr>
          </w:p>
        </w:tc>
        <w:tc>
          <w:tcPr>
            <w:tcW w:w="1131" w:type="dxa"/>
            <w:vAlign w:val="center"/>
          </w:tcPr>
          <w:p w14:paraId="442F264C">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0D00A886">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vAlign w:val="center"/>
          </w:tcPr>
          <w:p w14:paraId="536E7B9C">
            <w:pPr>
              <w:widowControl/>
              <w:spacing w:line="240" w:lineRule="auto"/>
              <w:ind w:firstLine="0" w:firstLineChars="0"/>
              <w:jc w:val="center"/>
              <w:rPr>
                <w:rFonts w:hint="eastAsia" w:ascii="微软雅黑" w:hAnsi="微软雅黑" w:eastAsia="微软雅黑" w:cs="宋体"/>
                <w:kern w:val="0"/>
                <w:sz w:val="20"/>
                <w:szCs w:val="20"/>
              </w:rPr>
            </w:pPr>
          </w:p>
        </w:tc>
        <w:tc>
          <w:tcPr>
            <w:tcW w:w="1800" w:type="dxa"/>
            <w:vMerge w:val="continue"/>
            <w:vAlign w:val="center"/>
          </w:tcPr>
          <w:p w14:paraId="58A4816B">
            <w:pPr>
              <w:widowControl/>
              <w:spacing w:line="240" w:lineRule="auto"/>
              <w:ind w:firstLine="0" w:firstLineChars="0"/>
              <w:rPr>
                <w:rFonts w:hint="eastAsia" w:ascii="微软雅黑" w:hAnsi="微软雅黑" w:eastAsia="微软雅黑" w:cs="宋体"/>
                <w:kern w:val="0"/>
                <w:sz w:val="20"/>
                <w:szCs w:val="20"/>
              </w:rPr>
            </w:pPr>
          </w:p>
        </w:tc>
        <w:tc>
          <w:tcPr>
            <w:tcW w:w="1093" w:type="dxa"/>
            <w:vAlign w:val="center"/>
          </w:tcPr>
          <w:p w14:paraId="4C7E76D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vAlign w:val="center"/>
          </w:tcPr>
          <w:p w14:paraId="666C719C">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社会团体修改章程核准</w:t>
            </w:r>
          </w:p>
        </w:tc>
        <w:tc>
          <w:tcPr>
            <w:tcW w:w="1093" w:type="dxa"/>
            <w:vAlign w:val="center"/>
          </w:tcPr>
          <w:p w14:paraId="2C0803C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vAlign w:val="center"/>
          </w:tcPr>
          <w:p w14:paraId="03973FC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6D129C3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《社会团体登记管理条例》（国务院令第250号）第十八条。</w:t>
            </w:r>
          </w:p>
        </w:tc>
      </w:tr>
      <w:tr w14:paraId="4374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0" w:hRule="atLeast"/>
          <w:jc w:val="center"/>
        </w:trPr>
        <w:tc>
          <w:tcPr>
            <w:tcW w:w="700" w:type="dxa"/>
            <w:vAlign w:val="center"/>
          </w:tcPr>
          <w:p w14:paraId="248DB83C">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19</w:t>
            </w:r>
          </w:p>
        </w:tc>
        <w:tc>
          <w:tcPr>
            <w:tcW w:w="1078" w:type="dxa"/>
            <w:vAlign w:val="center"/>
          </w:tcPr>
          <w:p w14:paraId="436DE978">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tc>
        <w:tc>
          <w:tcPr>
            <w:tcW w:w="1078" w:type="dxa"/>
            <w:vAlign w:val="center"/>
          </w:tcPr>
          <w:p w14:paraId="237867B3">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58BBD516">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2B1ECD79">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527F9DBF">
            <w:pPr>
              <w:widowControl/>
              <w:spacing w:line="240" w:lineRule="auto"/>
              <w:ind w:firstLine="0" w:firstLineChars="0"/>
              <w:jc w:val="left"/>
              <w:rPr>
                <w:rFonts w:hint="eastAsia" w:ascii="微软雅黑" w:hAnsi="微软雅黑" w:eastAsia="微软雅黑" w:cs="宋体"/>
                <w:kern w:val="0"/>
                <w:sz w:val="20"/>
                <w:szCs w:val="20"/>
              </w:rPr>
            </w:pPr>
          </w:p>
        </w:tc>
        <w:tc>
          <w:tcPr>
            <w:tcW w:w="1131" w:type="dxa"/>
            <w:vAlign w:val="center"/>
          </w:tcPr>
          <w:p w14:paraId="757AC7AF">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p w14:paraId="3256954D">
            <w:pPr>
              <w:widowControl/>
              <w:spacing w:line="240" w:lineRule="auto"/>
              <w:ind w:firstLine="0" w:firstLineChars="0"/>
              <w:jc w:val="center"/>
              <w:rPr>
                <w:rFonts w:hint="eastAsia" w:ascii="微软雅黑" w:hAnsi="微软雅黑" w:eastAsia="微软雅黑" w:cs="宋体"/>
                <w:kern w:val="0"/>
                <w:sz w:val="20"/>
                <w:szCs w:val="20"/>
              </w:rPr>
            </w:pPr>
          </w:p>
        </w:tc>
        <w:tc>
          <w:tcPr>
            <w:tcW w:w="1134" w:type="dxa"/>
            <w:vAlign w:val="center"/>
          </w:tcPr>
          <w:p w14:paraId="01BFC9C4">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强制性</w:t>
            </w:r>
          </w:p>
          <w:p w14:paraId="1BD72176">
            <w:pPr>
              <w:widowControl/>
              <w:spacing w:line="240" w:lineRule="auto"/>
              <w:ind w:firstLine="0" w:firstLineChars="0"/>
              <w:jc w:val="center"/>
              <w:rPr>
                <w:rFonts w:hint="eastAsia" w:ascii="微软雅黑" w:hAnsi="微软雅黑" w:eastAsia="微软雅黑" w:cs="宋体"/>
                <w:kern w:val="0"/>
                <w:sz w:val="20"/>
                <w:szCs w:val="20"/>
              </w:rPr>
            </w:pPr>
          </w:p>
        </w:tc>
        <w:tc>
          <w:tcPr>
            <w:tcW w:w="2848" w:type="dxa"/>
            <w:vMerge w:val="continue"/>
            <w:vAlign w:val="center"/>
          </w:tcPr>
          <w:p w14:paraId="01EE2750">
            <w:pPr>
              <w:widowControl/>
              <w:spacing w:line="240" w:lineRule="auto"/>
              <w:ind w:firstLine="0" w:firstLineChars="0"/>
              <w:jc w:val="center"/>
              <w:rPr>
                <w:rFonts w:hint="eastAsia" w:ascii="微软雅黑" w:hAnsi="微软雅黑" w:eastAsia="微软雅黑" w:cs="宋体"/>
                <w:kern w:val="0"/>
                <w:sz w:val="20"/>
                <w:szCs w:val="20"/>
              </w:rPr>
            </w:pPr>
          </w:p>
        </w:tc>
        <w:tc>
          <w:tcPr>
            <w:tcW w:w="1800" w:type="dxa"/>
            <w:vMerge w:val="continue"/>
            <w:vAlign w:val="center"/>
          </w:tcPr>
          <w:p w14:paraId="231E5025">
            <w:pPr>
              <w:widowControl/>
              <w:spacing w:line="240" w:lineRule="auto"/>
              <w:ind w:firstLine="0" w:firstLineChars="0"/>
              <w:rPr>
                <w:rFonts w:hint="eastAsia" w:ascii="微软雅黑" w:hAnsi="微软雅黑" w:eastAsia="微软雅黑" w:cs="宋体"/>
                <w:kern w:val="0"/>
                <w:sz w:val="20"/>
                <w:szCs w:val="20"/>
              </w:rPr>
            </w:pPr>
          </w:p>
        </w:tc>
        <w:tc>
          <w:tcPr>
            <w:tcW w:w="1093" w:type="dxa"/>
            <w:vAlign w:val="center"/>
          </w:tcPr>
          <w:p w14:paraId="4C9BF56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vAlign w:val="center"/>
          </w:tcPr>
          <w:p w14:paraId="1EA6015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民办非企业单位成立</w:t>
            </w:r>
            <w:r>
              <w:rPr>
                <w:rFonts w:hint="eastAsia" w:ascii="微软雅黑" w:hAnsi="微软雅黑" w:eastAsia="微软雅黑" w:cs="宋体"/>
                <w:kern w:val="0"/>
                <w:sz w:val="20"/>
                <w:szCs w:val="20"/>
                <w:lang w:eastAsia="zh-CN"/>
              </w:rPr>
              <w:t>、变更</w:t>
            </w:r>
            <w:r>
              <w:rPr>
                <w:rFonts w:hint="eastAsia" w:ascii="微软雅黑" w:hAnsi="微软雅黑" w:eastAsia="微软雅黑" w:cs="宋体"/>
                <w:kern w:val="0"/>
                <w:sz w:val="20"/>
                <w:szCs w:val="20"/>
              </w:rPr>
              <w:t>登记</w:t>
            </w:r>
          </w:p>
        </w:tc>
        <w:tc>
          <w:tcPr>
            <w:tcW w:w="1093" w:type="dxa"/>
            <w:vAlign w:val="center"/>
          </w:tcPr>
          <w:p w14:paraId="7416923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vAlign w:val="center"/>
          </w:tcPr>
          <w:p w14:paraId="7EB4F8C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34EF7580">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《民办非企业单位登记管理暂行条例》（国务院令第251号）第三条、第五条、第八条、第九条。</w:t>
            </w:r>
          </w:p>
          <w:p w14:paraId="0247B0F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《民办非企业单位登记管理暂行条例》（国务院令第251号）第十五条。</w:t>
            </w:r>
          </w:p>
        </w:tc>
      </w:tr>
      <w:tr w14:paraId="3E32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700" w:type="dxa"/>
            <w:vAlign w:val="center"/>
          </w:tcPr>
          <w:p w14:paraId="07690AA1">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20</w:t>
            </w:r>
          </w:p>
        </w:tc>
        <w:tc>
          <w:tcPr>
            <w:tcW w:w="1078" w:type="dxa"/>
            <w:vAlign w:val="center"/>
          </w:tcPr>
          <w:p w14:paraId="57111D1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tc>
        <w:tc>
          <w:tcPr>
            <w:tcW w:w="1078" w:type="dxa"/>
            <w:vAlign w:val="center"/>
          </w:tcPr>
          <w:p w14:paraId="4C2206D5">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67C1B869">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61BAEAE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Merge w:val="continue"/>
            <w:vAlign w:val="center"/>
          </w:tcPr>
          <w:p w14:paraId="20BF4B97">
            <w:pPr>
              <w:widowControl/>
              <w:spacing w:line="240" w:lineRule="auto"/>
              <w:ind w:firstLine="0" w:firstLineChars="0"/>
              <w:rPr>
                <w:rFonts w:hint="eastAsia" w:ascii="微软雅黑" w:hAnsi="微软雅黑" w:eastAsia="微软雅黑" w:cs="宋体"/>
                <w:kern w:val="0"/>
                <w:sz w:val="20"/>
                <w:szCs w:val="20"/>
              </w:rPr>
            </w:pPr>
          </w:p>
        </w:tc>
        <w:tc>
          <w:tcPr>
            <w:tcW w:w="1131" w:type="dxa"/>
            <w:vAlign w:val="center"/>
          </w:tcPr>
          <w:p w14:paraId="7A250D27">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228BFCF3">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48" w:type="dxa"/>
            <w:vMerge w:val="continue"/>
            <w:vAlign w:val="center"/>
          </w:tcPr>
          <w:p w14:paraId="715FCB61">
            <w:pPr>
              <w:widowControl/>
              <w:spacing w:line="240" w:lineRule="auto"/>
              <w:ind w:firstLine="0" w:firstLineChars="0"/>
              <w:jc w:val="center"/>
              <w:rPr>
                <w:rFonts w:hint="eastAsia" w:ascii="微软雅黑" w:hAnsi="微软雅黑" w:eastAsia="微软雅黑" w:cs="宋体"/>
                <w:kern w:val="0"/>
                <w:sz w:val="20"/>
                <w:szCs w:val="20"/>
              </w:rPr>
            </w:pPr>
          </w:p>
        </w:tc>
        <w:tc>
          <w:tcPr>
            <w:tcW w:w="1800" w:type="dxa"/>
            <w:vMerge w:val="continue"/>
            <w:vAlign w:val="center"/>
          </w:tcPr>
          <w:p w14:paraId="62AA60B8">
            <w:pPr>
              <w:widowControl/>
              <w:spacing w:line="240" w:lineRule="auto"/>
              <w:ind w:firstLine="0" w:firstLineChars="0"/>
              <w:rPr>
                <w:rFonts w:hint="eastAsia" w:ascii="微软雅黑" w:hAnsi="微软雅黑" w:eastAsia="微软雅黑" w:cs="宋体"/>
                <w:kern w:val="0"/>
                <w:sz w:val="20"/>
                <w:szCs w:val="20"/>
              </w:rPr>
            </w:pPr>
          </w:p>
        </w:tc>
        <w:tc>
          <w:tcPr>
            <w:tcW w:w="1093" w:type="dxa"/>
            <w:vAlign w:val="center"/>
          </w:tcPr>
          <w:p w14:paraId="718990F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vAlign w:val="center"/>
          </w:tcPr>
          <w:p w14:paraId="0014F6A6">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民办非企业单位修改章程核准</w:t>
            </w:r>
          </w:p>
        </w:tc>
        <w:tc>
          <w:tcPr>
            <w:tcW w:w="1093" w:type="dxa"/>
            <w:vAlign w:val="center"/>
          </w:tcPr>
          <w:p w14:paraId="181D3A2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vAlign w:val="center"/>
          </w:tcPr>
          <w:p w14:paraId="650A5F6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2993" w:type="dxa"/>
            <w:vAlign w:val="center"/>
          </w:tcPr>
          <w:p w14:paraId="07952B56">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《民办非企业单位登记管理暂行条例》（国务院令第251号）第十五条。</w:t>
            </w:r>
          </w:p>
        </w:tc>
      </w:tr>
      <w:tr w14:paraId="224A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700" w:type="dxa"/>
            <w:vAlign w:val="center"/>
          </w:tcPr>
          <w:p w14:paraId="13BF9E92">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21</w:t>
            </w:r>
          </w:p>
        </w:tc>
        <w:tc>
          <w:tcPr>
            <w:tcW w:w="1078" w:type="dxa"/>
            <w:vAlign w:val="center"/>
          </w:tcPr>
          <w:p w14:paraId="62A33E38">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tc>
        <w:tc>
          <w:tcPr>
            <w:tcW w:w="1078" w:type="dxa"/>
            <w:vAlign w:val="center"/>
          </w:tcPr>
          <w:p w14:paraId="7E0BFF00">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河北省高级人民法院公布的失信被执行人（包括法人和非法人组织、自然人）</w:t>
            </w:r>
          </w:p>
        </w:tc>
        <w:tc>
          <w:tcPr>
            <w:tcW w:w="819" w:type="dxa"/>
            <w:vAlign w:val="center"/>
          </w:tcPr>
          <w:p w14:paraId="68983B46">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vAlign w:val="center"/>
          </w:tcPr>
          <w:p w14:paraId="390124A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Align w:val="center"/>
          </w:tcPr>
          <w:p w14:paraId="57A7F09F">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限制失信被执行人的招标代理活动：招标人委托招标代理机构开展招标事宜的，应当查询其失信被执行人信息，鼓励优先选择无失信记录的招标代理机构</w:t>
            </w:r>
          </w:p>
        </w:tc>
        <w:tc>
          <w:tcPr>
            <w:tcW w:w="1131" w:type="dxa"/>
            <w:vAlign w:val="center"/>
          </w:tcPr>
          <w:p w14:paraId="671A57FC">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vAlign w:val="center"/>
          </w:tcPr>
          <w:p w14:paraId="76E6CEB4">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强制</w:t>
            </w:r>
            <w:r>
              <w:rPr>
                <w:rFonts w:hint="eastAsia" w:ascii="微软雅黑" w:hAnsi="微软雅黑" w:eastAsia="微软雅黑" w:cs="宋体"/>
                <w:kern w:val="0"/>
                <w:sz w:val="20"/>
                <w:szCs w:val="20"/>
                <w:lang w:eastAsia="zh-CN"/>
              </w:rPr>
              <w:t>性</w:t>
            </w:r>
          </w:p>
        </w:tc>
        <w:tc>
          <w:tcPr>
            <w:tcW w:w="2848" w:type="dxa"/>
            <w:vAlign w:val="center"/>
          </w:tcPr>
          <w:p w14:paraId="5019577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1.《中华人民共和国民事诉讼法》；</w:t>
            </w:r>
          </w:p>
          <w:p w14:paraId="32B8ECC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2.《中华人民共和国招标投标法》；</w:t>
            </w:r>
          </w:p>
          <w:p w14:paraId="769A81B7">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3.《中华人民共和国招标投标法实施条例》；</w:t>
            </w:r>
          </w:p>
          <w:p w14:paraId="4C86E6E5">
            <w:pPr>
              <w:widowControl/>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4.《最高人民法院关于公布失信被执行人名单信息的若干规定》。</w:t>
            </w:r>
          </w:p>
        </w:tc>
        <w:tc>
          <w:tcPr>
            <w:tcW w:w="1800" w:type="dxa"/>
            <w:vAlign w:val="center"/>
          </w:tcPr>
          <w:p w14:paraId="58A6592C">
            <w:pPr>
              <w:widowControl/>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《关于在招标投标活动中对失信被执行人实施联合惩戒的通知》（法〔2016〕285号）</w:t>
            </w:r>
          </w:p>
        </w:tc>
        <w:tc>
          <w:tcPr>
            <w:tcW w:w="1093" w:type="dxa"/>
            <w:vAlign w:val="center"/>
          </w:tcPr>
          <w:p w14:paraId="626B21E0">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186" w:type="dxa"/>
            <w:vAlign w:val="center"/>
          </w:tcPr>
          <w:p w14:paraId="1ABD202A">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建设工程项目招标方案核准</w:t>
            </w:r>
          </w:p>
        </w:tc>
        <w:tc>
          <w:tcPr>
            <w:tcW w:w="1093" w:type="dxa"/>
            <w:vAlign w:val="center"/>
          </w:tcPr>
          <w:p w14:paraId="62D2B1D6">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vAlign w:val="center"/>
          </w:tcPr>
          <w:p w14:paraId="47D39A68">
            <w:pPr>
              <w:widowControl/>
              <w:spacing w:line="240" w:lineRule="auto"/>
              <w:ind w:firstLine="0" w:firstLineChars="0"/>
              <w:jc w:val="left"/>
              <w:rPr>
                <w:rFonts w:hint="eastAsia" w:ascii="微软雅黑" w:hAnsi="微软雅黑" w:eastAsia="微软雅黑" w:cs="宋体"/>
                <w:kern w:val="0"/>
                <w:sz w:val="20"/>
                <w:szCs w:val="20"/>
              </w:rPr>
            </w:pPr>
          </w:p>
        </w:tc>
        <w:tc>
          <w:tcPr>
            <w:tcW w:w="2993" w:type="dxa"/>
            <w:vAlign w:val="center"/>
          </w:tcPr>
          <w:p w14:paraId="5A48E62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1.《必须招标的基础设施和公用事业项目范围规定》（发改法规〔2018〕843号）；</w:t>
            </w:r>
          </w:p>
          <w:p w14:paraId="10D0B25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2.《必须招标的工程项目规定》;（国家发改委令第16号）。</w:t>
            </w:r>
          </w:p>
        </w:tc>
      </w:tr>
      <w:tr w14:paraId="5825E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5" w:hRule="atLeast"/>
          <w:jc w:val="center"/>
        </w:trPr>
        <w:tc>
          <w:tcPr>
            <w:tcW w:w="700" w:type="dxa"/>
            <w:vAlign w:val="center"/>
          </w:tcPr>
          <w:p w14:paraId="3BE95356">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22</w:t>
            </w:r>
          </w:p>
        </w:tc>
        <w:tc>
          <w:tcPr>
            <w:tcW w:w="1078" w:type="dxa"/>
            <w:vAlign w:val="center"/>
          </w:tcPr>
          <w:p w14:paraId="1CD6344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p w14:paraId="4BCE085B">
            <w:pPr>
              <w:widowControl/>
              <w:spacing w:line="240" w:lineRule="auto"/>
              <w:ind w:firstLine="0" w:firstLineChars="0"/>
              <w:jc w:val="center"/>
              <w:rPr>
                <w:rFonts w:hint="eastAsia" w:ascii="微软雅黑" w:hAnsi="微软雅黑" w:eastAsia="微软雅黑" w:cs="宋体"/>
                <w:kern w:val="0"/>
                <w:sz w:val="20"/>
                <w:szCs w:val="20"/>
                <w:lang w:eastAsia="zh-CN"/>
              </w:rPr>
            </w:pPr>
          </w:p>
        </w:tc>
        <w:tc>
          <w:tcPr>
            <w:tcW w:w="1078" w:type="dxa"/>
            <w:vAlign w:val="center"/>
          </w:tcPr>
          <w:p w14:paraId="5B4E992D">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p w14:paraId="5D9B2889">
            <w:pPr>
              <w:widowControl/>
              <w:spacing w:line="240" w:lineRule="auto"/>
              <w:ind w:firstLine="0" w:firstLineChars="0"/>
              <w:jc w:val="center"/>
              <w:rPr>
                <w:rFonts w:hint="eastAsia" w:ascii="微软雅黑" w:hAnsi="微软雅黑" w:eastAsia="微软雅黑" w:cs="宋体"/>
                <w:kern w:val="0"/>
                <w:sz w:val="20"/>
                <w:szCs w:val="20"/>
              </w:rPr>
            </w:pPr>
          </w:p>
        </w:tc>
        <w:tc>
          <w:tcPr>
            <w:tcW w:w="819" w:type="dxa"/>
            <w:vAlign w:val="center"/>
          </w:tcPr>
          <w:p w14:paraId="61628411">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p w14:paraId="55150F1B">
            <w:pPr>
              <w:widowControl/>
              <w:spacing w:line="240" w:lineRule="auto"/>
              <w:ind w:firstLine="0" w:firstLineChars="0"/>
              <w:jc w:val="center"/>
              <w:rPr>
                <w:rFonts w:hint="eastAsia" w:ascii="微软雅黑" w:hAnsi="微软雅黑" w:eastAsia="微软雅黑" w:cs="宋体"/>
                <w:kern w:val="0"/>
                <w:sz w:val="20"/>
                <w:szCs w:val="20"/>
              </w:rPr>
            </w:pPr>
          </w:p>
        </w:tc>
        <w:tc>
          <w:tcPr>
            <w:tcW w:w="1039" w:type="dxa"/>
            <w:vAlign w:val="center"/>
          </w:tcPr>
          <w:p w14:paraId="6D2CC067">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p w14:paraId="3D963805">
            <w:pPr>
              <w:widowControl/>
              <w:spacing w:line="240" w:lineRule="auto"/>
              <w:ind w:firstLine="0" w:firstLineChars="0"/>
              <w:jc w:val="center"/>
              <w:rPr>
                <w:rFonts w:hint="eastAsia" w:ascii="微软雅黑" w:hAnsi="微软雅黑" w:eastAsia="微软雅黑" w:cs="宋体"/>
                <w:kern w:val="0"/>
                <w:sz w:val="20"/>
                <w:szCs w:val="20"/>
                <w:lang w:eastAsia="zh-CN"/>
              </w:rPr>
            </w:pPr>
          </w:p>
        </w:tc>
        <w:tc>
          <w:tcPr>
            <w:tcW w:w="2082" w:type="dxa"/>
            <w:vAlign w:val="center"/>
          </w:tcPr>
          <w:p w14:paraId="208F5D4E">
            <w:pPr>
              <w:widowControl/>
              <w:spacing w:line="240" w:lineRule="auto"/>
              <w:ind w:firstLine="0" w:firstLineChars="0"/>
              <w:rPr>
                <w:rFonts w:hint="eastAsia" w:ascii="微软雅黑" w:hAnsi="微软雅黑" w:eastAsia="微软雅黑" w:cs="微软雅黑"/>
                <w:i w:val="0"/>
                <w:caps w:val="0"/>
                <w:color w:val="auto"/>
                <w:spacing w:val="0"/>
                <w:sz w:val="20"/>
                <w:szCs w:val="20"/>
                <w:shd w:val="clear" w:color="auto" w:fill="auto"/>
              </w:rPr>
            </w:pPr>
            <w:r>
              <w:rPr>
                <w:rFonts w:hint="eastAsia" w:ascii="微软雅黑" w:hAnsi="微软雅黑" w:eastAsia="微软雅黑" w:cs="微软雅黑"/>
                <w:i w:val="0"/>
                <w:caps w:val="0"/>
                <w:color w:val="auto"/>
                <w:spacing w:val="0"/>
                <w:sz w:val="20"/>
                <w:szCs w:val="20"/>
                <w:shd w:val="clear" w:color="auto" w:fill="auto"/>
              </w:rPr>
              <w:t>将房地产、建筑企业不依法履行生效法律文书确定的义务情况，记入房地产和建筑</w:t>
            </w:r>
            <w:r>
              <w:rPr>
                <w:rFonts w:hint="eastAsia" w:ascii="微软雅黑" w:hAnsi="微软雅黑" w:eastAsia="微软雅黑" w:cs="微软雅黑"/>
                <w:i w:val="0"/>
                <w:caps w:val="0"/>
                <w:color w:val="auto"/>
                <w:spacing w:val="0"/>
                <w:sz w:val="20"/>
                <w:szCs w:val="20"/>
                <w:shd w:val="clear" w:color="auto" w:fill="auto"/>
                <w:lang w:eastAsia="zh-CN"/>
              </w:rPr>
              <w:t>县</w:t>
            </w:r>
            <w:r>
              <w:rPr>
                <w:rFonts w:hint="eastAsia" w:ascii="微软雅黑" w:hAnsi="微软雅黑" w:eastAsia="微软雅黑" w:cs="微软雅黑"/>
                <w:i w:val="0"/>
                <w:caps w:val="0"/>
                <w:color w:val="auto"/>
                <w:spacing w:val="0"/>
                <w:sz w:val="20"/>
                <w:szCs w:val="20"/>
                <w:shd w:val="clear" w:color="auto" w:fill="auto"/>
              </w:rPr>
              <w:t>场信用档案，向社会披露有关信息，对其企业资质作出限制。</w:t>
            </w:r>
          </w:p>
          <w:p w14:paraId="6F3F44D8">
            <w:pPr>
              <w:widowControl/>
              <w:spacing w:line="240" w:lineRule="auto"/>
              <w:ind w:firstLine="0" w:firstLineChars="0"/>
              <w:rPr>
                <w:rFonts w:hint="eastAsia" w:ascii="微软雅黑" w:hAnsi="微软雅黑" w:eastAsia="微软雅黑" w:cs="宋体"/>
                <w:kern w:val="0"/>
                <w:sz w:val="20"/>
                <w:szCs w:val="20"/>
              </w:rPr>
            </w:pPr>
          </w:p>
        </w:tc>
        <w:tc>
          <w:tcPr>
            <w:tcW w:w="1131" w:type="dxa"/>
            <w:vAlign w:val="center"/>
          </w:tcPr>
          <w:p w14:paraId="7A6A337C">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p w14:paraId="2B5124AE">
            <w:pPr>
              <w:widowControl/>
              <w:spacing w:line="240" w:lineRule="auto"/>
              <w:ind w:firstLine="0" w:firstLineChars="0"/>
              <w:jc w:val="center"/>
              <w:rPr>
                <w:rFonts w:hint="eastAsia" w:ascii="微软雅黑" w:hAnsi="微软雅黑" w:eastAsia="微软雅黑" w:cs="宋体"/>
                <w:kern w:val="0"/>
                <w:sz w:val="20"/>
                <w:szCs w:val="20"/>
              </w:rPr>
            </w:pPr>
          </w:p>
        </w:tc>
        <w:tc>
          <w:tcPr>
            <w:tcW w:w="1134" w:type="dxa"/>
            <w:vAlign w:val="center"/>
          </w:tcPr>
          <w:p w14:paraId="5D38B109">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强制</w:t>
            </w:r>
            <w:r>
              <w:rPr>
                <w:rFonts w:hint="eastAsia" w:ascii="微软雅黑" w:hAnsi="微软雅黑" w:eastAsia="微软雅黑" w:cs="宋体"/>
                <w:kern w:val="0"/>
                <w:sz w:val="20"/>
                <w:szCs w:val="20"/>
                <w:lang w:eastAsia="zh-CN"/>
              </w:rPr>
              <w:t>性</w:t>
            </w:r>
          </w:p>
          <w:p w14:paraId="59D6EDEC">
            <w:pPr>
              <w:widowControl/>
              <w:spacing w:line="240" w:lineRule="auto"/>
              <w:ind w:firstLine="0" w:firstLineChars="0"/>
              <w:jc w:val="center"/>
              <w:rPr>
                <w:rFonts w:hint="eastAsia" w:ascii="微软雅黑" w:hAnsi="微软雅黑" w:eastAsia="微软雅黑" w:cs="宋体"/>
                <w:kern w:val="0"/>
                <w:sz w:val="20"/>
                <w:szCs w:val="20"/>
              </w:rPr>
            </w:pPr>
          </w:p>
        </w:tc>
        <w:tc>
          <w:tcPr>
            <w:tcW w:w="2848" w:type="dxa"/>
            <w:vAlign w:val="center"/>
          </w:tcPr>
          <w:p w14:paraId="331C3C15">
            <w:pPr>
              <w:widowControl/>
              <w:spacing w:line="240" w:lineRule="auto"/>
              <w:ind w:firstLine="0" w:firstLineChars="0"/>
              <w:jc w:val="center"/>
              <w:rPr>
                <w:rFonts w:hint="eastAsia" w:ascii="微软雅黑" w:hAnsi="微软雅黑" w:eastAsia="微软雅黑" w:cs="宋体"/>
                <w:kern w:val="0"/>
                <w:sz w:val="20"/>
                <w:szCs w:val="20"/>
              </w:rPr>
            </w:pPr>
          </w:p>
        </w:tc>
        <w:tc>
          <w:tcPr>
            <w:tcW w:w="1800" w:type="dxa"/>
            <w:vAlign w:val="center"/>
          </w:tcPr>
          <w:p w14:paraId="3D02B90C">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p w14:paraId="351006CC">
            <w:pPr>
              <w:widowControl/>
              <w:spacing w:line="240" w:lineRule="auto"/>
              <w:ind w:firstLine="0" w:firstLineChars="0"/>
              <w:rPr>
                <w:rFonts w:hint="eastAsia" w:ascii="微软雅黑" w:hAnsi="微软雅黑" w:eastAsia="微软雅黑" w:cs="宋体"/>
                <w:kern w:val="0"/>
                <w:sz w:val="20"/>
                <w:szCs w:val="20"/>
              </w:rPr>
            </w:pPr>
          </w:p>
        </w:tc>
        <w:tc>
          <w:tcPr>
            <w:tcW w:w="1093" w:type="dxa"/>
            <w:vAlign w:val="center"/>
          </w:tcPr>
          <w:p w14:paraId="56505149">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行政许可</w:t>
            </w:r>
          </w:p>
          <w:p w14:paraId="49C5BC5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2186" w:type="dxa"/>
            <w:vAlign w:val="center"/>
          </w:tcPr>
          <w:p w14:paraId="535398AE">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房地产开发企业资质认定</w:t>
            </w:r>
          </w:p>
        </w:tc>
        <w:tc>
          <w:tcPr>
            <w:tcW w:w="1093" w:type="dxa"/>
            <w:vAlign w:val="center"/>
          </w:tcPr>
          <w:p w14:paraId="3E2DCED0">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p w14:paraId="6CFC1EC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028" w:type="dxa"/>
            <w:vAlign w:val="center"/>
          </w:tcPr>
          <w:p w14:paraId="6A8E764A">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是</w:t>
            </w:r>
          </w:p>
          <w:p w14:paraId="3B069612">
            <w:pPr>
              <w:widowControl/>
              <w:spacing w:line="240" w:lineRule="auto"/>
              <w:ind w:firstLine="0" w:firstLineChars="0"/>
              <w:jc w:val="both"/>
              <w:rPr>
                <w:rFonts w:hint="eastAsia" w:ascii="微软雅黑" w:hAnsi="微软雅黑" w:eastAsia="微软雅黑" w:cs="宋体"/>
                <w:kern w:val="0"/>
                <w:sz w:val="20"/>
                <w:szCs w:val="20"/>
                <w:lang w:eastAsia="zh-CN"/>
              </w:rPr>
            </w:pPr>
          </w:p>
        </w:tc>
        <w:tc>
          <w:tcPr>
            <w:tcW w:w="2993" w:type="dxa"/>
            <w:vAlign w:val="center"/>
          </w:tcPr>
          <w:p w14:paraId="1F354A47">
            <w:pPr>
              <w:widowControl/>
              <w:numPr>
                <w:ilvl w:val="0"/>
                <w:numId w:val="0"/>
              </w:numPr>
              <w:spacing w:line="240" w:lineRule="auto"/>
              <w:rPr>
                <w:rFonts w:hint="eastAsia" w:ascii="微软雅黑" w:hAnsi="微软雅黑" w:eastAsia="微软雅黑" w:cs="微软雅黑"/>
                <w:b w:val="0"/>
                <w:i w:val="0"/>
                <w:caps w:val="0"/>
                <w:color w:val="333333"/>
                <w:spacing w:val="0"/>
                <w:sz w:val="20"/>
                <w:szCs w:val="20"/>
                <w:shd w:val="clear" w:fill="FFFFFF"/>
                <w:lang w:eastAsia="zh-CN"/>
              </w:rPr>
            </w:pPr>
            <w:r>
              <w:rPr>
                <w:rFonts w:hint="eastAsia" w:ascii="微软雅黑" w:hAnsi="微软雅黑" w:eastAsia="微软雅黑" w:cs="微软雅黑"/>
                <w:b w:val="0"/>
                <w:i w:val="0"/>
                <w:caps w:val="0"/>
                <w:color w:val="333333"/>
                <w:spacing w:val="0"/>
                <w:sz w:val="20"/>
                <w:szCs w:val="20"/>
                <w:shd w:val="clear" w:fill="FFFFFF"/>
                <w:lang w:val="en-US" w:eastAsia="zh-CN"/>
              </w:rPr>
              <w:t>1.</w:t>
            </w:r>
            <w:r>
              <w:rPr>
                <w:rFonts w:ascii="微软雅黑" w:hAnsi="微软雅黑" w:eastAsia="微软雅黑" w:cs="微软雅黑"/>
                <w:b w:val="0"/>
                <w:i w:val="0"/>
                <w:caps w:val="0"/>
                <w:color w:val="333333"/>
                <w:spacing w:val="0"/>
                <w:sz w:val="20"/>
                <w:szCs w:val="20"/>
                <w:shd w:val="clear" w:fill="FFFFFF"/>
              </w:rPr>
              <w:t>《房地产开发企业资质管理规定》（建设部令第77号）</w:t>
            </w:r>
            <w:r>
              <w:rPr>
                <w:rFonts w:hint="eastAsia" w:ascii="微软雅黑" w:hAnsi="微软雅黑" w:eastAsia="微软雅黑" w:cs="微软雅黑"/>
                <w:b w:val="0"/>
                <w:i w:val="0"/>
                <w:caps w:val="0"/>
                <w:color w:val="333333"/>
                <w:spacing w:val="0"/>
                <w:sz w:val="20"/>
                <w:szCs w:val="20"/>
                <w:shd w:val="clear" w:fill="FFFFFF"/>
                <w:lang w:eastAsia="zh-CN"/>
              </w:rPr>
              <w:t>；</w:t>
            </w:r>
          </w:p>
          <w:p w14:paraId="2DD7FC41">
            <w:pPr>
              <w:widowControl/>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微软雅黑"/>
                <w:b w:val="0"/>
                <w:i w:val="0"/>
                <w:caps w:val="0"/>
                <w:color w:val="333333"/>
                <w:spacing w:val="0"/>
                <w:sz w:val="20"/>
                <w:szCs w:val="20"/>
                <w:shd w:val="clear" w:fill="FFFFFF"/>
                <w:lang w:val="en-US" w:eastAsia="zh-CN"/>
              </w:rPr>
              <w:t>2.</w:t>
            </w:r>
            <w:r>
              <w:rPr>
                <w:rFonts w:ascii="微软雅黑" w:hAnsi="微软雅黑" w:eastAsia="微软雅黑" w:cs="微软雅黑"/>
                <w:b w:val="0"/>
                <w:i w:val="0"/>
                <w:caps w:val="0"/>
                <w:color w:val="333333"/>
                <w:spacing w:val="0"/>
                <w:sz w:val="20"/>
                <w:szCs w:val="20"/>
                <w:shd w:val="clear" w:fill="FFFFFF"/>
              </w:rPr>
              <w:t>《河北省城</w:t>
            </w:r>
            <w:r>
              <w:rPr>
                <w:rFonts w:hint="eastAsia" w:ascii="微软雅黑" w:hAnsi="微软雅黑" w:eastAsia="微软雅黑" w:cs="微软雅黑"/>
                <w:b w:val="0"/>
                <w:i w:val="0"/>
                <w:caps w:val="0"/>
                <w:color w:val="333333"/>
                <w:spacing w:val="0"/>
                <w:sz w:val="20"/>
                <w:szCs w:val="20"/>
                <w:shd w:val="clear" w:fill="FFFFFF"/>
                <w:lang w:eastAsia="zh-CN"/>
              </w:rPr>
              <w:t>县</w:t>
            </w:r>
            <w:r>
              <w:rPr>
                <w:rFonts w:ascii="微软雅黑" w:hAnsi="微软雅黑" w:eastAsia="微软雅黑" w:cs="微软雅黑"/>
                <w:b w:val="0"/>
                <w:i w:val="0"/>
                <w:caps w:val="0"/>
                <w:color w:val="333333"/>
                <w:spacing w:val="0"/>
                <w:sz w:val="20"/>
                <w:szCs w:val="20"/>
                <w:shd w:val="clear" w:fill="FFFFFF"/>
              </w:rPr>
              <w:t>房地产开发经营管理规定》（省政府令〔2004〕第3号）</w:t>
            </w:r>
            <w:r>
              <w:rPr>
                <w:rFonts w:hint="eastAsia" w:ascii="微软雅黑" w:hAnsi="微软雅黑" w:eastAsia="微软雅黑" w:cs="微软雅黑"/>
                <w:b w:val="0"/>
                <w:i w:val="0"/>
                <w:caps w:val="0"/>
                <w:color w:val="333333"/>
                <w:spacing w:val="0"/>
                <w:sz w:val="20"/>
                <w:szCs w:val="20"/>
                <w:shd w:val="clear" w:fill="FFFFFF"/>
                <w:lang w:eastAsia="zh-CN"/>
              </w:rPr>
              <w:t>。</w:t>
            </w:r>
          </w:p>
        </w:tc>
      </w:tr>
      <w:tr w14:paraId="36AF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0" w:hRule="atLeast"/>
          <w:jc w:val="center"/>
        </w:trPr>
        <w:tc>
          <w:tcPr>
            <w:tcW w:w="700" w:type="dxa"/>
            <w:vAlign w:val="center"/>
          </w:tcPr>
          <w:p w14:paraId="21C06836">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23</w:t>
            </w:r>
          </w:p>
        </w:tc>
        <w:tc>
          <w:tcPr>
            <w:tcW w:w="1078" w:type="dxa"/>
            <w:vAlign w:val="center"/>
          </w:tcPr>
          <w:p w14:paraId="293FF49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曲阳县人民法院</w:t>
            </w:r>
          </w:p>
        </w:tc>
        <w:tc>
          <w:tcPr>
            <w:tcW w:w="1078" w:type="dxa"/>
            <w:vAlign w:val="center"/>
          </w:tcPr>
          <w:p w14:paraId="725BA840">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vAlign w:val="center"/>
          </w:tcPr>
          <w:p w14:paraId="2FADAB1F">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vAlign w:val="center"/>
          </w:tcPr>
          <w:p w14:paraId="5CF68323">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县行政审批局</w:t>
            </w:r>
          </w:p>
        </w:tc>
        <w:tc>
          <w:tcPr>
            <w:tcW w:w="2082" w:type="dxa"/>
            <w:vAlign w:val="center"/>
          </w:tcPr>
          <w:p w14:paraId="75FFF659">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微软雅黑"/>
                <w:i w:val="0"/>
                <w:caps w:val="0"/>
                <w:color w:val="auto"/>
                <w:spacing w:val="0"/>
                <w:sz w:val="20"/>
                <w:szCs w:val="20"/>
                <w:shd w:val="clear" w:color="auto" w:fill="auto"/>
              </w:rPr>
              <w:t>将房地产、建筑企业不依法履行生效法律文书确定的义务情况，记入房地产和建筑</w:t>
            </w:r>
            <w:r>
              <w:rPr>
                <w:rFonts w:hint="eastAsia" w:ascii="微软雅黑" w:hAnsi="微软雅黑" w:eastAsia="微软雅黑" w:cs="微软雅黑"/>
                <w:i w:val="0"/>
                <w:caps w:val="0"/>
                <w:color w:val="auto"/>
                <w:spacing w:val="0"/>
                <w:sz w:val="20"/>
                <w:szCs w:val="20"/>
                <w:shd w:val="clear" w:color="auto" w:fill="auto"/>
                <w:lang w:eastAsia="zh-CN"/>
              </w:rPr>
              <w:t>县</w:t>
            </w:r>
            <w:r>
              <w:rPr>
                <w:rFonts w:hint="eastAsia" w:ascii="微软雅黑" w:hAnsi="微软雅黑" w:eastAsia="微软雅黑" w:cs="微软雅黑"/>
                <w:i w:val="0"/>
                <w:caps w:val="0"/>
                <w:color w:val="auto"/>
                <w:spacing w:val="0"/>
                <w:sz w:val="20"/>
                <w:szCs w:val="20"/>
                <w:shd w:val="clear" w:color="auto" w:fill="auto"/>
              </w:rPr>
              <w:t>场信用档案，向社会披露有关信息，对其企业资质作出限制。</w:t>
            </w:r>
          </w:p>
        </w:tc>
        <w:tc>
          <w:tcPr>
            <w:tcW w:w="1131" w:type="dxa"/>
            <w:vAlign w:val="center"/>
          </w:tcPr>
          <w:p w14:paraId="0612BABE">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行政性</w:t>
            </w:r>
          </w:p>
          <w:p w14:paraId="787D0DB6">
            <w:pPr>
              <w:widowControl/>
              <w:spacing w:line="240" w:lineRule="auto"/>
              <w:ind w:firstLine="0" w:firstLineChars="0"/>
              <w:jc w:val="center"/>
              <w:rPr>
                <w:rFonts w:hint="eastAsia" w:ascii="微软雅黑" w:hAnsi="微软雅黑" w:eastAsia="微软雅黑" w:cs="宋体"/>
                <w:kern w:val="0"/>
                <w:sz w:val="20"/>
                <w:szCs w:val="20"/>
              </w:rPr>
            </w:pPr>
          </w:p>
        </w:tc>
        <w:tc>
          <w:tcPr>
            <w:tcW w:w="1134" w:type="dxa"/>
            <w:vAlign w:val="center"/>
          </w:tcPr>
          <w:p w14:paraId="22E55F4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强制</w:t>
            </w:r>
            <w:r>
              <w:rPr>
                <w:rFonts w:hint="eastAsia" w:ascii="微软雅黑" w:hAnsi="微软雅黑" w:eastAsia="微软雅黑" w:cs="宋体"/>
                <w:kern w:val="0"/>
                <w:sz w:val="20"/>
                <w:szCs w:val="20"/>
                <w:lang w:eastAsia="zh-CN"/>
              </w:rPr>
              <w:t>性</w:t>
            </w:r>
          </w:p>
          <w:p w14:paraId="4202EF67">
            <w:pPr>
              <w:widowControl/>
              <w:spacing w:line="240" w:lineRule="auto"/>
              <w:ind w:firstLine="0" w:firstLineChars="0"/>
              <w:jc w:val="center"/>
              <w:rPr>
                <w:rFonts w:hint="eastAsia" w:ascii="微软雅黑" w:hAnsi="微软雅黑" w:eastAsia="微软雅黑" w:cs="宋体"/>
                <w:kern w:val="0"/>
                <w:sz w:val="20"/>
                <w:szCs w:val="20"/>
              </w:rPr>
            </w:pPr>
          </w:p>
        </w:tc>
        <w:tc>
          <w:tcPr>
            <w:tcW w:w="2848" w:type="dxa"/>
            <w:vAlign w:val="center"/>
          </w:tcPr>
          <w:p w14:paraId="758314A4">
            <w:pPr>
              <w:widowControl/>
              <w:spacing w:line="240" w:lineRule="auto"/>
              <w:ind w:firstLine="0" w:firstLineChars="0"/>
              <w:jc w:val="center"/>
              <w:rPr>
                <w:rFonts w:hint="eastAsia" w:ascii="微软雅黑" w:hAnsi="微软雅黑" w:eastAsia="微软雅黑" w:cs="宋体"/>
                <w:kern w:val="0"/>
                <w:sz w:val="20"/>
                <w:szCs w:val="20"/>
              </w:rPr>
            </w:pPr>
          </w:p>
        </w:tc>
        <w:tc>
          <w:tcPr>
            <w:tcW w:w="1800" w:type="dxa"/>
            <w:vAlign w:val="center"/>
          </w:tcPr>
          <w:p w14:paraId="5DE0CC80">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vAlign w:val="center"/>
          </w:tcPr>
          <w:p w14:paraId="00517165">
            <w:pPr>
              <w:widowControl/>
              <w:spacing w:line="240" w:lineRule="auto"/>
              <w:ind w:firstLine="0" w:firstLineChars="0"/>
              <w:jc w:val="center"/>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行政许可</w:t>
            </w:r>
          </w:p>
        </w:tc>
        <w:tc>
          <w:tcPr>
            <w:tcW w:w="2186" w:type="dxa"/>
            <w:vAlign w:val="center"/>
          </w:tcPr>
          <w:p w14:paraId="0963366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ascii="微软雅黑" w:hAnsi="微软雅黑" w:eastAsia="微软雅黑" w:cs="微软雅黑"/>
                <w:i w:val="0"/>
                <w:caps w:val="0"/>
                <w:color w:val="333333"/>
                <w:spacing w:val="0"/>
                <w:sz w:val="22"/>
                <w:szCs w:val="22"/>
                <w:shd w:val="clear" w:fill="FFFFFF"/>
              </w:rPr>
              <w:t>建筑施工企业资质认定</w:t>
            </w:r>
          </w:p>
        </w:tc>
        <w:tc>
          <w:tcPr>
            <w:tcW w:w="1093" w:type="dxa"/>
            <w:vAlign w:val="center"/>
          </w:tcPr>
          <w:p w14:paraId="0C15B111">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1028" w:type="dxa"/>
            <w:vAlign w:val="center"/>
          </w:tcPr>
          <w:p w14:paraId="4284351E">
            <w:pPr>
              <w:widowControl/>
              <w:spacing w:line="240" w:lineRule="auto"/>
              <w:jc w:val="both"/>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是</w:t>
            </w:r>
          </w:p>
        </w:tc>
        <w:tc>
          <w:tcPr>
            <w:tcW w:w="2993" w:type="dxa"/>
            <w:vAlign w:val="center"/>
          </w:tcPr>
          <w:p w14:paraId="07245AD2">
            <w:pPr>
              <w:widowControl/>
              <w:numPr>
                <w:ilvl w:val="0"/>
                <w:numId w:val="9"/>
              </w:numPr>
              <w:spacing w:line="240" w:lineRule="auto"/>
              <w:ind w:firstLine="0" w:firstLineChars="0"/>
              <w:rPr>
                <w:rFonts w:hint="eastAsia" w:ascii="微软雅黑" w:hAnsi="微软雅黑" w:eastAsia="微软雅黑" w:cs="微软雅黑"/>
                <w:b w:val="0"/>
                <w:i w:val="0"/>
                <w:caps w:val="0"/>
                <w:color w:val="333333"/>
                <w:spacing w:val="0"/>
                <w:sz w:val="22"/>
                <w:szCs w:val="22"/>
                <w:shd w:val="clear" w:fill="FFFFFF"/>
                <w:lang w:eastAsia="zh-CN"/>
              </w:rPr>
            </w:pPr>
            <w:r>
              <w:rPr>
                <w:rFonts w:ascii="微软雅黑" w:hAnsi="微软雅黑" w:eastAsia="微软雅黑" w:cs="微软雅黑"/>
                <w:b w:val="0"/>
                <w:i w:val="0"/>
                <w:caps w:val="0"/>
                <w:color w:val="333333"/>
                <w:spacing w:val="0"/>
                <w:sz w:val="22"/>
                <w:szCs w:val="22"/>
                <w:shd w:val="clear" w:fill="FFFFFF"/>
              </w:rPr>
              <w:t>《中华人民共和国建筑法》第十三条</w:t>
            </w:r>
            <w:r>
              <w:rPr>
                <w:rFonts w:hint="eastAsia" w:ascii="微软雅黑" w:hAnsi="微软雅黑" w:eastAsia="微软雅黑" w:cs="微软雅黑"/>
                <w:b w:val="0"/>
                <w:i w:val="0"/>
                <w:caps w:val="0"/>
                <w:color w:val="333333"/>
                <w:spacing w:val="0"/>
                <w:sz w:val="22"/>
                <w:szCs w:val="22"/>
                <w:shd w:val="clear" w:fill="FFFFFF"/>
                <w:lang w:eastAsia="zh-CN"/>
              </w:rPr>
              <w:t>；</w:t>
            </w:r>
          </w:p>
          <w:p w14:paraId="5BF8B3E7">
            <w:pPr>
              <w:widowControl/>
              <w:numPr>
                <w:ilvl w:val="0"/>
                <w:numId w:val="9"/>
              </w:numPr>
              <w:spacing w:line="240" w:lineRule="auto"/>
              <w:ind w:firstLine="0" w:firstLineChars="0"/>
              <w:rPr>
                <w:rFonts w:hint="eastAsia" w:ascii="微软雅黑" w:hAnsi="微软雅黑" w:eastAsia="微软雅黑" w:cs="宋体"/>
                <w:kern w:val="0"/>
                <w:sz w:val="20"/>
                <w:szCs w:val="20"/>
              </w:rPr>
            </w:pPr>
            <w:r>
              <w:rPr>
                <w:rFonts w:ascii="微软雅黑" w:hAnsi="微软雅黑" w:eastAsia="微软雅黑" w:cs="微软雅黑"/>
                <w:b w:val="0"/>
                <w:i w:val="0"/>
                <w:caps w:val="0"/>
                <w:color w:val="333333"/>
                <w:spacing w:val="0"/>
                <w:sz w:val="22"/>
                <w:szCs w:val="22"/>
                <w:shd w:val="clear" w:fill="FFFFFF"/>
              </w:rPr>
              <w:t>《建设工程安全生产管理条例》（国务院令第393号）第二十条</w:t>
            </w:r>
            <w:r>
              <w:rPr>
                <w:rFonts w:hint="eastAsia" w:ascii="微软雅黑" w:hAnsi="微软雅黑" w:eastAsia="微软雅黑" w:cs="微软雅黑"/>
                <w:b w:val="0"/>
                <w:i w:val="0"/>
                <w:caps w:val="0"/>
                <w:color w:val="333333"/>
                <w:spacing w:val="0"/>
                <w:sz w:val="22"/>
                <w:szCs w:val="22"/>
                <w:shd w:val="clear" w:fill="FFFFFF"/>
                <w:lang w:eastAsia="zh-CN"/>
              </w:rPr>
              <w:t>；</w:t>
            </w:r>
          </w:p>
          <w:p w14:paraId="45F80FFB">
            <w:pPr>
              <w:widowControl/>
              <w:numPr>
                <w:ilvl w:val="0"/>
                <w:numId w:val="9"/>
              </w:numPr>
              <w:spacing w:line="240" w:lineRule="auto"/>
              <w:ind w:firstLine="0" w:firstLineChars="0"/>
              <w:rPr>
                <w:rFonts w:hint="eastAsia" w:ascii="微软雅黑" w:hAnsi="微软雅黑" w:eastAsia="微软雅黑" w:cs="宋体"/>
                <w:kern w:val="0"/>
                <w:sz w:val="20"/>
                <w:szCs w:val="20"/>
                <w:lang w:val="en-US" w:eastAsia="zh-CN" w:bidi="ar-SA"/>
              </w:rPr>
            </w:pPr>
            <w:r>
              <w:rPr>
                <w:rFonts w:ascii="微软雅黑" w:hAnsi="微软雅黑" w:eastAsia="微软雅黑" w:cs="微软雅黑"/>
                <w:b w:val="0"/>
                <w:i w:val="0"/>
                <w:caps w:val="0"/>
                <w:color w:val="333333"/>
                <w:spacing w:val="0"/>
                <w:sz w:val="22"/>
                <w:szCs w:val="22"/>
                <w:shd w:val="clear" w:fill="FFFFFF"/>
              </w:rPr>
              <w:t>《建筑业企业资质管理规定》（</w:t>
            </w:r>
            <w:r>
              <w:rPr>
                <w:rFonts w:hint="eastAsia" w:ascii="微软雅黑" w:hAnsi="微软雅黑" w:eastAsia="微软雅黑" w:cs="微软雅黑"/>
                <w:b w:val="0"/>
                <w:i w:val="0"/>
                <w:caps w:val="0"/>
                <w:color w:val="333333"/>
                <w:spacing w:val="0"/>
                <w:sz w:val="22"/>
                <w:szCs w:val="22"/>
                <w:shd w:val="clear" w:fill="FFFFFF"/>
                <w:lang w:eastAsia="zh-CN"/>
              </w:rPr>
              <w:t>住</w:t>
            </w:r>
            <w:r>
              <w:rPr>
                <w:rFonts w:ascii="微软雅黑" w:hAnsi="微软雅黑" w:eastAsia="微软雅黑" w:cs="微软雅黑"/>
                <w:b w:val="0"/>
                <w:i w:val="0"/>
                <w:caps w:val="0"/>
                <w:color w:val="333333"/>
                <w:spacing w:val="0"/>
                <w:sz w:val="22"/>
                <w:szCs w:val="22"/>
                <w:shd w:val="clear" w:fill="FFFFFF"/>
              </w:rPr>
              <w:t>建部令第22号）第十条</w:t>
            </w:r>
            <w:r>
              <w:rPr>
                <w:rFonts w:hint="eastAsia" w:ascii="微软雅黑" w:hAnsi="微软雅黑" w:eastAsia="微软雅黑" w:cs="微软雅黑"/>
                <w:b w:val="0"/>
                <w:i w:val="0"/>
                <w:caps w:val="0"/>
                <w:color w:val="333333"/>
                <w:spacing w:val="0"/>
                <w:sz w:val="22"/>
                <w:szCs w:val="22"/>
                <w:shd w:val="clear" w:fill="FFFFFF"/>
                <w:lang w:eastAsia="zh-CN"/>
              </w:rPr>
              <w:t>。</w:t>
            </w:r>
          </w:p>
        </w:tc>
      </w:tr>
    </w:tbl>
    <w:p w14:paraId="29055AEB">
      <w:pPr>
        <w:ind w:firstLine="640"/>
      </w:pPr>
      <w:r>
        <w:rPr>
          <w:bCs/>
        </w:rP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870"/>
        <w:gridCol w:w="1778"/>
        <w:gridCol w:w="1093"/>
        <w:gridCol w:w="2186"/>
        <w:gridCol w:w="1200"/>
        <w:gridCol w:w="943"/>
        <w:gridCol w:w="2971"/>
      </w:tblGrid>
      <w:tr w14:paraId="71AF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bottom w:val="single" w:color="auto" w:sz="4" w:space="0"/>
              <w:right w:val="nil"/>
            </w:tcBorders>
            <w:shd w:val="clear" w:color="auto" w:fill="auto"/>
            <w:vAlign w:val="center"/>
          </w:tcPr>
          <w:p w14:paraId="6A464BFD">
            <w:pPr>
              <w:pStyle w:val="2"/>
              <w:jc w:val="center"/>
              <w:rPr>
                <w:rFonts w:hint="default" w:eastAsia="华文中宋"/>
                <w:lang w:val="en-US" w:eastAsia="zh-CN"/>
              </w:rPr>
            </w:pPr>
            <w:r>
              <w:rPr>
                <w:rFonts w:hint="eastAsia"/>
                <w:lang w:val="en-US" w:eastAsia="zh-CN"/>
              </w:rPr>
              <w:t>24、人行曲阳县支行</w:t>
            </w:r>
          </w:p>
        </w:tc>
      </w:tr>
      <w:tr w14:paraId="49DD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1DADF861">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009" w:type="dxa"/>
            <w:gridSpan w:val="9"/>
            <w:shd w:val="clear" w:color="000000" w:fill="D6DCE4"/>
            <w:vAlign w:val="center"/>
          </w:tcPr>
          <w:p w14:paraId="3057271B">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393" w:type="dxa"/>
            <w:gridSpan w:val="5"/>
            <w:shd w:val="clear" w:color="000000" w:fill="D6DCE4"/>
            <w:vAlign w:val="center"/>
          </w:tcPr>
          <w:p w14:paraId="21C6632B">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14A8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6AF6E488">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7CA700D5">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765E9B1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7223E50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6ED02EC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4A65ED6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454F03C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4FD48FE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870" w:type="dxa"/>
            <w:shd w:val="clear" w:color="000000" w:fill="D6DCE4"/>
            <w:vAlign w:val="center"/>
          </w:tcPr>
          <w:p w14:paraId="5D7F89C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778" w:type="dxa"/>
            <w:shd w:val="clear" w:color="000000" w:fill="D6DCE4"/>
            <w:vAlign w:val="center"/>
          </w:tcPr>
          <w:p w14:paraId="3D0E984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093" w:type="dxa"/>
            <w:shd w:val="clear" w:color="000000" w:fill="D6DCE4"/>
            <w:vAlign w:val="center"/>
          </w:tcPr>
          <w:p w14:paraId="484DFA3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186" w:type="dxa"/>
            <w:shd w:val="clear" w:color="000000" w:fill="D6DCE4"/>
            <w:vAlign w:val="center"/>
          </w:tcPr>
          <w:p w14:paraId="7472CC1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200" w:type="dxa"/>
            <w:shd w:val="clear" w:color="000000" w:fill="D6DCE4"/>
            <w:vAlign w:val="center"/>
          </w:tcPr>
          <w:p w14:paraId="0133445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43" w:type="dxa"/>
            <w:shd w:val="clear" w:color="000000" w:fill="D6DCE4"/>
            <w:vAlign w:val="center"/>
          </w:tcPr>
          <w:p w14:paraId="452AF91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2971" w:type="dxa"/>
            <w:shd w:val="clear" w:color="000000" w:fill="D6DCE4"/>
            <w:vAlign w:val="center"/>
          </w:tcPr>
          <w:p w14:paraId="00654EA2">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59451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0" w:hRule="atLeast"/>
          <w:jc w:val="center"/>
        </w:trPr>
        <w:tc>
          <w:tcPr>
            <w:tcW w:w="700" w:type="dxa"/>
            <w:shd w:val="clear" w:color="auto" w:fill="auto"/>
            <w:vAlign w:val="center"/>
          </w:tcPr>
          <w:p w14:paraId="5D7D0175">
            <w:pPr>
              <w:widowControl/>
              <w:spacing w:line="240" w:lineRule="auto"/>
              <w:ind w:firstLine="0" w:firstLineChars="0"/>
              <w:jc w:val="center"/>
              <w:rPr>
                <w:rFonts w:hint="eastAsia"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val="en-US" w:eastAsia="zh-CN"/>
              </w:rPr>
              <w:t>1</w:t>
            </w:r>
          </w:p>
        </w:tc>
        <w:tc>
          <w:tcPr>
            <w:tcW w:w="1078" w:type="dxa"/>
            <w:shd w:val="clear" w:color="auto" w:fill="auto"/>
            <w:vAlign w:val="center"/>
          </w:tcPr>
          <w:p w14:paraId="03C2D2A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7C7738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8E9C70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55B9869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人行</w:t>
            </w:r>
            <w:r>
              <w:rPr>
                <w:rFonts w:hint="eastAsia" w:ascii="微软雅黑" w:hAnsi="微软雅黑" w:eastAsia="微软雅黑" w:cs="宋体"/>
                <w:kern w:val="0"/>
                <w:sz w:val="20"/>
                <w:szCs w:val="20"/>
                <w:lang w:val="en-US" w:eastAsia="zh-CN"/>
              </w:rPr>
              <w:t>曲阳县</w:t>
            </w:r>
            <w:r>
              <w:rPr>
                <w:rFonts w:hint="eastAsia" w:ascii="微软雅黑" w:hAnsi="微软雅黑" w:eastAsia="微软雅黑" w:cs="宋体"/>
                <w:kern w:val="0"/>
                <w:sz w:val="20"/>
                <w:szCs w:val="20"/>
                <w:lang w:eastAsia="zh-CN"/>
              </w:rPr>
              <w:t>中支</w:t>
            </w:r>
          </w:p>
        </w:tc>
        <w:tc>
          <w:tcPr>
            <w:tcW w:w="2082" w:type="dxa"/>
            <w:shd w:val="clear" w:color="auto" w:fill="auto"/>
            <w:vAlign w:val="center"/>
          </w:tcPr>
          <w:p w14:paraId="77C0316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银行业金融机构在融资授信时查询拟授信对象及其法定代表人、实际控制人、董事、监事、高级管理人员是否为失信被执行人，对拟授信对象为失信被执行人的从严审核</w:t>
            </w:r>
          </w:p>
        </w:tc>
        <w:tc>
          <w:tcPr>
            <w:tcW w:w="1131" w:type="dxa"/>
            <w:shd w:val="clear" w:color="auto" w:fill="auto"/>
            <w:vAlign w:val="center"/>
          </w:tcPr>
          <w:p w14:paraId="34F1C1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643E9B6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870" w:type="dxa"/>
            <w:shd w:val="clear" w:color="auto" w:fill="auto"/>
            <w:vAlign w:val="center"/>
          </w:tcPr>
          <w:p w14:paraId="41D77B77">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778" w:type="dxa"/>
            <w:shd w:val="clear" w:color="auto" w:fill="auto"/>
            <w:vAlign w:val="center"/>
          </w:tcPr>
          <w:p w14:paraId="029D4696">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093" w:type="dxa"/>
            <w:shd w:val="clear" w:color="auto" w:fill="auto"/>
            <w:vAlign w:val="center"/>
          </w:tcPr>
          <w:p w14:paraId="3580FAA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186" w:type="dxa"/>
            <w:shd w:val="clear" w:color="auto" w:fill="auto"/>
            <w:vAlign w:val="center"/>
          </w:tcPr>
          <w:p w14:paraId="1206FB3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200" w:type="dxa"/>
            <w:shd w:val="clear" w:color="auto" w:fill="auto"/>
            <w:vAlign w:val="center"/>
          </w:tcPr>
          <w:p w14:paraId="53E4B33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43" w:type="dxa"/>
            <w:shd w:val="clear" w:color="auto" w:fill="auto"/>
            <w:vAlign w:val="center"/>
          </w:tcPr>
          <w:p w14:paraId="5C0C7EAB">
            <w:pPr>
              <w:widowControl/>
              <w:spacing w:line="240" w:lineRule="auto"/>
              <w:ind w:firstLine="0" w:firstLineChars="0"/>
              <w:jc w:val="center"/>
              <w:rPr>
                <w:rFonts w:ascii="微软雅黑" w:hAnsi="微软雅黑" w:eastAsia="微软雅黑" w:cs="宋体"/>
                <w:kern w:val="0"/>
                <w:sz w:val="20"/>
                <w:szCs w:val="20"/>
              </w:rPr>
            </w:pPr>
          </w:p>
        </w:tc>
        <w:tc>
          <w:tcPr>
            <w:tcW w:w="2971" w:type="dxa"/>
            <w:shd w:val="clear" w:color="auto" w:fill="auto"/>
            <w:vAlign w:val="center"/>
          </w:tcPr>
          <w:p w14:paraId="55964D9B">
            <w:pPr>
              <w:widowControl/>
              <w:spacing w:line="240" w:lineRule="auto"/>
              <w:ind w:firstLine="0" w:firstLineChars="0"/>
              <w:rPr>
                <w:rFonts w:ascii="微软雅黑" w:hAnsi="微软雅黑" w:eastAsia="微软雅黑" w:cs="宋体"/>
                <w:kern w:val="0"/>
                <w:sz w:val="20"/>
                <w:szCs w:val="20"/>
              </w:rPr>
            </w:pPr>
          </w:p>
        </w:tc>
      </w:tr>
      <w:tr w14:paraId="48045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22102" w:type="dxa"/>
            <w:gridSpan w:val="15"/>
            <w:tcBorders>
              <w:bottom w:val="single" w:color="auto" w:sz="4" w:space="0"/>
            </w:tcBorders>
            <w:shd w:val="clear" w:color="auto" w:fill="auto"/>
            <w:vAlign w:val="center"/>
          </w:tcPr>
          <w:p w14:paraId="50A6D2E9">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2EAC887D">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1.《征信业管理条例》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第十三条 采集个人信息应当经信息主体本人同意，未经本人同意不得采集。但是，依照法律、行政法规规定公开的信息除外。企业的董事、监事、高级管理人员与其履行职务相关的信息，不作为个人信息。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2.《全国银行间债券</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场金融债券发行管理办法》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第十五条 金融债券的发行应由具有债券评级能力的信用评级机构进行信用评级。金融债券发行后信用评级机构应每年对该金融债券进行跟踪信用评级。如发生影响该金融债券信用评级的重大事项，信用评级机构应及时调整该金融债券的信用评级，并向投资者公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3.《贷款通则》</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第十七条 借款人申请贷款，应当具备产品有</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场、生产经营有效益、不挤占挪用信贷资金、恪守信用等基本条件，并且应当符合以下要求：</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（1）有按期还本付息的能力，原应付贷款利息和到期贷款已清偿；没有清偿的，已经做了贷款人认可的偿还计划。</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（2）除自然人和不需要经工商部门核准登记的事业法人外，应当经过工商部门办理年检手续。</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（3）已开立基本账户或一般存款账户。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（4）除国务院规定外，有限责任公司和股份有限公司对外股本权益性投资累计额未超过其净资产总额的50%。</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（5）借款人的资产负债率符合贷款人的要求。</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（6）申请中期、长期贷款的，新建项目的企业法人所有者权益与项目所需总投资的比例不低于国家规定的投资项目的资本金比例。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第二十二条 贷款人的权利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根据贷款条件和贷款程序自主审查和决定贷款，除国务院批准的特定贷款外，有权拒绝任何单位和个人强令其发放贷款或者提供担保。</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（1）要求借款人提供与借款有关的资料；</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（2）根据借款人的条件，决定贷与不贷、贷款金额、期限和利率等；</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（3）了解借款人的生产经营活动和财务活动；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（4）依合同约定从借款人账户上划收贷款本金和利息；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（5）借款人未能履行借款合同规定义务的，贷款人有权依合同约定要求借款人提前归还贷款或停止支付借款人尚未使用的贷款；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（6）在贷款将受或已受损失时，可依据合同规定，采取使贷款免受损失的措施。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4.《社会信用体系建设规划纲要（2014-2020年）》</w:t>
            </w:r>
          </w:p>
          <w:p w14:paraId="25CB311A">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 发挥政府诚信建设示范作用</w:t>
            </w:r>
          </w:p>
          <w:p w14:paraId="6911A1B4">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第十四条 银行业监管部门应当监督银行业金融机构积极协助人民法院查询被执行人的开户、存款情况，依法及时办理存款的冻结、轮候冻结和扣划等事宜。对金融机构拒不履行生效法律文书、拒不协助人民法院执行的行为，依法追究有关人员的责任。制定金融机构对被执行人申请贷款进行必要限制的规定，要求金融机构发放贷款时应当查询企业和个人信用信息基础数据库，并将被执行人履行生效法律文书确定义务的情况作为审批贷款时的考量因素。对拒不履行生效法律文书义务的被执行人，涉及金融债权的，可以采取不开新户、不发放新贷款、不办理对外支付等制裁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6.《国务院关于促进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场公平竞争维护</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场正常秩序的若干意见》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第四部分第（十五）条 建立健全守信激励和失信惩戒机制。将</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场主体的信用信息作为实施行政管理的重要参考。根据</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场主体信用状况实行分类分级、动态监管，建立健全经营异常名录制度，对违背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场竞争原则和侵犯消费者、劳动者合法权益的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建立“黑名单”制度。（工商总局牵头负责）对守信主体予以支持和激励，对失信主体在经营、投融资、取得政府供应土地、进出口、出入境、注册新公司、工程招投标、政府采购、获得荣誉、安全许可、生产许可、从业任职资格、资质审核等方面依法予以限制或禁止，对严重违法失信主体实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场禁入制度。（各相关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场监管部门按职责分工分别负责）</w:t>
            </w:r>
          </w:p>
        </w:tc>
      </w:tr>
      <w:tr w14:paraId="2C586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5B7F8F25">
            <w:pPr>
              <w:pStyle w:val="2"/>
            </w:pPr>
          </w:p>
        </w:tc>
      </w:tr>
    </w:tbl>
    <w:p w14:paraId="67B20E56">
      <w:pPr>
        <w:ind w:firstLine="640"/>
      </w:pPr>
      <w:r>
        <w:br w:type="page"/>
      </w:r>
    </w:p>
    <w:tbl>
      <w:tblPr>
        <w:tblStyle w:val="8"/>
        <w:tblW w:w="22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78"/>
        <w:gridCol w:w="1078"/>
        <w:gridCol w:w="819"/>
        <w:gridCol w:w="1039"/>
        <w:gridCol w:w="2082"/>
        <w:gridCol w:w="1131"/>
        <w:gridCol w:w="1134"/>
        <w:gridCol w:w="2934"/>
        <w:gridCol w:w="1714"/>
        <w:gridCol w:w="1136"/>
        <w:gridCol w:w="2207"/>
        <w:gridCol w:w="1093"/>
        <w:gridCol w:w="943"/>
        <w:gridCol w:w="3014"/>
      </w:tblGrid>
      <w:tr w14:paraId="51D90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2102" w:type="dxa"/>
            <w:gridSpan w:val="15"/>
            <w:tcBorders>
              <w:top w:val="nil"/>
              <w:left w:val="nil"/>
              <w:right w:val="nil"/>
            </w:tcBorders>
            <w:shd w:val="clear" w:color="auto" w:fill="auto"/>
            <w:vAlign w:val="center"/>
          </w:tcPr>
          <w:p w14:paraId="151A3149">
            <w:pPr>
              <w:pStyle w:val="2"/>
              <w:rPr>
                <w:rFonts w:hint="default" w:eastAsia="华文中宋"/>
                <w:lang w:val="en-US" w:eastAsia="zh-CN"/>
              </w:rPr>
            </w:pPr>
            <w:bookmarkStart w:id="23" w:name="_Toc20473871"/>
            <w:r>
              <w:rPr>
                <w:rFonts w:hint="eastAsia"/>
                <w:lang w:val="en-US" w:eastAsia="zh-CN"/>
              </w:rPr>
              <w:t>25</w:t>
            </w:r>
            <w:r>
              <w:rPr>
                <w:rFonts w:hint="eastAsia"/>
              </w:rPr>
              <w:t>、</w:t>
            </w:r>
            <w:r>
              <w:rPr>
                <w:rFonts w:hint="eastAsia"/>
                <w:lang w:eastAsia="zh-CN"/>
              </w:rPr>
              <w:t>保定</w:t>
            </w:r>
            <w:r>
              <w:rPr>
                <w:rFonts w:hint="eastAsia"/>
              </w:rPr>
              <w:t>银保监</w:t>
            </w:r>
            <w:r>
              <w:rPr>
                <w:rFonts w:hint="eastAsia"/>
                <w:lang w:eastAsia="zh-CN"/>
              </w:rPr>
              <w:t>分</w:t>
            </w:r>
            <w:r>
              <w:rPr>
                <w:rFonts w:hint="eastAsia"/>
              </w:rPr>
              <w:t>局</w:t>
            </w:r>
            <w:bookmarkEnd w:id="23"/>
            <w:r>
              <w:rPr>
                <w:rFonts w:hint="eastAsia"/>
                <w:lang w:val="en-US" w:eastAsia="zh-CN"/>
              </w:rPr>
              <w:t>曲阳县监督组</w:t>
            </w:r>
          </w:p>
        </w:tc>
      </w:tr>
      <w:tr w14:paraId="4FD8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0482F522">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009" w:type="dxa"/>
            <w:gridSpan w:val="9"/>
            <w:shd w:val="clear" w:color="000000" w:fill="D6DCE4"/>
            <w:vAlign w:val="center"/>
          </w:tcPr>
          <w:p w14:paraId="0F32D744">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393" w:type="dxa"/>
            <w:gridSpan w:val="5"/>
            <w:shd w:val="clear" w:color="000000" w:fill="D6DCE4"/>
            <w:vAlign w:val="center"/>
          </w:tcPr>
          <w:p w14:paraId="45674CD3">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025C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1CC0ECB2">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635D17F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6CBAC0B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6457285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6121B3E3">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19EAB80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19242F3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2D204EA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934" w:type="dxa"/>
            <w:shd w:val="clear" w:color="000000" w:fill="D6DCE4"/>
            <w:vAlign w:val="center"/>
          </w:tcPr>
          <w:p w14:paraId="2341618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714" w:type="dxa"/>
            <w:shd w:val="clear" w:color="000000" w:fill="D6DCE4"/>
            <w:vAlign w:val="center"/>
          </w:tcPr>
          <w:p w14:paraId="2719CC1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36" w:type="dxa"/>
            <w:shd w:val="clear" w:color="000000" w:fill="D6DCE4"/>
            <w:vAlign w:val="center"/>
          </w:tcPr>
          <w:p w14:paraId="10A09F0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07" w:type="dxa"/>
            <w:shd w:val="clear" w:color="000000" w:fill="D6DCE4"/>
            <w:vAlign w:val="center"/>
          </w:tcPr>
          <w:p w14:paraId="0007D254">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93" w:type="dxa"/>
            <w:shd w:val="clear" w:color="000000" w:fill="D6DCE4"/>
            <w:vAlign w:val="center"/>
          </w:tcPr>
          <w:p w14:paraId="6063FA4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43" w:type="dxa"/>
            <w:shd w:val="clear" w:color="000000" w:fill="D6DCE4"/>
            <w:vAlign w:val="center"/>
          </w:tcPr>
          <w:p w14:paraId="71647BA6">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14" w:type="dxa"/>
            <w:shd w:val="clear" w:color="000000" w:fill="D6DCE4"/>
            <w:vAlign w:val="center"/>
          </w:tcPr>
          <w:p w14:paraId="53D74899">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5300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0" w:hRule="atLeast"/>
          <w:jc w:val="center"/>
        </w:trPr>
        <w:tc>
          <w:tcPr>
            <w:tcW w:w="700" w:type="dxa"/>
            <w:shd w:val="clear" w:color="auto" w:fill="auto"/>
            <w:vAlign w:val="center"/>
          </w:tcPr>
          <w:p w14:paraId="6ABD4D7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78" w:type="dxa"/>
            <w:shd w:val="clear" w:color="auto" w:fill="auto"/>
            <w:vAlign w:val="center"/>
          </w:tcPr>
          <w:p w14:paraId="43B5D76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9F7F9A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C4609F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02067F6F">
            <w:pPr>
              <w:widowControl/>
              <w:spacing w:line="240" w:lineRule="auto"/>
              <w:ind w:firstLine="0" w:firstLineChars="0"/>
              <w:jc w:val="center"/>
              <w:rPr>
                <w:rFonts w:hint="default" w:ascii="微软雅黑" w:hAnsi="微软雅黑" w:eastAsia="微软雅黑" w:cs="宋体"/>
                <w:kern w:val="0"/>
                <w:sz w:val="20"/>
                <w:szCs w:val="20"/>
                <w:lang w:val="en-US" w:eastAsia="zh-CN"/>
              </w:rPr>
            </w:pPr>
            <w:r>
              <w:rPr>
                <w:rFonts w:hint="eastAsia" w:ascii="微软雅黑" w:hAnsi="微软雅黑" w:eastAsia="微软雅黑" w:cs="宋体"/>
                <w:kern w:val="0"/>
                <w:sz w:val="20"/>
                <w:szCs w:val="20"/>
                <w:lang w:eastAsia="zh-CN"/>
              </w:rPr>
              <w:t>保定</w:t>
            </w:r>
            <w:r>
              <w:rPr>
                <w:rFonts w:hint="eastAsia" w:ascii="微软雅黑" w:hAnsi="微软雅黑" w:eastAsia="微软雅黑" w:cs="宋体"/>
                <w:kern w:val="0"/>
                <w:sz w:val="20"/>
                <w:szCs w:val="20"/>
              </w:rPr>
              <w:t>银保监</w:t>
            </w:r>
            <w:r>
              <w:rPr>
                <w:rFonts w:hint="eastAsia" w:ascii="微软雅黑" w:hAnsi="微软雅黑" w:eastAsia="微软雅黑" w:cs="宋体"/>
                <w:kern w:val="0"/>
                <w:sz w:val="20"/>
                <w:szCs w:val="20"/>
                <w:lang w:eastAsia="zh-CN"/>
              </w:rPr>
              <w:t>分</w:t>
            </w:r>
            <w:r>
              <w:rPr>
                <w:rFonts w:hint="eastAsia" w:ascii="微软雅黑" w:hAnsi="微软雅黑" w:eastAsia="微软雅黑" w:cs="宋体"/>
                <w:kern w:val="0"/>
                <w:sz w:val="20"/>
                <w:szCs w:val="20"/>
              </w:rPr>
              <w:t>局</w:t>
            </w:r>
            <w:r>
              <w:rPr>
                <w:rFonts w:hint="eastAsia" w:ascii="微软雅黑" w:hAnsi="微软雅黑" w:eastAsia="微软雅黑" w:cs="宋体"/>
                <w:kern w:val="0"/>
                <w:sz w:val="20"/>
                <w:szCs w:val="20"/>
                <w:lang w:val="en-US" w:eastAsia="zh-CN"/>
              </w:rPr>
              <w:t>曲阳监管组</w:t>
            </w:r>
          </w:p>
        </w:tc>
        <w:tc>
          <w:tcPr>
            <w:tcW w:w="2082" w:type="dxa"/>
            <w:shd w:val="clear" w:color="auto" w:fill="auto"/>
            <w:vAlign w:val="center"/>
          </w:tcPr>
          <w:p w14:paraId="3D903D56">
            <w:pPr>
              <w:widowControl/>
              <w:spacing w:line="240" w:lineRule="auto"/>
              <w:ind w:firstLine="0" w:firstLineChars="0"/>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rPr>
              <w:t>限制失信被执行人担任</w:t>
            </w:r>
            <w:r>
              <w:rPr>
                <w:rFonts w:hint="eastAsia" w:ascii="微软雅黑" w:hAnsi="微软雅黑" w:eastAsia="微软雅黑" w:cs="宋体"/>
                <w:kern w:val="0"/>
                <w:sz w:val="20"/>
                <w:szCs w:val="20"/>
                <w:lang w:eastAsia="zh-CN"/>
              </w:rPr>
              <w:t>银行业金融机构、保险公司董事、监事、高级管理员</w:t>
            </w:r>
          </w:p>
        </w:tc>
        <w:tc>
          <w:tcPr>
            <w:tcW w:w="1131" w:type="dxa"/>
            <w:shd w:val="clear" w:color="auto" w:fill="auto"/>
            <w:vAlign w:val="center"/>
          </w:tcPr>
          <w:p w14:paraId="292BF8DD">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65F0249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34" w:type="dxa"/>
            <w:shd w:val="clear" w:color="auto" w:fill="auto"/>
            <w:vAlign w:val="center"/>
          </w:tcPr>
          <w:p w14:paraId="536B53F3">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714" w:type="dxa"/>
            <w:shd w:val="clear" w:color="auto" w:fill="auto"/>
            <w:vAlign w:val="center"/>
          </w:tcPr>
          <w:p w14:paraId="76A85E9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p w14:paraId="54ABBD15">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39C678C7">
            <w:pPr>
              <w:widowControl/>
              <w:spacing w:line="240" w:lineRule="auto"/>
              <w:ind w:firstLine="0" w:firstLineChars="0"/>
              <w:jc w:val="center"/>
              <w:rPr>
                <w:rFonts w:ascii="微软雅黑" w:hAnsi="微软雅黑" w:eastAsia="微软雅黑" w:cs="宋体"/>
                <w:b/>
                <w:bCs/>
                <w:kern w:val="0"/>
                <w:sz w:val="20"/>
                <w:szCs w:val="20"/>
                <w:u w:val="single"/>
              </w:rPr>
            </w:pPr>
          </w:p>
        </w:tc>
        <w:tc>
          <w:tcPr>
            <w:tcW w:w="2207" w:type="dxa"/>
            <w:shd w:val="clear" w:color="auto" w:fill="auto"/>
            <w:vAlign w:val="center"/>
          </w:tcPr>
          <w:p w14:paraId="610F62FB">
            <w:pPr>
              <w:widowControl/>
              <w:spacing w:line="240" w:lineRule="auto"/>
              <w:ind w:firstLine="0" w:firstLineChars="0"/>
              <w:jc w:val="center"/>
              <w:rPr>
                <w:rFonts w:ascii="微软雅黑" w:hAnsi="微软雅黑" w:eastAsia="微软雅黑" w:cs="宋体"/>
                <w:b/>
                <w:bCs/>
                <w:kern w:val="0"/>
                <w:sz w:val="20"/>
                <w:szCs w:val="20"/>
                <w:u w:val="single"/>
              </w:rPr>
            </w:pPr>
          </w:p>
        </w:tc>
        <w:tc>
          <w:tcPr>
            <w:tcW w:w="1093" w:type="dxa"/>
            <w:shd w:val="clear" w:color="auto" w:fill="auto"/>
            <w:vAlign w:val="center"/>
          </w:tcPr>
          <w:p w14:paraId="32DEF0C8">
            <w:pPr>
              <w:widowControl/>
              <w:spacing w:line="240" w:lineRule="auto"/>
              <w:ind w:firstLine="0" w:firstLineChars="0"/>
              <w:jc w:val="center"/>
              <w:rPr>
                <w:rFonts w:ascii="微软雅黑" w:hAnsi="微软雅黑" w:eastAsia="微软雅黑" w:cs="宋体"/>
                <w:b/>
                <w:bCs/>
                <w:kern w:val="0"/>
                <w:sz w:val="20"/>
                <w:szCs w:val="20"/>
                <w:u w:val="single"/>
              </w:rPr>
            </w:pPr>
          </w:p>
        </w:tc>
        <w:tc>
          <w:tcPr>
            <w:tcW w:w="943" w:type="dxa"/>
            <w:shd w:val="clear" w:color="auto" w:fill="auto"/>
            <w:vAlign w:val="center"/>
          </w:tcPr>
          <w:p w14:paraId="37664039">
            <w:pPr>
              <w:widowControl/>
              <w:spacing w:line="240" w:lineRule="auto"/>
              <w:ind w:firstLine="0" w:firstLineChars="0"/>
              <w:jc w:val="center"/>
              <w:rPr>
                <w:rFonts w:ascii="微软雅黑" w:hAnsi="微软雅黑" w:eastAsia="微软雅黑" w:cs="宋体"/>
                <w:kern w:val="0"/>
                <w:sz w:val="20"/>
                <w:szCs w:val="20"/>
              </w:rPr>
            </w:pPr>
          </w:p>
        </w:tc>
        <w:tc>
          <w:tcPr>
            <w:tcW w:w="3014" w:type="dxa"/>
            <w:shd w:val="clear" w:color="auto" w:fill="auto"/>
            <w:vAlign w:val="center"/>
          </w:tcPr>
          <w:p w14:paraId="41C472DD">
            <w:pPr>
              <w:widowControl/>
              <w:spacing w:line="240" w:lineRule="auto"/>
              <w:ind w:firstLine="0" w:firstLineChars="0"/>
              <w:rPr>
                <w:rFonts w:ascii="微软雅黑" w:hAnsi="微软雅黑" w:eastAsia="微软雅黑" w:cs="宋体"/>
                <w:kern w:val="0"/>
                <w:sz w:val="20"/>
                <w:szCs w:val="20"/>
              </w:rPr>
            </w:pPr>
          </w:p>
        </w:tc>
      </w:tr>
      <w:tr w14:paraId="4EE3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02" w:type="dxa"/>
            <w:gridSpan w:val="15"/>
            <w:shd w:val="clear" w:color="auto" w:fill="auto"/>
            <w:vAlign w:val="center"/>
          </w:tcPr>
          <w:p w14:paraId="697D59E6">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12FF70DE">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1.《银行业金融机构董事（理事）和高级管理人员任职资格管理办法》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办法所称银行业金融机构（以下简称金融机构），是指在中华人民共和国境内设立的商业银行、农村合作银行、村镇银行、农村信用合作社、农村信用合作联社、外国银行分行等吸收公众存款的金融机构以及政策性银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在中华人民共和国境内设立的金融资产管理公司、信托公司、企业集团财务公司、金融租赁公司、汽车金融公司、货币经纪公司、消费金融公司、贷款公司、农村信用合作社联合社、省（自治区）农村信用社联合社、农村资金互助社、外资金融机构驻华代表机构以及经监管机构批准设立的其他金融机构的董事（理事）和高级管理人员的任职资格管理，适用本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本办法所称高级管理人员，是指金融机构总部及分支机构管理层中对该机构经营管理、风险控制有决策权或重要影响力的各类人员。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 金融机构拟任、现任董事（理事）和高级管理人员出现下列情形之一的，视为不符合本办法第八条第（二）项、第（三）项、第（五）项规定之条件：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（一）有故意或重大过失犯罪记录的；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（二）有违反社会公德的不良行为，造成恶劣影响的；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（三）对曾任职机构违法违规经营活动或重大损失负有个人责任或直接领导责任，情节严重的；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（四）担任或曾任被接管、撤销、宣告破产或吊销营业执照机构的董事（理事）或高级管理人员的，但能够证明本人对曾任职机构被接管、撤销、宣告破产或吊销营业执照不负有个人责任的除外；</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（五）因违反职业道德、操守或者工作严重失职，造成重大损失或者恶劣影响的；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（六）指使、参与所任职机构不配合依法监管或案件查处的；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（七）被取消终身的董事（理事）和高级管理人员任职资格，或受到监管机构或其他金融管理部门处罚累计达到两次以上的；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（八）有本办法规定的不具备任职资格条件的情形，采用不正当手段获得任职资格核准的。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2.《金融机构高级管理人员任职资格管理办法》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本办法所称金融机构是指经中国人民银行批准，在中华人民共和国境内依法设立的银行、金融资产管理公司、信托投资公司、企业集团财务公司、金融租赁公司、城</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信用合作社及其联合社、农村信用合作社及其联合社、其他金融机构。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上述金融机构经中国人民银行批准在境外设立的分支机构、子公司和控股机构，境内其他中资机构经中国人民银行批准在境外设立的银行类机构，适用本办法。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上述金融机构不包括在华设立的外资金融机构。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本办法所称金融机构高级管理人员，是指金融机构法定代表人和对经营管理具有决策权或对风险控制起重要作用的人员。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担任金融机构高级管理职务的人员，应接受和通过中国人民银行任职资格审核。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中国人民银行对金融机构高级管理人员任职资格的审核，分核准制和备案制两种。适用核准制的高级管理人员任职，在任命前应获得中国人民银行任职资格核准文件；适用备案制的高级管理人员任职，在任命前应报中国人民银行备案。</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第十三条 有下列情形之一的，不得担任金融机构高级管理人员：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（一）因犯有贪污、贿赂、侵占财产、挪用财产罪或者破坏社会经济秩序罪，被判处刑罚，或者因犯罪被剥夺政治权利的；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（二）曾经担任因违法经营被吊销营业执照或因经营不善破产清算的企业法定代表人，并对此负有个人责任或直接领导责任的；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（三）对因工作失误或经济案件给所任职金融机构或其他企业造成重大损失负有个人责任或直接领导责任的；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（四）个人负有数额较大的债务且到期未清偿的；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（五）提供虚假材料等弄虚作假行为的；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（六）有赌博、吸毒、嫖娼等违反社会公德不良行为，造成不良影响的；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（七）已累计两次被中国人民银行或其他监管当局取消金融机构高级管理人员任职资格的；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（八）其他法律、法规规定不能担任金融机构高级管理人员的。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3.《保险公司董事、监事和高级管理人员任职资格管理规定》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保险机构董事、监事和高级管理人员应当具有诚实信用的品行、良好的合规经营意识和履行职务必需的经营管理能力。</w:t>
            </w:r>
          </w:p>
        </w:tc>
      </w:tr>
      <w:tr w14:paraId="0A2C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1" w:hRule="atLeast"/>
          <w:jc w:val="center"/>
        </w:trPr>
        <w:tc>
          <w:tcPr>
            <w:tcW w:w="700" w:type="dxa"/>
            <w:shd w:val="clear" w:color="auto" w:fill="auto"/>
            <w:vAlign w:val="center"/>
          </w:tcPr>
          <w:p w14:paraId="77B3870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78" w:type="dxa"/>
            <w:shd w:val="clear" w:color="auto" w:fill="auto"/>
            <w:vAlign w:val="center"/>
          </w:tcPr>
          <w:p w14:paraId="5572DF5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766B46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0DB4045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shd w:val="clear" w:color="auto" w:fill="auto"/>
            <w:vAlign w:val="center"/>
          </w:tcPr>
          <w:p w14:paraId="79D81BA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保定</w:t>
            </w:r>
            <w:r>
              <w:rPr>
                <w:rFonts w:hint="eastAsia" w:ascii="微软雅黑" w:hAnsi="微软雅黑" w:eastAsia="微软雅黑" w:cs="宋体"/>
                <w:kern w:val="0"/>
                <w:sz w:val="20"/>
                <w:szCs w:val="20"/>
              </w:rPr>
              <w:t>银保监</w:t>
            </w:r>
            <w:r>
              <w:rPr>
                <w:rFonts w:hint="eastAsia" w:ascii="微软雅黑" w:hAnsi="微软雅黑" w:eastAsia="微软雅黑" w:cs="宋体"/>
                <w:kern w:val="0"/>
                <w:sz w:val="20"/>
                <w:szCs w:val="20"/>
                <w:lang w:eastAsia="zh-CN"/>
              </w:rPr>
              <w:t>分</w:t>
            </w:r>
            <w:r>
              <w:rPr>
                <w:rFonts w:hint="eastAsia" w:ascii="微软雅黑" w:hAnsi="微软雅黑" w:eastAsia="微软雅黑" w:cs="宋体"/>
                <w:kern w:val="0"/>
                <w:sz w:val="20"/>
                <w:szCs w:val="20"/>
              </w:rPr>
              <w:t>局</w:t>
            </w:r>
            <w:r>
              <w:rPr>
                <w:rFonts w:hint="eastAsia" w:ascii="微软雅黑" w:hAnsi="微软雅黑" w:eastAsia="微软雅黑" w:cs="宋体"/>
                <w:kern w:val="0"/>
                <w:sz w:val="20"/>
                <w:szCs w:val="20"/>
                <w:lang w:val="en-US" w:eastAsia="zh-CN"/>
              </w:rPr>
              <w:t>曲阳监管组</w:t>
            </w:r>
          </w:p>
        </w:tc>
        <w:tc>
          <w:tcPr>
            <w:tcW w:w="2082" w:type="dxa"/>
            <w:shd w:val="clear" w:color="auto" w:fill="auto"/>
            <w:vAlign w:val="center"/>
          </w:tcPr>
          <w:p w14:paraId="663CDDB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限制失信被执行人设立保险公司</w:t>
            </w:r>
          </w:p>
        </w:tc>
        <w:tc>
          <w:tcPr>
            <w:tcW w:w="1131" w:type="dxa"/>
            <w:shd w:val="clear" w:color="auto" w:fill="auto"/>
            <w:vAlign w:val="center"/>
          </w:tcPr>
          <w:p w14:paraId="5BC8ED3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7AC68C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34" w:type="dxa"/>
            <w:shd w:val="clear" w:color="auto" w:fill="auto"/>
            <w:vAlign w:val="center"/>
          </w:tcPr>
          <w:p w14:paraId="465CD12A">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714" w:type="dxa"/>
            <w:shd w:val="clear" w:color="auto" w:fill="auto"/>
            <w:vAlign w:val="center"/>
          </w:tcPr>
          <w:p w14:paraId="4188161F">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36" w:type="dxa"/>
            <w:shd w:val="clear" w:color="auto" w:fill="auto"/>
            <w:vAlign w:val="center"/>
          </w:tcPr>
          <w:p w14:paraId="2C8A732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07" w:type="dxa"/>
            <w:shd w:val="clear" w:color="auto" w:fill="auto"/>
            <w:vAlign w:val="center"/>
          </w:tcPr>
          <w:p w14:paraId="6DDC3BC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93" w:type="dxa"/>
            <w:shd w:val="clear" w:color="auto" w:fill="auto"/>
            <w:vAlign w:val="center"/>
          </w:tcPr>
          <w:p w14:paraId="4162ACF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43" w:type="dxa"/>
            <w:shd w:val="clear" w:color="auto" w:fill="auto"/>
            <w:vAlign w:val="center"/>
          </w:tcPr>
          <w:p w14:paraId="47A47EE4">
            <w:pPr>
              <w:widowControl/>
              <w:spacing w:line="240" w:lineRule="auto"/>
              <w:ind w:firstLine="0" w:firstLineChars="0"/>
              <w:jc w:val="center"/>
              <w:rPr>
                <w:rFonts w:ascii="微软雅黑" w:hAnsi="微软雅黑" w:eastAsia="微软雅黑" w:cs="宋体"/>
                <w:kern w:val="0"/>
                <w:sz w:val="20"/>
                <w:szCs w:val="20"/>
              </w:rPr>
            </w:pPr>
          </w:p>
        </w:tc>
        <w:tc>
          <w:tcPr>
            <w:tcW w:w="3014" w:type="dxa"/>
            <w:shd w:val="clear" w:color="auto" w:fill="auto"/>
            <w:vAlign w:val="center"/>
          </w:tcPr>
          <w:p w14:paraId="098E9C9A">
            <w:pPr>
              <w:widowControl/>
              <w:spacing w:line="240" w:lineRule="auto"/>
              <w:ind w:firstLine="0" w:firstLineChars="0"/>
              <w:rPr>
                <w:rFonts w:ascii="微软雅黑" w:hAnsi="微软雅黑" w:eastAsia="微软雅黑" w:cs="宋体"/>
                <w:kern w:val="0"/>
                <w:sz w:val="20"/>
                <w:szCs w:val="20"/>
              </w:rPr>
            </w:pPr>
          </w:p>
        </w:tc>
      </w:tr>
      <w:tr w14:paraId="1875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2" w:hRule="atLeast"/>
          <w:jc w:val="center"/>
        </w:trPr>
        <w:tc>
          <w:tcPr>
            <w:tcW w:w="22102" w:type="dxa"/>
            <w:gridSpan w:val="15"/>
            <w:shd w:val="clear" w:color="auto" w:fill="auto"/>
            <w:vAlign w:val="center"/>
          </w:tcPr>
          <w:p w14:paraId="7B7C5FB2">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7A332A22">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《中华人民共和国保险法》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第六十八条 设立保险公司应当具备下列条件：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（1）主要股东具有持续盈利能力，信誉良好，最近三年内无重大违法违规记录，净资产不低于人民币二亿元；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（2）有符合本法和《中华人民共和国公司法》规定的章程；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（3）有符合本法规定的注册资本；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（4）有具备任职专业知识和业务工作经验的董事、监事和高级管理人员；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（5）有健全的组织机构和管理制度；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（6）有符合要求的营业场所和与经营业务有关的其他设施；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（7）法律、行政法规和国务院保险监督管理机构规定的其他条件。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3.《最高人民法院关于限制被执行人高消费及有关消费的若干规定》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被执行人为自然人的，被采取限制消费措施后，不得有以下高消费及非生活和工作必需的消费行为：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（一）乘坐交通工具时，选择飞机、列车软卧、轮船二等以上舱位；</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（二）在星级以上宾馆、酒店、夜总会、高尔夫球场等场所进行高消费；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（三）购买不动产或者新建、扩建、高档装修房屋；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（四）租赁高档写字楼、宾馆、公寓等场所办公；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（五）购买非经营必需车辆；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（六）旅游、度假；</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（七）子女就读高收费私立学校；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（八）支付高额保费购买保险理财产品；</w:t>
            </w:r>
          </w:p>
        </w:tc>
      </w:tr>
      <w:tr w14:paraId="6ACA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2" w:hRule="atLeast"/>
          <w:jc w:val="center"/>
        </w:trPr>
        <w:tc>
          <w:tcPr>
            <w:tcW w:w="700" w:type="dxa"/>
            <w:shd w:val="clear" w:color="auto" w:fill="auto"/>
            <w:vAlign w:val="center"/>
          </w:tcPr>
          <w:p w14:paraId="1AD2AD5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78" w:type="dxa"/>
            <w:shd w:val="clear" w:color="auto" w:fill="auto"/>
            <w:vAlign w:val="center"/>
          </w:tcPr>
          <w:p w14:paraId="68FF6568">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6A985F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00626F3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自然人</w:t>
            </w:r>
          </w:p>
        </w:tc>
        <w:tc>
          <w:tcPr>
            <w:tcW w:w="1039" w:type="dxa"/>
            <w:shd w:val="clear" w:color="auto" w:fill="auto"/>
            <w:vAlign w:val="center"/>
          </w:tcPr>
          <w:p w14:paraId="4C45E41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银行业保险业金融机构</w:t>
            </w:r>
          </w:p>
        </w:tc>
        <w:tc>
          <w:tcPr>
            <w:tcW w:w="2082" w:type="dxa"/>
            <w:shd w:val="clear" w:color="auto" w:fill="auto"/>
            <w:vAlign w:val="center"/>
          </w:tcPr>
          <w:p w14:paraId="61BE961E">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限制失信被执行人（自然人）及失信被执行人（企事业单位）的法定代表人、主要负责人、影响债务履行的直接责任人员、实际控制人支付高额保费购买具有现金价值的保险产品</w:t>
            </w:r>
          </w:p>
        </w:tc>
        <w:tc>
          <w:tcPr>
            <w:tcW w:w="1131" w:type="dxa"/>
            <w:shd w:val="clear" w:color="auto" w:fill="auto"/>
            <w:vAlign w:val="center"/>
          </w:tcPr>
          <w:p w14:paraId="63AA8B45">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场性</w:t>
            </w:r>
          </w:p>
        </w:tc>
        <w:tc>
          <w:tcPr>
            <w:tcW w:w="1134" w:type="dxa"/>
            <w:shd w:val="clear" w:color="auto" w:fill="auto"/>
            <w:vAlign w:val="center"/>
          </w:tcPr>
          <w:p w14:paraId="68B6EA4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34" w:type="dxa"/>
            <w:shd w:val="clear" w:color="auto" w:fill="auto"/>
            <w:vAlign w:val="center"/>
          </w:tcPr>
          <w:p w14:paraId="236FF0EE">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714" w:type="dxa"/>
            <w:shd w:val="clear" w:color="auto" w:fill="auto"/>
            <w:vAlign w:val="center"/>
          </w:tcPr>
          <w:p w14:paraId="43594190">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5B8F27D0">
            <w:pPr>
              <w:widowControl/>
              <w:spacing w:line="240" w:lineRule="auto"/>
              <w:ind w:firstLine="0" w:firstLineChars="0"/>
              <w:jc w:val="center"/>
              <w:rPr>
                <w:rFonts w:ascii="微软雅黑" w:hAnsi="微软雅黑" w:eastAsia="微软雅黑" w:cs="宋体"/>
                <w:b/>
                <w:bCs/>
                <w:kern w:val="0"/>
                <w:sz w:val="20"/>
                <w:szCs w:val="20"/>
                <w:u w:val="single"/>
              </w:rPr>
            </w:pPr>
          </w:p>
        </w:tc>
        <w:tc>
          <w:tcPr>
            <w:tcW w:w="2207" w:type="dxa"/>
            <w:shd w:val="clear" w:color="auto" w:fill="auto"/>
            <w:vAlign w:val="center"/>
          </w:tcPr>
          <w:p w14:paraId="40F163DE">
            <w:pPr>
              <w:widowControl/>
              <w:spacing w:line="240" w:lineRule="auto"/>
              <w:ind w:firstLine="0" w:firstLineChars="0"/>
              <w:jc w:val="center"/>
              <w:rPr>
                <w:rFonts w:ascii="微软雅黑" w:hAnsi="微软雅黑" w:eastAsia="微软雅黑" w:cs="宋体"/>
                <w:b/>
                <w:bCs/>
                <w:kern w:val="0"/>
                <w:sz w:val="20"/>
                <w:szCs w:val="20"/>
                <w:u w:val="single"/>
              </w:rPr>
            </w:pPr>
          </w:p>
        </w:tc>
        <w:tc>
          <w:tcPr>
            <w:tcW w:w="1093" w:type="dxa"/>
            <w:shd w:val="clear" w:color="auto" w:fill="auto"/>
            <w:vAlign w:val="center"/>
          </w:tcPr>
          <w:p w14:paraId="47C30E43">
            <w:pPr>
              <w:widowControl/>
              <w:spacing w:line="240" w:lineRule="auto"/>
              <w:ind w:firstLine="0" w:firstLineChars="0"/>
              <w:jc w:val="center"/>
              <w:rPr>
                <w:rFonts w:ascii="微软雅黑" w:hAnsi="微软雅黑" w:eastAsia="微软雅黑" w:cs="宋体"/>
                <w:b/>
                <w:bCs/>
                <w:kern w:val="0"/>
                <w:sz w:val="20"/>
                <w:szCs w:val="20"/>
                <w:u w:val="single"/>
              </w:rPr>
            </w:pPr>
          </w:p>
        </w:tc>
        <w:tc>
          <w:tcPr>
            <w:tcW w:w="943" w:type="dxa"/>
            <w:shd w:val="clear" w:color="auto" w:fill="auto"/>
            <w:vAlign w:val="center"/>
          </w:tcPr>
          <w:p w14:paraId="0686CD4F">
            <w:pPr>
              <w:widowControl/>
              <w:spacing w:line="240" w:lineRule="auto"/>
              <w:ind w:firstLine="0" w:firstLineChars="0"/>
              <w:jc w:val="center"/>
              <w:rPr>
                <w:rFonts w:ascii="微软雅黑" w:hAnsi="微软雅黑" w:eastAsia="微软雅黑" w:cs="宋体"/>
                <w:kern w:val="0"/>
                <w:sz w:val="20"/>
                <w:szCs w:val="20"/>
              </w:rPr>
            </w:pPr>
          </w:p>
        </w:tc>
        <w:tc>
          <w:tcPr>
            <w:tcW w:w="3014" w:type="dxa"/>
            <w:shd w:val="clear" w:color="auto" w:fill="auto"/>
            <w:vAlign w:val="center"/>
          </w:tcPr>
          <w:p w14:paraId="7E23E736">
            <w:pPr>
              <w:widowControl/>
              <w:spacing w:line="240" w:lineRule="auto"/>
              <w:ind w:firstLine="0" w:firstLineChars="0"/>
              <w:rPr>
                <w:rFonts w:ascii="微软雅黑" w:hAnsi="微软雅黑" w:eastAsia="微软雅黑" w:cs="宋体"/>
                <w:kern w:val="0"/>
                <w:sz w:val="20"/>
                <w:szCs w:val="20"/>
              </w:rPr>
            </w:pPr>
          </w:p>
        </w:tc>
      </w:tr>
      <w:tr w14:paraId="37B0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0" w:hRule="atLeast"/>
          <w:jc w:val="center"/>
        </w:trPr>
        <w:tc>
          <w:tcPr>
            <w:tcW w:w="22102" w:type="dxa"/>
            <w:gridSpan w:val="15"/>
            <w:shd w:val="clear" w:color="auto" w:fill="auto"/>
            <w:vAlign w:val="center"/>
          </w:tcPr>
          <w:p w14:paraId="52D501B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5F28A773">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《中华人民共和国保险法》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第六十八条 设立保险公司应当具备下列条件：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（1）主要股东具有持续盈利能力，信誉良好，最近三年内无重大违法违规记录，净资产不低于人民币二亿元；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（2）有符合本法和《中华人民共和国公司法》规定的章程；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（3）有符合本法规定的注册资本；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（4）有具备任职专业知识和业务工作经验的董事、监事和高级管理人员；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（5）有健全的组织机构和管理制度；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（6）有符合要求的营业场所和与经营业务有关的其他设施；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（7）法律、行政法规和国务院保险监督管理机构规定的其他条件。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2.《中华人民共和国民事诉讼法》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第二百五十五条 被执行人不履行法律文书确定的义务的，人民法院可以对其采取或者通知有关单位协助采取限制出境，在征信系统记录、通过媒体公布不履行义务信息以及法律规定的其他措施。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3.《最高人民法院关于限制被执行人高消费及有关消费的若干规定》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第一条 被执行人未按执行通知书指定的期间履行生效法律文书确定的给付义务的，人民法院可以采取限制消费措施，限制其高消费及非生活或者经营必需的有关消费。纳入失信被执行人名单的被执行人，人民法院应当对其采取限制消费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被执行人为自然人的，被采取限制消费措施后，不得有以下高消费及非生活和工作必需的消费行为：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（一）乘坐交通工具时，选择飞机、列车软卧、轮船二等以上舱位；</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（二）在星级以上宾馆、酒店、夜总会、高尔夫球场等场所进行高消费；</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（三）购买不动产或者新建、扩建、高档装修房屋；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（四）租赁高档写字楼、宾馆、公寓等场所办公；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（五）购买非经营必需车辆；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（六）旅游、度假；</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（七）子女就读高收费私立学校；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（八）支付高额保费购买保险理财产品；</w:t>
            </w:r>
          </w:p>
        </w:tc>
      </w:tr>
      <w:tr w14:paraId="1503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0" w:hRule="atLeast"/>
          <w:jc w:val="center"/>
        </w:trPr>
        <w:tc>
          <w:tcPr>
            <w:tcW w:w="700" w:type="dxa"/>
            <w:shd w:val="clear" w:color="auto" w:fill="auto"/>
            <w:vAlign w:val="center"/>
          </w:tcPr>
          <w:p w14:paraId="1FB8C65E">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p>
        </w:tc>
        <w:tc>
          <w:tcPr>
            <w:tcW w:w="1078" w:type="dxa"/>
            <w:shd w:val="clear" w:color="auto" w:fill="auto"/>
            <w:vAlign w:val="center"/>
          </w:tcPr>
          <w:p w14:paraId="09D9107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10FC9743">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2AA8FA3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102C14BF">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保定</w:t>
            </w:r>
            <w:r>
              <w:rPr>
                <w:rFonts w:hint="eastAsia" w:ascii="微软雅黑" w:hAnsi="微软雅黑" w:eastAsia="微软雅黑" w:cs="宋体"/>
                <w:kern w:val="0"/>
                <w:sz w:val="20"/>
                <w:szCs w:val="20"/>
              </w:rPr>
              <w:t>银保监</w:t>
            </w:r>
            <w:r>
              <w:rPr>
                <w:rFonts w:hint="eastAsia" w:ascii="微软雅黑" w:hAnsi="微软雅黑" w:eastAsia="微软雅黑" w:cs="宋体"/>
                <w:kern w:val="0"/>
                <w:sz w:val="20"/>
                <w:szCs w:val="20"/>
                <w:lang w:eastAsia="zh-CN"/>
              </w:rPr>
              <w:t>分</w:t>
            </w:r>
            <w:r>
              <w:rPr>
                <w:rFonts w:hint="eastAsia" w:ascii="微软雅黑" w:hAnsi="微软雅黑" w:eastAsia="微软雅黑" w:cs="宋体"/>
                <w:kern w:val="0"/>
                <w:sz w:val="20"/>
                <w:szCs w:val="20"/>
              </w:rPr>
              <w:t>局</w:t>
            </w:r>
            <w:r>
              <w:rPr>
                <w:rFonts w:hint="eastAsia" w:ascii="微软雅黑" w:hAnsi="微软雅黑" w:eastAsia="微软雅黑" w:cs="宋体"/>
                <w:kern w:val="0"/>
                <w:sz w:val="20"/>
                <w:szCs w:val="20"/>
                <w:lang w:val="en-US" w:eastAsia="zh-CN"/>
              </w:rPr>
              <w:t>曲阳监管组</w:t>
            </w:r>
          </w:p>
        </w:tc>
        <w:tc>
          <w:tcPr>
            <w:tcW w:w="2082" w:type="dxa"/>
            <w:shd w:val="clear" w:color="auto" w:fill="auto"/>
            <w:vAlign w:val="center"/>
          </w:tcPr>
          <w:p w14:paraId="5DB529DB">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将失信被执行人相关信息作为设立商业银行或分行、代表处以及参股、收购商业银行的审批时审慎性参考</w:t>
            </w:r>
          </w:p>
        </w:tc>
        <w:tc>
          <w:tcPr>
            <w:tcW w:w="1131" w:type="dxa"/>
            <w:shd w:val="clear" w:color="auto" w:fill="auto"/>
            <w:vAlign w:val="center"/>
          </w:tcPr>
          <w:p w14:paraId="35BECB9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6452A9E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34" w:type="dxa"/>
            <w:shd w:val="clear" w:color="auto" w:fill="auto"/>
            <w:vAlign w:val="center"/>
          </w:tcPr>
          <w:p w14:paraId="17E31312">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《中华人民共和国外资银行管理条例》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 拟设外商独资银行、中外合资银行的股东或者拟设分行、代表处的外国银行应当具备下列条件：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（1）具有持续盈利能力，信誉良好，无重大违法违规记录；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（2）拟设外商独资银行的股东、中外合资银行的外方股东或者拟设分行、代表处的外国银行具有从事国际金融活动的经验；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（3）具有有效的反洗钱制度；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（4）拟设外商独资银行的股东、中外合资银行的外方股东或者拟设分行、代表处的外国银行受到所在国家或者地区金融监管当局的有效监管，并且其申请经所在国家或者地区金融监管当局同意；</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（5）国务院银行业监督管理机构规定的其他审慎性条件。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拟设外商独资银行的股东、中外合资银行的外方股东或者拟设分行、代表处的外国银行所在国家或者地区应当具有完善的金融监督管理制度，并且其金融监管当局已经与国务院银行业监督管理机构建立良好的监督管理合作机制。</w:t>
            </w:r>
          </w:p>
        </w:tc>
        <w:tc>
          <w:tcPr>
            <w:tcW w:w="1714" w:type="dxa"/>
            <w:shd w:val="clear" w:color="auto" w:fill="auto"/>
            <w:vAlign w:val="center"/>
          </w:tcPr>
          <w:p w14:paraId="4F8C9EC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　</w:t>
            </w:r>
          </w:p>
        </w:tc>
        <w:tc>
          <w:tcPr>
            <w:tcW w:w="1136" w:type="dxa"/>
            <w:shd w:val="clear" w:color="auto" w:fill="auto"/>
            <w:vAlign w:val="center"/>
          </w:tcPr>
          <w:p w14:paraId="60E914DA">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2207" w:type="dxa"/>
            <w:shd w:val="clear" w:color="auto" w:fill="auto"/>
            <w:vAlign w:val="center"/>
          </w:tcPr>
          <w:p w14:paraId="3D1CB392">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1093" w:type="dxa"/>
            <w:shd w:val="clear" w:color="auto" w:fill="auto"/>
            <w:vAlign w:val="center"/>
          </w:tcPr>
          <w:p w14:paraId="057989D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w:t>
            </w:r>
          </w:p>
        </w:tc>
        <w:tc>
          <w:tcPr>
            <w:tcW w:w="943" w:type="dxa"/>
            <w:shd w:val="clear" w:color="auto" w:fill="auto"/>
            <w:vAlign w:val="center"/>
          </w:tcPr>
          <w:p w14:paraId="41F5C1D1">
            <w:pPr>
              <w:widowControl/>
              <w:spacing w:line="240" w:lineRule="auto"/>
              <w:ind w:firstLine="0" w:firstLineChars="0"/>
              <w:rPr>
                <w:rFonts w:ascii="微软雅黑" w:hAnsi="微软雅黑" w:eastAsia="微软雅黑" w:cs="宋体"/>
                <w:kern w:val="0"/>
                <w:sz w:val="20"/>
                <w:szCs w:val="20"/>
              </w:rPr>
            </w:pPr>
          </w:p>
        </w:tc>
        <w:tc>
          <w:tcPr>
            <w:tcW w:w="3014" w:type="dxa"/>
            <w:shd w:val="clear" w:color="auto" w:fill="auto"/>
            <w:vAlign w:val="center"/>
          </w:tcPr>
          <w:p w14:paraId="38F89B7D">
            <w:pPr>
              <w:widowControl/>
              <w:spacing w:line="240" w:lineRule="auto"/>
              <w:ind w:firstLine="0" w:firstLineChars="0"/>
              <w:rPr>
                <w:rFonts w:ascii="微软雅黑" w:hAnsi="微软雅黑" w:eastAsia="微软雅黑" w:cs="宋体"/>
                <w:kern w:val="0"/>
                <w:sz w:val="20"/>
                <w:szCs w:val="20"/>
              </w:rPr>
            </w:pPr>
          </w:p>
        </w:tc>
      </w:tr>
      <w:tr w14:paraId="50F5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4" w:hRule="atLeast"/>
          <w:jc w:val="center"/>
        </w:trPr>
        <w:tc>
          <w:tcPr>
            <w:tcW w:w="700" w:type="dxa"/>
            <w:tcBorders>
              <w:bottom w:val="single" w:color="auto" w:sz="4" w:space="0"/>
            </w:tcBorders>
            <w:shd w:val="clear" w:color="auto" w:fill="auto"/>
            <w:vAlign w:val="center"/>
          </w:tcPr>
          <w:p w14:paraId="15549114">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5</w:t>
            </w:r>
          </w:p>
        </w:tc>
        <w:tc>
          <w:tcPr>
            <w:tcW w:w="1078" w:type="dxa"/>
            <w:tcBorders>
              <w:bottom w:val="single" w:color="auto" w:sz="4" w:space="0"/>
            </w:tcBorders>
            <w:shd w:val="clear" w:color="auto" w:fill="auto"/>
            <w:vAlign w:val="center"/>
          </w:tcPr>
          <w:p w14:paraId="4F784019">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曲阳县人民法院</w:t>
            </w:r>
          </w:p>
        </w:tc>
        <w:tc>
          <w:tcPr>
            <w:tcW w:w="1078" w:type="dxa"/>
            <w:tcBorders>
              <w:bottom w:val="single" w:color="auto" w:sz="4" w:space="0"/>
            </w:tcBorders>
            <w:shd w:val="clear" w:color="auto" w:fill="auto"/>
            <w:vAlign w:val="center"/>
          </w:tcPr>
          <w:p w14:paraId="0FF6A7A7">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失信被执行人</w:t>
            </w:r>
          </w:p>
        </w:tc>
        <w:tc>
          <w:tcPr>
            <w:tcW w:w="819" w:type="dxa"/>
            <w:tcBorders>
              <w:bottom w:val="single" w:color="auto" w:sz="4" w:space="0"/>
            </w:tcBorders>
            <w:shd w:val="clear" w:color="auto" w:fill="auto"/>
            <w:vAlign w:val="center"/>
          </w:tcPr>
          <w:p w14:paraId="6ECE2ED0">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法人和非法人组织</w:t>
            </w:r>
          </w:p>
        </w:tc>
        <w:tc>
          <w:tcPr>
            <w:tcW w:w="1039" w:type="dxa"/>
            <w:tcBorders>
              <w:bottom w:val="single" w:color="auto" w:sz="4" w:space="0"/>
            </w:tcBorders>
            <w:shd w:val="clear" w:color="auto" w:fill="auto"/>
            <w:vAlign w:val="center"/>
          </w:tcPr>
          <w:p w14:paraId="17017041">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lang w:eastAsia="zh-CN"/>
              </w:rPr>
              <w:t>保定</w:t>
            </w:r>
            <w:r>
              <w:rPr>
                <w:rFonts w:hint="eastAsia" w:ascii="微软雅黑" w:hAnsi="微软雅黑" w:eastAsia="微软雅黑" w:cs="宋体"/>
                <w:kern w:val="0"/>
                <w:sz w:val="20"/>
                <w:szCs w:val="20"/>
              </w:rPr>
              <w:t>银保监</w:t>
            </w:r>
            <w:r>
              <w:rPr>
                <w:rFonts w:hint="eastAsia" w:ascii="微软雅黑" w:hAnsi="微软雅黑" w:eastAsia="微软雅黑" w:cs="宋体"/>
                <w:kern w:val="0"/>
                <w:sz w:val="20"/>
                <w:szCs w:val="20"/>
                <w:lang w:eastAsia="zh-CN"/>
              </w:rPr>
              <w:t>分</w:t>
            </w:r>
            <w:r>
              <w:rPr>
                <w:rFonts w:hint="eastAsia" w:ascii="微软雅黑" w:hAnsi="微软雅黑" w:eastAsia="微软雅黑" w:cs="宋体"/>
                <w:kern w:val="0"/>
                <w:sz w:val="20"/>
                <w:szCs w:val="20"/>
              </w:rPr>
              <w:t>局</w:t>
            </w:r>
            <w:r>
              <w:rPr>
                <w:rFonts w:hint="eastAsia" w:ascii="微软雅黑" w:hAnsi="微软雅黑" w:eastAsia="微软雅黑" w:cs="宋体"/>
                <w:kern w:val="0"/>
                <w:sz w:val="20"/>
                <w:szCs w:val="20"/>
                <w:lang w:val="en-US" w:eastAsia="zh-CN"/>
              </w:rPr>
              <w:t>曲阳监管组</w:t>
            </w:r>
          </w:p>
        </w:tc>
        <w:tc>
          <w:tcPr>
            <w:tcW w:w="2082" w:type="dxa"/>
            <w:tcBorders>
              <w:bottom w:val="single" w:color="auto" w:sz="4" w:space="0"/>
            </w:tcBorders>
            <w:shd w:val="clear" w:color="auto" w:fill="auto"/>
            <w:vAlign w:val="center"/>
          </w:tcPr>
          <w:p w14:paraId="2E0C0EA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银行业金融机构在融资授信时查询拟授信对象及其法定代表人、实际控制人、董事、监事、高级管理人员是否为失信被执行人，对拟授信对象为失信被执行人的从严审核</w:t>
            </w:r>
          </w:p>
        </w:tc>
        <w:tc>
          <w:tcPr>
            <w:tcW w:w="1131" w:type="dxa"/>
            <w:tcBorders>
              <w:bottom w:val="single" w:color="auto" w:sz="4" w:space="0"/>
            </w:tcBorders>
            <w:shd w:val="clear" w:color="auto" w:fill="auto"/>
            <w:vAlign w:val="center"/>
          </w:tcPr>
          <w:p w14:paraId="2112EE76">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行政性</w:t>
            </w:r>
          </w:p>
        </w:tc>
        <w:tc>
          <w:tcPr>
            <w:tcW w:w="1134" w:type="dxa"/>
            <w:tcBorders>
              <w:bottom w:val="single" w:color="auto" w:sz="4" w:space="0"/>
            </w:tcBorders>
            <w:shd w:val="clear" w:color="auto" w:fill="auto"/>
            <w:vAlign w:val="center"/>
          </w:tcPr>
          <w:p w14:paraId="1F80717C">
            <w:pPr>
              <w:widowControl/>
              <w:spacing w:line="240" w:lineRule="auto"/>
              <w:ind w:firstLine="0" w:firstLineChars="0"/>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强制性</w:t>
            </w:r>
          </w:p>
        </w:tc>
        <w:tc>
          <w:tcPr>
            <w:tcW w:w="2934" w:type="dxa"/>
            <w:tcBorders>
              <w:bottom w:val="single" w:color="auto" w:sz="4" w:space="0"/>
            </w:tcBorders>
            <w:shd w:val="clear" w:color="auto" w:fill="auto"/>
            <w:vAlign w:val="center"/>
          </w:tcPr>
          <w:p w14:paraId="1BCA3D9B">
            <w:pPr>
              <w:widowControl/>
              <w:spacing w:line="240" w:lineRule="auto"/>
              <w:ind w:firstLine="0" w:firstLineChars="0"/>
              <w:jc w:val="center"/>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详见下方</w:t>
            </w:r>
          </w:p>
        </w:tc>
        <w:tc>
          <w:tcPr>
            <w:tcW w:w="1714" w:type="dxa"/>
            <w:tcBorders>
              <w:bottom w:val="single" w:color="auto" w:sz="4" w:space="0"/>
            </w:tcBorders>
            <w:shd w:val="clear" w:color="auto" w:fill="auto"/>
            <w:vAlign w:val="center"/>
          </w:tcPr>
          <w:p w14:paraId="5A5DDA2E">
            <w:pPr>
              <w:widowControl/>
              <w:spacing w:line="240" w:lineRule="auto"/>
              <w:ind w:firstLine="0" w:firstLineChars="0"/>
              <w:rPr>
                <w:rFonts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tcBorders>
              <w:bottom w:val="single" w:color="auto" w:sz="4" w:space="0"/>
            </w:tcBorders>
            <w:shd w:val="clear" w:color="auto" w:fill="auto"/>
            <w:vAlign w:val="center"/>
          </w:tcPr>
          <w:p w14:paraId="1C628427">
            <w:pPr>
              <w:widowControl/>
              <w:spacing w:line="240" w:lineRule="auto"/>
              <w:ind w:firstLine="0" w:firstLineChars="0"/>
              <w:jc w:val="center"/>
              <w:rPr>
                <w:rFonts w:ascii="微软雅黑" w:hAnsi="微软雅黑" w:eastAsia="微软雅黑" w:cs="宋体"/>
                <w:b/>
                <w:bCs/>
                <w:kern w:val="0"/>
                <w:sz w:val="20"/>
                <w:szCs w:val="20"/>
                <w:u w:val="single"/>
              </w:rPr>
            </w:pPr>
          </w:p>
        </w:tc>
        <w:tc>
          <w:tcPr>
            <w:tcW w:w="2207" w:type="dxa"/>
            <w:tcBorders>
              <w:bottom w:val="single" w:color="auto" w:sz="4" w:space="0"/>
            </w:tcBorders>
            <w:shd w:val="clear" w:color="auto" w:fill="auto"/>
            <w:vAlign w:val="center"/>
          </w:tcPr>
          <w:p w14:paraId="11F974F4">
            <w:pPr>
              <w:widowControl/>
              <w:spacing w:line="240" w:lineRule="auto"/>
              <w:ind w:firstLine="0" w:firstLineChars="0"/>
              <w:jc w:val="center"/>
              <w:rPr>
                <w:rFonts w:ascii="微软雅黑" w:hAnsi="微软雅黑" w:eastAsia="微软雅黑" w:cs="宋体"/>
                <w:b/>
                <w:bCs/>
                <w:kern w:val="0"/>
                <w:sz w:val="20"/>
                <w:szCs w:val="20"/>
                <w:u w:val="single"/>
              </w:rPr>
            </w:pPr>
          </w:p>
        </w:tc>
        <w:tc>
          <w:tcPr>
            <w:tcW w:w="1093" w:type="dxa"/>
            <w:tcBorders>
              <w:bottom w:val="single" w:color="auto" w:sz="4" w:space="0"/>
            </w:tcBorders>
            <w:shd w:val="clear" w:color="auto" w:fill="auto"/>
            <w:vAlign w:val="center"/>
          </w:tcPr>
          <w:p w14:paraId="44E78265">
            <w:pPr>
              <w:widowControl/>
              <w:spacing w:line="240" w:lineRule="auto"/>
              <w:ind w:firstLine="0" w:firstLineChars="0"/>
              <w:jc w:val="center"/>
              <w:rPr>
                <w:rFonts w:ascii="微软雅黑" w:hAnsi="微软雅黑" w:eastAsia="微软雅黑" w:cs="宋体"/>
                <w:b/>
                <w:bCs/>
                <w:kern w:val="0"/>
                <w:sz w:val="20"/>
                <w:szCs w:val="20"/>
                <w:u w:val="single"/>
              </w:rPr>
            </w:pPr>
          </w:p>
        </w:tc>
        <w:tc>
          <w:tcPr>
            <w:tcW w:w="943" w:type="dxa"/>
            <w:tcBorders>
              <w:bottom w:val="single" w:color="auto" w:sz="4" w:space="0"/>
            </w:tcBorders>
            <w:shd w:val="clear" w:color="auto" w:fill="auto"/>
            <w:vAlign w:val="center"/>
          </w:tcPr>
          <w:p w14:paraId="19D6328B">
            <w:pPr>
              <w:widowControl/>
              <w:spacing w:line="240" w:lineRule="auto"/>
              <w:ind w:firstLine="0" w:firstLineChars="0"/>
              <w:jc w:val="center"/>
              <w:rPr>
                <w:rFonts w:ascii="微软雅黑" w:hAnsi="微软雅黑" w:eastAsia="微软雅黑" w:cs="宋体"/>
                <w:kern w:val="0"/>
                <w:sz w:val="20"/>
                <w:szCs w:val="20"/>
              </w:rPr>
            </w:pPr>
          </w:p>
        </w:tc>
        <w:tc>
          <w:tcPr>
            <w:tcW w:w="3014" w:type="dxa"/>
            <w:tcBorders>
              <w:bottom w:val="single" w:color="auto" w:sz="4" w:space="0"/>
            </w:tcBorders>
            <w:shd w:val="clear" w:color="auto" w:fill="auto"/>
            <w:vAlign w:val="center"/>
          </w:tcPr>
          <w:p w14:paraId="7FDDA265">
            <w:pPr>
              <w:widowControl/>
              <w:spacing w:line="240" w:lineRule="auto"/>
              <w:ind w:firstLine="0" w:firstLineChars="0"/>
              <w:rPr>
                <w:rFonts w:ascii="微软雅黑" w:hAnsi="微软雅黑" w:eastAsia="微软雅黑" w:cs="宋体"/>
                <w:kern w:val="0"/>
                <w:sz w:val="20"/>
                <w:szCs w:val="20"/>
              </w:rPr>
            </w:pPr>
          </w:p>
        </w:tc>
      </w:tr>
      <w:tr w14:paraId="2D21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22102" w:type="dxa"/>
            <w:gridSpan w:val="15"/>
            <w:tcBorders>
              <w:bottom w:val="single" w:color="auto" w:sz="4" w:space="0"/>
            </w:tcBorders>
            <w:shd w:val="clear" w:color="auto" w:fill="auto"/>
            <w:vAlign w:val="center"/>
          </w:tcPr>
          <w:p w14:paraId="4287F445">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b/>
                <w:bCs/>
                <w:kern w:val="0"/>
                <w:sz w:val="20"/>
                <w:szCs w:val="20"/>
              </w:rPr>
              <w:t>惩戒措施法律及政策依据：</w:t>
            </w:r>
          </w:p>
          <w:p w14:paraId="53498FCA">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1.《征信业管理条例》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第十三条 采集个人信息应当经信息主体本人同意，未经本人同意不得采集。但是，依照法律、行政法规规定公开的信息除外。企业的董事、监事、高级管理人员与其履行职务相关的信息，不作为个人信息。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2.《全国银行间债券</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场金融债券发行管理办法》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第十五条 金融债券的发行应由具有债券评级能力的信用评级机构进行信用评级。金融债券发行后信用评级机构应每年对该金融债券进行跟踪信用评级。如发生影响该金融债券信用评级的重大事项，信用评级机构应及时调整该金融债券的信用评级，并向投资者公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3.《贷款通则》</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第十七条 借款人申请贷款，应当具备产品有</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场、生产经营有效益、不挤占挪用信贷资金、恪守信用等基本条件，并且应当符合以下要求：</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（1）有按期还本付息的能力，原应付贷款利息和到期贷款已清偿；没有清偿的，已经做了贷款人认可的偿还计划。</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（2）除自然人和不需要经工商部门核准登记的事业法人外，应当经过工商部门办理年检手续。</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（3）已开立基本账户或一般存款账户。</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（4）除国务院规定外，有限责任公司和股份有限公司对外股本权益性投资累计额未超过其净资产总额的50%。</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（5）借款人的资产负债率符合贷款人的要求。</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（6）申请中期、长期贷款的，新建项目的企业法人所有者权益与项目所需总投资的比例不低于国家规定的投资项目的资本金比例。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第二十二条 贷款人的权利</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根据贷款条件和贷款程序自主审查和决定贷款，除国务院批准的特定贷款外，有权拒绝任何单位和个人强令其发放贷款或者提供担保。</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（1）要求借款人提供与借款有关的资料；</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（2）根据借款人的条件，决定贷与不贷、贷款金额、期限和利率等；</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（3）了解借款人的生产经营活动和财务活动；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（4）依合同约定从借款人账户上划收贷款本金和利息；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（5）借款人未能履行借款合同规定义务的，贷款人有权依合同约定要求借款人提前归还贷款或停止支付借款人尚未使用的贷款；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（6）在贷款将受或已受损失时，可依据合同规定，采取使贷款免受损失的措施。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4.《社会信用体系建设规划纲要（2014-2020年）》</w:t>
            </w:r>
          </w:p>
          <w:p w14:paraId="05BECBA7">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第二部分第（一）条 发挥政府诚信建设示范作用</w:t>
            </w:r>
          </w:p>
          <w:p w14:paraId="30F4317C">
            <w:pPr>
              <w:widowControl/>
              <w:spacing w:line="240" w:lineRule="auto"/>
              <w:ind w:firstLine="0" w:firstLineChars="0"/>
              <w:jc w:val="left"/>
              <w:rPr>
                <w:rFonts w:ascii="微软雅黑" w:hAnsi="微软雅黑" w:eastAsia="微软雅黑" w:cs="宋体"/>
                <w:kern w:val="0"/>
                <w:sz w:val="20"/>
                <w:szCs w:val="20"/>
              </w:rPr>
            </w:pPr>
            <w:r>
              <w:rPr>
                <w:rFonts w:hint="eastAsia" w:ascii="微软雅黑" w:hAnsi="微软雅黑" w:eastAsia="微软雅黑" w:cs="宋体"/>
                <w:kern w:val="0"/>
                <w:sz w:val="20"/>
                <w:szCs w:val="20"/>
              </w:rPr>
              <w:t>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场发展。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5.《关于建立和完善执行联动机制若干问题的意见》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第十四条 银行业监管部门应当监督银行业金融机构积极协助人民法院查询被执行人的开户、存款情况，依法及时办理存款的冻结、轮候冻结和扣划等事宜。对金融机构拒不履行生效法律文书、拒不协助人民法院执行的行为，依法追究有关人员的责任。制定金融机构对被执行人申请贷款进行必要限制的规定，要求金融机构发放贷款时应当查询企业和个人信用信息基础数据库，并将被执行人履行生效法律文书确定义务的情况作为审批贷款时的考量因素。对拒不履行生效法律文书义务的被执行人，涉及金融债权的，可以采取不开新户、不发放新贷款、不办理对外支付等制裁措施。</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6.《国务院关于促进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场公平竞争维护</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场正常秩序的若干意见》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第四部分第（十五）条 建立健全守信激励和失信惩戒机制。将</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场主体的信用信息作为实施行政管理的重要参考。根据</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场主体信用状况实行分类分级、动态监管，建立健全经营异常名录制度，对违背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场竞争原则和侵犯消费者、劳动者合法权益的</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建立“黑名单”制度。（工商总局牵头负责）对守信主体予以支持和激励，对失信主体在经营、投融资、取得政府供应土地、进出口、出入境、注册新公司、工程招投标、政府采购、获得荣誉、安全许可、生产许可、从业任职资格、资质审核等方面依法予以限制或禁止，对严重违法失信主体实行</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场禁入制度。（各相关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场监管部门按职责分工分别负责）</w:t>
            </w:r>
          </w:p>
        </w:tc>
      </w:tr>
      <w:tr w14:paraId="0277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02" w:type="dxa"/>
            <w:gridSpan w:val="15"/>
            <w:tcBorders>
              <w:top w:val="single" w:color="auto" w:sz="4" w:space="0"/>
              <w:left w:val="nil"/>
              <w:right w:val="nil"/>
            </w:tcBorders>
            <w:shd w:val="clear" w:color="auto" w:fill="auto"/>
            <w:vAlign w:val="center"/>
          </w:tcPr>
          <w:p w14:paraId="13BD72FC">
            <w:pPr>
              <w:bidi w:val="0"/>
              <w:jc w:val="center"/>
              <w:rPr>
                <w:rFonts w:hint="eastAsia"/>
              </w:rPr>
            </w:pPr>
            <w:bookmarkStart w:id="24" w:name="_Toc20473872"/>
          </w:p>
          <w:p w14:paraId="235EEA1D">
            <w:pPr>
              <w:bidi w:val="0"/>
              <w:jc w:val="center"/>
            </w:pPr>
            <w:r>
              <w:rPr>
                <w:rFonts w:hint="eastAsia"/>
                <w:lang w:val="en-US" w:eastAsia="zh-CN"/>
              </w:rPr>
              <w:t>26</w:t>
            </w:r>
            <w:r>
              <w:rPr>
                <w:rFonts w:hint="eastAsia"/>
              </w:rPr>
              <w:t>、</w:t>
            </w:r>
            <w:bookmarkEnd w:id="24"/>
            <w:r>
              <w:rPr>
                <w:rFonts w:hint="eastAsia"/>
                <w:lang w:eastAsia="zh-CN"/>
              </w:rPr>
              <w:t>县</w:t>
            </w:r>
            <w:r>
              <w:rPr>
                <w:rFonts w:hint="eastAsia"/>
                <w:lang w:val="en-US" w:eastAsia="zh-CN"/>
              </w:rPr>
              <w:t>市</w:t>
            </w:r>
            <w:r>
              <w:rPr>
                <w:rFonts w:hint="eastAsia"/>
                <w:lang w:eastAsia="zh-CN"/>
              </w:rPr>
              <w:t>场监管局</w:t>
            </w:r>
          </w:p>
        </w:tc>
      </w:tr>
      <w:tr w14:paraId="19708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restart"/>
            <w:shd w:val="clear" w:color="000000" w:fill="D6DCE4"/>
            <w:vAlign w:val="center"/>
          </w:tcPr>
          <w:p w14:paraId="75B1DB2F">
            <w:pPr>
              <w:widowControl/>
              <w:spacing w:line="240" w:lineRule="auto"/>
              <w:ind w:firstLine="0" w:firstLineChars="0"/>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3009" w:type="dxa"/>
            <w:gridSpan w:val="9"/>
            <w:shd w:val="clear" w:color="000000" w:fill="D6DCE4"/>
            <w:vAlign w:val="center"/>
          </w:tcPr>
          <w:p w14:paraId="32C9407F">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联合奖惩措施</w:t>
            </w:r>
          </w:p>
        </w:tc>
        <w:tc>
          <w:tcPr>
            <w:tcW w:w="8393" w:type="dxa"/>
            <w:gridSpan w:val="5"/>
            <w:shd w:val="clear" w:color="000000" w:fill="D6DCE4"/>
            <w:vAlign w:val="center"/>
          </w:tcPr>
          <w:p w14:paraId="31CE696B">
            <w:pPr>
              <w:widowControl/>
              <w:spacing w:line="240" w:lineRule="auto"/>
              <w:ind w:firstLine="0" w:firstLineChars="0"/>
              <w:jc w:val="center"/>
              <w:rPr>
                <w:rFonts w:hint="eastAsia"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lang w:eastAsia="zh-CN"/>
              </w:rPr>
              <w:t>可应用于惩戒措施的服务事项</w:t>
            </w:r>
          </w:p>
        </w:tc>
      </w:tr>
      <w:tr w14:paraId="5977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0" w:type="dxa"/>
            <w:vMerge w:val="continue"/>
            <w:shd w:val="clear" w:color="000000" w:fill="D6DCE4"/>
            <w:vAlign w:val="center"/>
          </w:tcPr>
          <w:p w14:paraId="2513F84B">
            <w:pPr>
              <w:widowControl/>
              <w:spacing w:line="240" w:lineRule="auto"/>
              <w:ind w:firstLine="0" w:firstLineChars="0"/>
              <w:jc w:val="center"/>
              <w:rPr>
                <w:rFonts w:ascii="微软雅黑" w:hAnsi="微软雅黑" w:eastAsia="微软雅黑" w:cs="宋体"/>
                <w:b/>
                <w:bCs/>
                <w:kern w:val="0"/>
                <w:sz w:val="20"/>
                <w:szCs w:val="20"/>
              </w:rPr>
            </w:pPr>
          </w:p>
        </w:tc>
        <w:tc>
          <w:tcPr>
            <w:tcW w:w="1078" w:type="dxa"/>
            <w:shd w:val="clear" w:color="000000" w:fill="D6DCE4"/>
            <w:vAlign w:val="center"/>
          </w:tcPr>
          <w:p w14:paraId="0C6A3C1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发起部门</w:t>
            </w:r>
          </w:p>
        </w:tc>
        <w:tc>
          <w:tcPr>
            <w:tcW w:w="1078" w:type="dxa"/>
            <w:shd w:val="clear" w:color="000000" w:fill="D6DCE4"/>
            <w:vAlign w:val="center"/>
          </w:tcPr>
          <w:p w14:paraId="70CE5B27">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惩戒对象</w:t>
            </w:r>
          </w:p>
        </w:tc>
        <w:tc>
          <w:tcPr>
            <w:tcW w:w="819" w:type="dxa"/>
            <w:shd w:val="clear" w:color="000000" w:fill="D6DCE4"/>
            <w:vAlign w:val="center"/>
          </w:tcPr>
          <w:p w14:paraId="7B642BFE">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相对人类别</w:t>
            </w:r>
          </w:p>
        </w:tc>
        <w:tc>
          <w:tcPr>
            <w:tcW w:w="1039" w:type="dxa"/>
            <w:shd w:val="clear" w:color="000000" w:fill="D6DCE4"/>
            <w:vAlign w:val="center"/>
          </w:tcPr>
          <w:p w14:paraId="15B8782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实施部门</w:t>
            </w:r>
          </w:p>
        </w:tc>
        <w:tc>
          <w:tcPr>
            <w:tcW w:w="2082" w:type="dxa"/>
            <w:shd w:val="clear" w:color="000000" w:fill="D6DCE4"/>
            <w:vAlign w:val="center"/>
          </w:tcPr>
          <w:p w14:paraId="342AC57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w:t>
            </w:r>
          </w:p>
        </w:tc>
        <w:tc>
          <w:tcPr>
            <w:tcW w:w="1131" w:type="dxa"/>
            <w:shd w:val="clear" w:color="000000" w:fill="D6DCE4"/>
            <w:vAlign w:val="center"/>
          </w:tcPr>
          <w:p w14:paraId="4232EB98">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措施类别</w:t>
            </w:r>
          </w:p>
        </w:tc>
        <w:tc>
          <w:tcPr>
            <w:tcW w:w="1134" w:type="dxa"/>
            <w:shd w:val="clear" w:color="000000" w:fill="D6DCE4"/>
            <w:vAlign w:val="center"/>
          </w:tcPr>
          <w:p w14:paraId="6F43EBDC">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措施性质</w:t>
            </w:r>
          </w:p>
        </w:tc>
        <w:tc>
          <w:tcPr>
            <w:tcW w:w="2934" w:type="dxa"/>
            <w:shd w:val="clear" w:color="000000" w:fill="D6DCE4"/>
            <w:vAlign w:val="center"/>
          </w:tcPr>
          <w:p w14:paraId="7E15564B">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惩戒措施法律及政策依据</w:t>
            </w:r>
          </w:p>
        </w:tc>
        <w:tc>
          <w:tcPr>
            <w:tcW w:w="1714" w:type="dxa"/>
            <w:shd w:val="clear" w:color="000000" w:fill="D6DCE4"/>
            <w:vAlign w:val="center"/>
          </w:tcPr>
          <w:p w14:paraId="70F97AED">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依据备忘录</w:t>
            </w:r>
          </w:p>
        </w:tc>
        <w:tc>
          <w:tcPr>
            <w:tcW w:w="1136" w:type="dxa"/>
            <w:shd w:val="clear" w:color="000000" w:fill="D6DCE4"/>
            <w:vAlign w:val="center"/>
          </w:tcPr>
          <w:p w14:paraId="0094F21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事项类型</w:t>
            </w:r>
          </w:p>
        </w:tc>
        <w:tc>
          <w:tcPr>
            <w:tcW w:w="2207" w:type="dxa"/>
            <w:shd w:val="clear" w:color="000000" w:fill="D6DCE4"/>
            <w:vAlign w:val="center"/>
          </w:tcPr>
          <w:p w14:paraId="2283E2CA">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w:t>
            </w:r>
          </w:p>
        </w:tc>
        <w:tc>
          <w:tcPr>
            <w:tcW w:w="1093" w:type="dxa"/>
            <w:shd w:val="clear" w:color="000000" w:fill="D6DCE4"/>
            <w:vAlign w:val="center"/>
          </w:tcPr>
          <w:p w14:paraId="42945F61">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行使层级</w:t>
            </w:r>
          </w:p>
        </w:tc>
        <w:tc>
          <w:tcPr>
            <w:tcW w:w="943" w:type="dxa"/>
            <w:shd w:val="clear" w:color="000000" w:fill="D6DCE4"/>
            <w:vAlign w:val="center"/>
          </w:tcPr>
          <w:p w14:paraId="2D5200CF">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是否进驻大厅</w:t>
            </w:r>
          </w:p>
        </w:tc>
        <w:tc>
          <w:tcPr>
            <w:tcW w:w="3014" w:type="dxa"/>
            <w:shd w:val="clear" w:color="000000" w:fill="D6DCE4"/>
            <w:vAlign w:val="center"/>
          </w:tcPr>
          <w:p w14:paraId="568C3230">
            <w:pPr>
              <w:widowControl/>
              <w:spacing w:line="240" w:lineRule="auto"/>
              <w:ind w:firstLine="0" w:firstLineChars="0"/>
              <w:jc w:val="center"/>
              <w:rPr>
                <w:rFonts w:ascii="微软雅黑" w:hAnsi="微软雅黑" w:eastAsia="微软雅黑" w:cs="宋体"/>
                <w:b/>
                <w:bCs/>
                <w:kern w:val="0"/>
                <w:sz w:val="20"/>
                <w:szCs w:val="20"/>
                <w:lang w:val="en-US" w:eastAsia="zh-CN" w:bidi="ar-SA"/>
              </w:rPr>
            </w:pPr>
            <w:r>
              <w:rPr>
                <w:rFonts w:hint="eastAsia" w:ascii="微软雅黑" w:hAnsi="微软雅黑" w:eastAsia="微软雅黑" w:cs="宋体"/>
                <w:b/>
                <w:bCs/>
                <w:kern w:val="0"/>
                <w:sz w:val="20"/>
                <w:szCs w:val="20"/>
              </w:rPr>
              <w:t>应用事项法律及政策依据</w:t>
            </w:r>
          </w:p>
        </w:tc>
      </w:tr>
      <w:tr w14:paraId="5AFE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shd w:val="clear" w:color="auto" w:fill="auto"/>
            <w:vAlign w:val="center"/>
          </w:tcPr>
          <w:p w14:paraId="1077C3D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1</w:t>
            </w:r>
          </w:p>
        </w:tc>
        <w:tc>
          <w:tcPr>
            <w:tcW w:w="1078" w:type="dxa"/>
            <w:shd w:val="clear" w:color="auto" w:fill="auto"/>
            <w:vAlign w:val="center"/>
          </w:tcPr>
          <w:p w14:paraId="12BB51E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1CB2CE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08DC8BB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85822B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60C42841">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限制失信被执行人设立融资性担保公司</w:t>
            </w:r>
          </w:p>
        </w:tc>
        <w:tc>
          <w:tcPr>
            <w:tcW w:w="1131" w:type="dxa"/>
            <w:shd w:val="clear" w:color="auto" w:fill="auto"/>
            <w:vAlign w:val="center"/>
          </w:tcPr>
          <w:p w14:paraId="3B388CD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BBAB84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restart"/>
            <w:shd w:val="clear" w:color="auto" w:fill="auto"/>
            <w:vAlign w:val="center"/>
          </w:tcPr>
          <w:p w14:paraId="057B624D">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1.《融资性担保公司管理暂行办法》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融资性担保公司应当以安全性、流动性、收益性为经营原则，建立</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场化运作的可持续审慎经营模式。</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融资性担保公司与企业、银行业金融机构等客户的业务往来，应当遵循诚实守信的原则，并遵守合同的约定。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第九条设立融资性担保公司，应当具备下列条件：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（一）有符合《中华人民共和国公司法》规定的章程。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（二）有具备持续出资能力的股东。</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（三）有符合本办法规定的注册资本。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（四）有符合任职资格的董事、监事、高级管理人员和合格的从业人员。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（五）有健全的组织机构、内部控制和风险管理制度。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（六）有符合要求的营业场所。</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（七）监管部门规定的其他审慎性条件。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董事、监事、高级管理人员和从业人员的资格管理办法由融资性担保业务监管部际联席会议另行制定。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2.《融资性担保公司董事、监事、高级管理人员任职资格管理暂行办法》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第五条 融资性担保公司董事、监事、高级管理人员应当具备以下条件：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（一）具有完全民事行为能力；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（二）遵纪守法，诚实守信，勤勉尽职，具有良好的职业操守</w:t>
            </w:r>
            <w:r>
              <w:rPr>
                <w:rFonts w:hint="eastAsia" w:ascii="微软雅黑" w:hAnsi="微软雅黑" w:eastAsia="微软雅黑" w:cs="宋体"/>
                <w:kern w:val="0"/>
                <w:sz w:val="20"/>
                <w:szCs w:val="20"/>
                <w:lang w:eastAsia="zh-CN"/>
              </w:rPr>
              <w:t>，</w:t>
            </w:r>
            <w:r>
              <w:rPr>
                <w:rFonts w:hint="eastAsia" w:ascii="微软雅黑" w:hAnsi="微软雅黑" w:eastAsia="微软雅黑" w:cs="宋体"/>
                <w:kern w:val="0"/>
                <w:sz w:val="20"/>
                <w:szCs w:val="20"/>
              </w:rPr>
              <w:t>品行和声誉；</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（三）熟悉经济、金融、担保的法律法规，具有良好的合规意识和审慎经营意识；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（四）具备与拟任职务相适应</w:t>
            </w:r>
            <w:r>
              <w:rPr>
                <w:rFonts w:hint="eastAsia" w:ascii="微软雅黑" w:hAnsi="微软雅黑" w:eastAsia="微软雅黑" w:cs="宋体"/>
                <w:kern w:val="0"/>
                <w:sz w:val="20"/>
                <w:szCs w:val="20"/>
                <w:lang w:eastAsia="zh-CN"/>
              </w:rPr>
              <w:t>的</w:t>
            </w:r>
            <w:r>
              <w:rPr>
                <w:rFonts w:hint="eastAsia" w:ascii="微软雅黑" w:hAnsi="微软雅黑" w:eastAsia="微软雅黑" w:cs="宋体"/>
                <w:kern w:val="0"/>
                <w:sz w:val="20"/>
                <w:szCs w:val="20"/>
              </w:rPr>
              <w:t>知识、经验和能力。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下列人员不得担任融资性担保公司董事、监事、高级管理人员：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（一）有故意或重大过失犯罪记录的；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 xml:space="preserve">（二）因违反职业操守或者工作严重失职给所任职的机构造成重大损失或者恶劣影响的；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（三）最近五年担任因违法经营而被撤销、接管、合并、宣告破产或者吊销营业执照的机构的董事、监事、高级管理人员，并负有个人责任的；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（四）曾在履行工作职责时有提供虚假信息等违反诚信原则行为，或指使、参与所任职机构对抗依法监管或案件查处，情节严重的；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（五）被取消董事、监事、高级管理人员任职资格或禁止从事担保或金融行业工作的年限未满的；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（六）提交虚假申请材料或明知不具备本办法规定的任职资格条件，采用欺骗、贿赂等不正当手段获得任职资格核的；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（七）个人或配偶有数额较大的到期未偿还债务的；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（八）法律、法规规定的其他情形。</w:t>
            </w:r>
          </w:p>
        </w:tc>
        <w:tc>
          <w:tcPr>
            <w:tcW w:w="1714" w:type="dxa"/>
            <w:shd w:val="clear" w:color="auto" w:fill="auto"/>
            <w:vAlign w:val="center"/>
          </w:tcPr>
          <w:p w14:paraId="6AB8EBC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36" w:type="dxa"/>
            <w:shd w:val="clear" w:color="auto" w:fill="auto"/>
            <w:vAlign w:val="center"/>
          </w:tcPr>
          <w:p w14:paraId="24C5602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7FF2B226">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外商投资企业登记</w:t>
            </w:r>
          </w:p>
        </w:tc>
        <w:tc>
          <w:tcPr>
            <w:tcW w:w="1093" w:type="dxa"/>
            <w:shd w:val="clear" w:color="auto" w:fill="auto"/>
            <w:vAlign w:val="center"/>
          </w:tcPr>
          <w:p w14:paraId="7B285BB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vMerge w:val="restart"/>
            <w:shd w:val="clear" w:color="auto" w:fill="auto"/>
            <w:vAlign w:val="center"/>
          </w:tcPr>
          <w:p w14:paraId="2DF226D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3014" w:type="dxa"/>
            <w:shd w:val="clear" w:color="auto" w:fill="auto"/>
            <w:vAlign w:val="center"/>
          </w:tcPr>
          <w:p w14:paraId="1D855B6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1.《企业法人登记管理条例》（国务院令第1号）第三条；</w:t>
            </w:r>
          </w:p>
          <w:p w14:paraId="4640FB4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2.《中华人民共和国外资企业法》第七条、第二十三条；</w:t>
            </w:r>
          </w:p>
          <w:p w14:paraId="6B9A57FD">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r>
              <w:rPr>
                <w:rFonts w:hint="eastAsia" w:ascii="微软雅黑" w:hAnsi="微软雅黑" w:eastAsia="微软雅黑" w:cs="宋体"/>
                <w:kern w:val="0"/>
                <w:sz w:val="20"/>
                <w:szCs w:val="20"/>
                <w:lang w:eastAsia="zh-CN"/>
              </w:rPr>
              <w:t>《中华人民共和国合伙企业法》</w:t>
            </w:r>
            <w:r>
              <w:rPr>
                <w:rFonts w:hint="eastAsia" w:ascii="微软雅黑" w:hAnsi="微软雅黑" w:eastAsia="微软雅黑" w:cs="宋体"/>
                <w:kern w:val="0"/>
                <w:sz w:val="20"/>
                <w:szCs w:val="20"/>
              </w:rPr>
              <w:t>第九条；</w:t>
            </w:r>
          </w:p>
          <w:p w14:paraId="3079FF5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4.</w:t>
            </w:r>
            <w:r>
              <w:rPr>
                <w:rFonts w:hint="eastAsia" w:ascii="微软雅黑" w:hAnsi="微软雅黑" w:eastAsia="微软雅黑" w:cs="宋体"/>
                <w:kern w:val="0"/>
                <w:sz w:val="20"/>
                <w:szCs w:val="20"/>
                <w:lang w:eastAsia="zh-CN"/>
              </w:rPr>
              <w:t>《中华人民共和国个人独资企业法》</w:t>
            </w:r>
            <w:r>
              <w:rPr>
                <w:rFonts w:hint="eastAsia" w:ascii="微软雅黑" w:hAnsi="微软雅黑" w:eastAsia="微软雅黑" w:cs="宋体"/>
                <w:kern w:val="0"/>
                <w:sz w:val="20"/>
                <w:szCs w:val="20"/>
              </w:rPr>
              <w:t>第九条、第十三条、第十八条、第三十二条；</w:t>
            </w:r>
          </w:p>
          <w:p w14:paraId="6AB74F75">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5.《中华人民共和国公司法》第六条；</w:t>
            </w:r>
          </w:p>
          <w:p w14:paraId="13846308">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6:法律法规名称:《合伙企业登记管理办法》（国务院236号令条款号）第二条、第三条、第四条、第十一条、第十八条、第二十一条、第二十一条；</w:t>
            </w:r>
          </w:p>
          <w:p w14:paraId="72496FEF">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7.《公司登记管理条例》第三条、第二十六条；</w:t>
            </w:r>
          </w:p>
          <w:p w14:paraId="1C00D899">
            <w:pPr>
              <w:widowControl/>
              <w:spacing w:line="240" w:lineRule="auto"/>
              <w:ind w:firstLine="0" w:firstLineChars="0"/>
              <w:rPr>
                <w:rFonts w:hint="eastAsia" w:ascii="微软雅黑" w:hAnsi="微软雅黑" w:eastAsia="微软雅黑" w:cs="宋体"/>
                <w:kern w:val="0"/>
                <w:sz w:val="20"/>
                <w:szCs w:val="20"/>
                <w:lang w:val="en-US" w:eastAsia="zh-CN" w:bidi="ar-SA"/>
              </w:rPr>
            </w:pPr>
          </w:p>
        </w:tc>
      </w:tr>
      <w:tr w14:paraId="4A8D2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0" w:hRule="atLeast"/>
          <w:jc w:val="center"/>
        </w:trPr>
        <w:tc>
          <w:tcPr>
            <w:tcW w:w="700" w:type="dxa"/>
            <w:shd w:val="clear" w:color="auto" w:fill="auto"/>
            <w:vAlign w:val="center"/>
          </w:tcPr>
          <w:p w14:paraId="40BA97C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2</w:t>
            </w:r>
          </w:p>
        </w:tc>
        <w:tc>
          <w:tcPr>
            <w:tcW w:w="1078" w:type="dxa"/>
            <w:shd w:val="clear" w:color="auto" w:fill="auto"/>
            <w:vAlign w:val="center"/>
          </w:tcPr>
          <w:p w14:paraId="75B842A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1116303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69F7FA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3EDA86F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64042817">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限制失信被执行人设立融资性担保公司</w:t>
            </w:r>
          </w:p>
        </w:tc>
        <w:tc>
          <w:tcPr>
            <w:tcW w:w="1131" w:type="dxa"/>
            <w:shd w:val="clear" w:color="auto" w:fill="auto"/>
            <w:vAlign w:val="center"/>
          </w:tcPr>
          <w:p w14:paraId="72E16AB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5898D67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340451E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611FAD3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36" w:type="dxa"/>
            <w:shd w:val="clear" w:color="auto" w:fill="auto"/>
            <w:vAlign w:val="center"/>
          </w:tcPr>
          <w:p w14:paraId="635CA82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6334564B">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外商投资企业分支机构登记</w:t>
            </w:r>
          </w:p>
        </w:tc>
        <w:tc>
          <w:tcPr>
            <w:tcW w:w="1093" w:type="dxa"/>
            <w:shd w:val="clear" w:color="auto" w:fill="auto"/>
            <w:vAlign w:val="center"/>
          </w:tcPr>
          <w:p w14:paraId="2A692273">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vMerge w:val="continue"/>
            <w:shd w:val="clear" w:color="auto" w:fill="auto"/>
            <w:vAlign w:val="center"/>
          </w:tcPr>
          <w:p w14:paraId="110B14AD">
            <w:pPr>
              <w:widowControl/>
              <w:spacing w:line="240" w:lineRule="auto"/>
              <w:ind w:firstLine="0" w:firstLineChars="0"/>
              <w:jc w:val="center"/>
              <w:rPr>
                <w:rFonts w:hint="eastAsia" w:ascii="微软雅黑" w:hAnsi="微软雅黑" w:eastAsia="微软雅黑" w:cs="宋体"/>
                <w:kern w:val="0"/>
                <w:sz w:val="20"/>
                <w:szCs w:val="20"/>
                <w:lang w:eastAsia="zh-CN"/>
              </w:rPr>
            </w:pPr>
          </w:p>
        </w:tc>
        <w:tc>
          <w:tcPr>
            <w:tcW w:w="3014" w:type="dxa"/>
            <w:shd w:val="clear" w:color="auto" w:fill="auto"/>
            <w:vAlign w:val="center"/>
          </w:tcPr>
          <w:p w14:paraId="4E092142">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2102215E">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18B5025C">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0900B3D3">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10765726">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47F97796">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273AE01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118F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0" w:type="dxa"/>
            <w:shd w:val="clear" w:color="auto" w:fill="auto"/>
            <w:vAlign w:val="center"/>
          </w:tcPr>
          <w:p w14:paraId="56E0610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3</w:t>
            </w:r>
          </w:p>
        </w:tc>
        <w:tc>
          <w:tcPr>
            <w:tcW w:w="1078" w:type="dxa"/>
            <w:shd w:val="clear" w:color="auto" w:fill="auto"/>
            <w:vAlign w:val="center"/>
          </w:tcPr>
          <w:p w14:paraId="7E3E011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77CF9A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401B3D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4A6AE1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5A4B405E">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限制失信被执行人设立融资性担保公司</w:t>
            </w:r>
          </w:p>
        </w:tc>
        <w:tc>
          <w:tcPr>
            <w:tcW w:w="1131" w:type="dxa"/>
            <w:shd w:val="clear" w:color="auto" w:fill="auto"/>
            <w:vAlign w:val="center"/>
          </w:tcPr>
          <w:p w14:paraId="02D63D2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46099BA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23A5EAB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22E9AB58">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141号）</w:t>
            </w:r>
          </w:p>
        </w:tc>
        <w:tc>
          <w:tcPr>
            <w:tcW w:w="1136" w:type="dxa"/>
            <w:shd w:val="clear" w:color="auto" w:fill="auto"/>
            <w:vAlign w:val="center"/>
          </w:tcPr>
          <w:p w14:paraId="3C27277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47CCA688">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外商投资合伙企业及分支机构登记</w:t>
            </w:r>
          </w:p>
        </w:tc>
        <w:tc>
          <w:tcPr>
            <w:tcW w:w="1093" w:type="dxa"/>
            <w:shd w:val="clear" w:color="auto" w:fill="auto"/>
            <w:vAlign w:val="center"/>
          </w:tcPr>
          <w:p w14:paraId="6F617419">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vMerge w:val="continue"/>
            <w:shd w:val="clear" w:color="auto" w:fill="auto"/>
            <w:vAlign w:val="center"/>
          </w:tcPr>
          <w:p w14:paraId="458F17A5">
            <w:pPr>
              <w:widowControl/>
              <w:spacing w:line="240" w:lineRule="auto"/>
              <w:ind w:firstLine="0" w:firstLineChars="0"/>
              <w:jc w:val="center"/>
              <w:rPr>
                <w:rFonts w:hint="eastAsia" w:ascii="微软雅黑" w:hAnsi="微软雅黑" w:eastAsia="微软雅黑" w:cs="宋体"/>
                <w:kern w:val="0"/>
                <w:sz w:val="20"/>
                <w:szCs w:val="20"/>
                <w:lang w:eastAsia="zh-CN"/>
              </w:rPr>
            </w:pPr>
          </w:p>
        </w:tc>
        <w:tc>
          <w:tcPr>
            <w:tcW w:w="3014" w:type="dxa"/>
            <w:shd w:val="clear" w:color="auto" w:fill="auto"/>
            <w:vAlign w:val="center"/>
          </w:tcPr>
          <w:p w14:paraId="3EC3FEB7">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307CB934">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2B4B90F3">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4AD64373">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0A9DC5C2">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70550EE9">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57D719A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6895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5" w:hRule="atLeast"/>
          <w:jc w:val="center"/>
        </w:trPr>
        <w:tc>
          <w:tcPr>
            <w:tcW w:w="700" w:type="dxa"/>
            <w:shd w:val="clear" w:color="auto" w:fill="auto"/>
            <w:vAlign w:val="center"/>
          </w:tcPr>
          <w:p w14:paraId="09603F6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4</w:t>
            </w:r>
          </w:p>
        </w:tc>
        <w:tc>
          <w:tcPr>
            <w:tcW w:w="1078" w:type="dxa"/>
            <w:shd w:val="clear" w:color="auto" w:fill="auto"/>
            <w:vAlign w:val="center"/>
          </w:tcPr>
          <w:p w14:paraId="1BC421D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3D1D5B8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06935C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26314D5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0D050BB0">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p>
        </w:tc>
        <w:tc>
          <w:tcPr>
            <w:tcW w:w="1131" w:type="dxa"/>
            <w:shd w:val="clear" w:color="auto" w:fill="auto"/>
            <w:vAlign w:val="center"/>
          </w:tcPr>
          <w:p w14:paraId="2354C58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BDADA0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restart"/>
            <w:shd w:val="clear" w:color="auto" w:fill="auto"/>
            <w:vAlign w:val="center"/>
          </w:tcPr>
          <w:p w14:paraId="332C4A4E">
            <w:pPr>
              <w:widowControl/>
              <w:spacing w:line="240" w:lineRule="auto"/>
              <w:ind w:firstLine="0" w:firstLineChars="0"/>
              <w:jc w:val="center"/>
              <w:rPr>
                <w:rFonts w:hint="eastAsia" w:ascii="微软雅黑" w:hAnsi="微软雅黑" w:eastAsia="微软雅黑" w:cs="宋体"/>
                <w:kern w:val="0"/>
                <w:sz w:val="20"/>
                <w:szCs w:val="20"/>
                <w:lang w:eastAsia="zh-CN"/>
              </w:rPr>
            </w:pPr>
            <w:r>
              <w:rPr>
                <w:rFonts w:hint="eastAsia" w:ascii="微软雅黑" w:hAnsi="微软雅黑" w:eastAsia="微软雅黑" w:cs="宋体"/>
                <w:kern w:val="0"/>
                <w:sz w:val="20"/>
                <w:szCs w:val="20"/>
                <w:lang w:eastAsia="zh-CN"/>
              </w:rPr>
              <w:t>详见下方</w:t>
            </w:r>
          </w:p>
          <w:p w14:paraId="47635BB0">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4A4F9BE4">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503C91F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2C7AE767">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外商投资企业登记</w:t>
            </w:r>
          </w:p>
        </w:tc>
        <w:tc>
          <w:tcPr>
            <w:tcW w:w="1093" w:type="dxa"/>
            <w:shd w:val="clear" w:color="auto" w:fill="auto"/>
            <w:vAlign w:val="center"/>
          </w:tcPr>
          <w:p w14:paraId="5B4344C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vMerge w:val="restart"/>
            <w:shd w:val="clear" w:color="auto" w:fill="auto"/>
            <w:vAlign w:val="center"/>
          </w:tcPr>
          <w:p w14:paraId="6D28C02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是是</w:t>
            </w:r>
          </w:p>
        </w:tc>
        <w:tc>
          <w:tcPr>
            <w:tcW w:w="3014" w:type="dxa"/>
            <w:shd w:val="clear" w:color="auto" w:fill="auto"/>
            <w:vAlign w:val="center"/>
          </w:tcPr>
          <w:p w14:paraId="34549626">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58BC840B">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6095AC71">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21DC7970">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66E32022">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54CDA833">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576F5CE0">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4466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5" w:hRule="atLeast"/>
          <w:jc w:val="center"/>
        </w:trPr>
        <w:tc>
          <w:tcPr>
            <w:tcW w:w="700" w:type="dxa"/>
            <w:shd w:val="clear" w:color="auto" w:fill="auto"/>
            <w:vAlign w:val="center"/>
          </w:tcPr>
          <w:p w14:paraId="461ADAB0">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5</w:t>
            </w:r>
          </w:p>
        </w:tc>
        <w:tc>
          <w:tcPr>
            <w:tcW w:w="1078" w:type="dxa"/>
            <w:shd w:val="clear" w:color="auto" w:fill="auto"/>
            <w:vAlign w:val="center"/>
          </w:tcPr>
          <w:p w14:paraId="4967E6B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69048B7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41ED78A0">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4DE493C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30C18644">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p>
        </w:tc>
        <w:tc>
          <w:tcPr>
            <w:tcW w:w="1131" w:type="dxa"/>
            <w:shd w:val="clear" w:color="auto" w:fill="auto"/>
            <w:vAlign w:val="center"/>
          </w:tcPr>
          <w:p w14:paraId="35DD28B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DA9CBC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11955330">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10C76A8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3C15F5E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27D9920E">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外商投资企业分支机构登记</w:t>
            </w:r>
          </w:p>
        </w:tc>
        <w:tc>
          <w:tcPr>
            <w:tcW w:w="1093" w:type="dxa"/>
            <w:shd w:val="clear" w:color="auto" w:fill="auto"/>
            <w:vAlign w:val="center"/>
          </w:tcPr>
          <w:p w14:paraId="115C380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vMerge w:val="continue"/>
            <w:shd w:val="clear" w:color="auto" w:fill="auto"/>
            <w:vAlign w:val="center"/>
          </w:tcPr>
          <w:p w14:paraId="7A3370F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3014" w:type="dxa"/>
            <w:shd w:val="clear" w:color="auto" w:fill="auto"/>
            <w:vAlign w:val="center"/>
          </w:tcPr>
          <w:p w14:paraId="3C50C130">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03EB3705">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007CD63F">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73C23B8E">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19C54B1F">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3C74F4FA">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3393D196">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5741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1" w:hRule="atLeast"/>
          <w:jc w:val="center"/>
        </w:trPr>
        <w:tc>
          <w:tcPr>
            <w:tcW w:w="700" w:type="dxa"/>
            <w:shd w:val="clear" w:color="auto" w:fill="auto"/>
            <w:vAlign w:val="center"/>
          </w:tcPr>
          <w:p w14:paraId="478BA01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6</w:t>
            </w:r>
          </w:p>
        </w:tc>
        <w:tc>
          <w:tcPr>
            <w:tcW w:w="1078" w:type="dxa"/>
            <w:shd w:val="clear" w:color="auto" w:fill="auto"/>
            <w:vAlign w:val="center"/>
          </w:tcPr>
          <w:p w14:paraId="52C05F9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D21DFC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E9ECC6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4866CCE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70633E5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限制失信被执行人担任银行业金融机构、证券公司、基金管理公司、期货公司、保险公司、融资性担保公司的董事、监事、高级管理人员</w:t>
            </w:r>
          </w:p>
        </w:tc>
        <w:tc>
          <w:tcPr>
            <w:tcW w:w="1131" w:type="dxa"/>
            <w:shd w:val="clear" w:color="auto" w:fill="auto"/>
            <w:vAlign w:val="center"/>
          </w:tcPr>
          <w:p w14:paraId="517F922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3776823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shd w:val="clear" w:color="auto" w:fill="auto"/>
            <w:vAlign w:val="center"/>
          </w:tcPr>
          <w:p w14:paraId="24DDD33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16397D40">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01521CB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1E3F9E79">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外商投资合伙企业及分支机构登记</w:t>
            </w:r>
          </w:p>
        </w:tc>
        <w:tc>
          <w:tcPr>
            <w:tcW w:w="1093" w:type="dxa"/>
            <w:shd w:val="clear" w:color="auto" w:fill="auto"/>
            <w:vAlign w:val="center"/>
          </w:tcPr>
          <w:p w14:paraId="5DEDE2D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vMerge w:val="continue"/>
            <w:shd w:val="clear" w:color="auto" w:fill="auto"/>
            <w:vAlign w:val="center"/>
          </w:tcPr>
          <w:p w14:paraId="42ADEB7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shd w:val="clear" w:color="auto" w:fill="auto"/>
            <w:vAlign w:val="center"/>
          </w:tcPr>
          <w:p w14:paraId="5986AB72">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3DA722B4">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3AC172C8">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33C1E26D">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6D9414C9">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778F7FD2">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37D65278">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363E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5" w:hRule="atLeast"/>
          <w:jc w:val="center"/>
        </w:trPr>
        <w:tc>
          <w:tcPr>
            <w:tcW w:w="22102" w:type="dxa"/>
            <w:gridSpan w:val="15"/>
            <w:shd w:val="clear" w:color="auto" w:fill="auto"/>
            <w:vAlign w:val="center"/>
          </w:tcPr>
          <w:p w14:paraId="1939F380">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1.《融资性担保公司管理暂行办法》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融资性担保公司应当以安全性、流动性、收益性为经营原则，建立</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场化运作的可持续审慎经营模式。</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融资性担保公司与企业、银行业金融机构等客户的业务往来，应当遵循诚实守信的原则，并遵守合同的约定。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第九条设立融资性担保公司，应当具备下列条件：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（一）有符合《中华人民共和国公司法》规定的章程。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（二）有具备持续出资能力的股东。</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（三）有符合本办法规定的注册资本。</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（四）有符合任职资格的董事、监事、高级管理人员和合格的从业人员。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（五）有健全的组织机构、内部控制和风险管理制度。</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（六）有符合要求的营业场所。</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（七）监管部门规定的其他审慎性条件。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董事、监事、高级管理人员和从业人员的资格管理办法由融资性担保业务监管部际联席会议另行制定。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2.《融资性担保公司董事、监事、高级管理人员任职资格管理暂行办法》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第五条 融资性担保公司董事、监事、高级管理人员应当具备以下条件：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（一）具有完全民事行为能力；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（二）遵纪守法，诚实守信，勤勉尽职，具有良好的职业操守、品行和声誉；</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（三）熟悉经济、金融、担保的法律法规，具有良好的合规意识和审慎经营意识；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（四）具备与拟任职务相适应的知识、经验和能力。</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第六条 下列人员不得担任融资性担保公司董事、监事、高级管理人员：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（一）有故意或重大过失犯罪记录的；（二）因违反职业操守或者工作严重失职给所任职的机构造成重大损失或者恶劣影响的；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（三）最近五年担任因违法经营而被撤销、接管、合并、宣告破产或者吊销营业执照的机构的董事、监事、高级管理人员，并负有个人责任的；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（四）曾在履行工作职责时有提供虚假信息等违反诚信原则行为，或指使、参与所任职机构对抗依法监管或案件查处，情节严重的；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（五）被取消董事、监事、高级管理人员任职资格或禁止从事担保或金融行业工作的年限未满的；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（六）提交虚假申请材料或明知不具备本办法规定的任职资格条件，采用欺骗、贿赂等不正当手段获得任职资格核准的；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（七）个人或配偶有数额较大的到期未偿还债务的；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（八）法律、法规规定的其他情形。</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3.《银行业金融机构董事（理事）和高级管理人员任职资格管理办法》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办法所称银行业金融机构（以下简称金融机构），是指在中华人民共和国境内设立的商业银行、农村合作银行、村镇银行、农村信用合作社、农村信用合作联社、外国银行分行等吸收公众存款的金融机构以及政策性银行。</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在中华人民共和国境内设立的金融资产管理公司、信托公司、企业集团财务公司、金融租赁公司、汽车金融公司、货币经纪公司、消费金融公司、贷款公司、农村信用合作社联合社、省（自治区）农村信用社联合社、农村资金互助社、外资金融机构驻华代表机构以及经监管机构批准设立的其他金融机构的董事（理事）和高级管理人员的任职资格管理，适用本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本办法所称高级管理人员，是指金融机构总部及分支机构管理层中对该机构经营管理、风险控制有决策权或重要影响力的各类人员。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第九条 金融机构拟任、现任董事（理事）和高级管理人员出现下列情形之一的，视为不符合本办法第八条第（二）项、第（三）项、第（五）项规定之条件：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（一）有故意或重大过失犯罪记录的；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（二）有违反社会公德的不良行为，造成恶劣影响的；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（三）对曾任职机构违法违规经营活动或重大损失负有个人责任或直接领导责任，情节严重的；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（四）担任或曾任被接管、撤销、宣告破产或吊销营业执照机构的董事（理事）或高级管理人员的，但能够证明本人对曾任职机构被接管、撤销、宣告破产或吊销营业执照不负有个人责任的除外；</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（五）因违反职业道德、操守或者工作严重失职，造成重大损失或者恶劣影响的；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（六）指使、参与所任职机构不配合依法监管或案件查处的；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（七）被取消终身的董事（理事）和高级管理人员任职资格，或受到监管机构或其他金融管理部门处罚累计达到两次以上的；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（八）有本办法规定的不具备任职资格条件的情形，采用不正当手段获得任职资格核准的。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4.《金融机构高级管理人员任职资格管理办法》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第二条 本办法所称金融机构是指经中国人民银行批准，在中华人民共和国境内依法设立的银行、金融资产管理公司、信托投资公司、企业集团财务公司、金融租赁公司、城</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信用合作社及其联合社、农村信用合作社及其联合社、其他金融机构。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上述金融机构经中国人民银行批准在境外设立的分支机构、子公司和控股机构，境内其他中资机构经中国人民银行批准在境外设立的银行类机构，适用本办法。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上述金融机构不包括在华设立的外资金融机构。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第三条 本办法所称金融机构高级管理人员，是指金融机构法定代表人和对经营管理具有决策权或对风险控制起重要作用的人员。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担任金融机构高级管理职务的人员，应接受和通过中国人民银行任职资格审核。</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中国人民银行对金融机构高级管理人员任职资格的审核，分核准制和备案制两种。适用核准制的高级管理人员任职，在任命前应获得中国人民银行任职资格核准文件；适用备案制的高级管理人员任职，在任命前应报中国人民银行备案。</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第十三条 有下列情形之一的，不得担任金融机构高级管理人员：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（一）因犯有贪污、贿赂、侵占财产、挪用财产罪或者破坏社会经济秩序罪，被判处刑罚，或者因犯罪被剥夺政治权利的；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（二）曾经担任因违法经营被吊销营业执照或因经营不善破产清算的企业法定代表人，并对此负有个人责任或直接领导责任的；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（三）对因工作失误或经济案件给所任职金融机构或其他企业造成重大损失负有个人责任或直接领导责任的；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（四）个人负有数额较大的债务且到期未清偿的；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（五）提供虚假材料等弄虚作假行为的；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（六）有赌博、吸毒、嫖娼等违反社会公德不良行为，造成不良影响的；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（七）已累计两次被中国人民银行或其他监管当局取消金融机构高级管理人员任职资格的；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（八）其他法律、法规规定不能担任金融机构高级管理人员的。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5.《保险公司董事、监事和高级管理人员任职资格管理规定》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保险机构董事、监事和高级管理人员应当具有诚实信用的品行、良好的合规经营意识和履行职务必需的经营管理能力。</w:t>
            </w:r>
          </w:p>
        </w:tc>
      </w:tr>
      <w:tr w14:paraId="60C4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9" w:hRule="atLeast"/>
          <w:jc w:val="center"/>
        </w:trPr>
        <w:tc>
          <w:tcPr>
            <w:tcW w:w="700" w:type="dxa"/>
            <w:shd w:val="clear" w:color="auto" w:fill="auto"/>
            <w:vAlign w:val="center"/>
          </w:tcPr>
          <w:p w14:paraId="6844B8B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7</w:t>
            </w:r>
          </w:p>
        </w:tc>
        <w:tc>
          <w:tcPr>
            <w:tcW w:w="1078" w:type="dxa"/>
            <w:shd w:val="clear" w:color="auto" w:fill="auto"/>
            <w:vAlign w:val="center"/>
          </w:tcPr>
          <w:p w14:paraId="3D5FB8A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4C9309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C3D12D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F1DA21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1222D18F">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将失信被执行人信息通过国家企业信用信息公示系统（</w:t>
            </w:r>
            <w:r>
              <w:rPr>
                <w:rFonts w:hint="eastAsia" w:ascii="微软雅黑" w:hAnsi="微软雅黑" w:eastAsia="微软雅黑" w:cs="宋体"/>
                <w:kern w:val="0"/>
                <w:sz w:val="20"/>
                <w:szCs w:val="20"/>
                <w:lang w:eastAsia="zh-CN"/>
              </w:rPr>
              <w:t>河北</w:t>
            </w:r>
            <w:r>
              <w:rPr>
                <w:rFonts w:hint="eastAsia" w:ascii="微软雅黑" w:hAnsi="微软雅黑" w:eastAsia="微软雅黑" w:cs="宋体"/>
                <w:kern w:val="0"/>
                <w:sz w:val="20"/>
                <w:szCs w:val="20"/>
              </w:rPr>
              <w:t>）向社会公布</w:t>
            </w:r>
          </w:p>
        </w:tc>
        <w:tc>
          <w:tcPr>
            <w:tcW w:w="1131" w:type="dxa"/>
            <w:shd w:val="clear" w:color="auto" w:fill="auto"/>
            <w:vAlign w:val="center"/>
          </w:tcPr>
          <w:p w14:paraId="34EDD81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场性</w:t>
            </w:r>
          </w:p>
        </w:tc>
        <w:tc>
          <w:tcPr>
            <w:tcW w:w="1134" w:type="dxa"/>
            <w:shd w:val="clear" w:color="auto" w:fill="auto"/>
            <w:vAlign w:val="center"/>
          </w:tcPr>
          <w:p w14:paraId="5772AA5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shd w:val="clear" w:color="auto" w:fill="auto"/>
            <w:vAlign w:val="center"/>
          </w:tcPr>
          <w:p w14:paraId="30F8D51C">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1.《国务院办公厅关于运用大数据加强对</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场主体服务和监管的若干意见》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第十九条 大力推进</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场主体信息公示</w:t>
            </w:r>
          </w:p>
          <w:p w14:paraId="4EBD5AB4">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严格执行《企业信息公示暂行条例》，加快实施经营异常名录制度和严重违法失信企业名单制度。建设国家企业信用信息公示系统，依法对企业注册登记、行政许可、行政处罚等基本信用信息以及企业年度报告、经营异常名录和严重违法失信企业名单进行公示，提高</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透明度，并与国家统一的信用信息共享交换平台实现有机对接和信息共享。支持探索开展社会化的信用信息公示服务。建设“信用中国”网站，归集整合各地区、各部门掌握的应向社会公开的信用信息，实现信用信息一站式查询，方便社会了解</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场主体信用状况。各级政府及其部门网站要与“信用中国”网站连接，并将本单位政务公开信息和相关</w:t>
            </w: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rPr>
              <w:t>场主体违法违规信息在“信用中国”网站公开。</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2.《企业信息公示暂行条例》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第七条 工商行政管理部门以外的其他政府部门（以下简称其他政府部门）应当公示其在履行职责过程中产生的下列企业信息：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（1）行政许可准予、变更、延续信息；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（2）行政处罚信息；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（3）其他依法应当公示的信息。</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其他政府部门可以通过企业信用信息公示系统，也可以通过其他系统公示前款规定的企业信息。工商行政管理部门和其他政府部门应当按照国家社会信用信息平台建设的总体要求，实现企业信息的互联共享。</w:t>
            </w:r>
          </w:p>
          <w:p w14:paraId="44756FDA">
            <w:pPr>
              <w:widowControl/>
              <w:spacing w:line="240" w:lineRule="auto"/>
              <w:ind w:firstLine="0" w:firstLineChars="0"/>
              <w:rPr>
                <w:rFonts w:hint="eastAsia" w:ascii="微软雅黑" w:hAnsi="微软雅黑" w:eastAsia="微软雅黑" w:cs="宋体"/>
                <w:kern w:val="0"/>
                <w:sz w:val="20"/>
                <w:szCs w:val="20"/>
              </w:rPr>
            </w:pPr>
          </w:p>
          <w:p w14:paraId="03686882">
            <w:pPr>
              <w:widowControl/>
              <w:spacing w:line="240" w:lineRule="auto"/>
              <w:ind w:firstLine="0" w:firstLineChars="0"/>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3A7051F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　</w:t>
            </w:r>
          </w:p>
        </w:tc>
        <w:tc>
          <w:tcPr>
            <w:tcW w:w="1136" w:type="dxa"/>
            <w:shd w:val="clear" w:color="auto" w:fill="auto"/>
            <w:vAlign w:val="center"/>
          </w:tcPr>
          <w:p w14:paraId="19BD3D9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2207" w:type="dxa"/>
            <w:shd w:val="clear" w:color="auto" w:fill="auto"/>
            <w:vAlign w:val="center"/>
          </w:tcPr>
          <w:p w14:paraId="1C0773F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1093" w:type="dxa"/>
            <w:shd w:val="clear" w:color="auto" w:fill="auto"/>
            <w:vAlign w:val="center"/>
          </w:tcPr>
          <w:p w14:paraId="31FC6CC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943" w:type="dxa"/>
            <w:shd w:val="clear" w:color="auto" w:fill="auto"/>
            <w:vAlign w:val="center"/>
          </w:tcPr>
          <w:p w14:paraId="51A418E6">
            <w:pPr>
              <w:widowControl/>
              <w:spacing w:line="240" w:lineRule="auto"/>
              <w:ind w:firstLine="0" w:firstLineChars="0"/>
              <w:rPr>
                <w:rFonts w:hint="eastAsia" w:ascii="微软雅黑" w:hAnsi="微软雅黑" w:eastAsia="微软雅黑" w:cs="宋体"/>
                <w:kern w:val="0"/>
                <w:sz w:val="20"/>
                <w:szCs w:val="20"/>
                <w:lang w:val="en-US" w:eastAsia="zh-CN"/>
              </w:rPr>
            </w:pPr>
          </w:p>
        </w:tc>
        <w:tc>
          <w:tcPr>
            <w:tcW w:w="3014" w:type="dxa"/>
            <w:shd w:val="clear" w:color="auto" w:fill="auto"/>
            <w:vAlign w:val="center"/>
          </w:tcPr>
          <w:p w14:paraId="0054AB16">
            <w:pPr>
              <w:widowControl/>
              <w:spacing w:line="240" w:lineRule="auto"/>
              <w:ind w:firstLine="0" w:firstLineChars="0"/>
              <w:rPr>
                <w:rFonts w:hint="eastAsia" w:ascii="微软雅黑" w:hAnsi="微软雅黑" w:eastAsia="微软雅黑" w:cs="宋体"/>
                <w:kern w:val="0"/>
                <w:sz w:val="20"/>
                <w:szCs w:val="20"/>
                <w:lang w:val="en-US" w:eastAsia="zh-CN" w:bidi="ar-SA"/>
              </w:rPr>
            </w:pPr>
          </w:p>
        </w:tc>
      </w:tr>
      <w:tr w14:paraId="3C2D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0" w:hRule="atLeast"/>
          <w:jc w:val="center"/>
        </w:trPr>
        <w:tc>
          <w:tcPr>
            <w:tcW w:w="700" w:type="dxa"/>
            <w:shd w:val="clear" w:color="auto" w:fill="auto"/>
            <w:vAlign w:val="center"/>
          </w:tcPr>
          <w:p w14:paraId="5A42340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8</w:t>
            </w:r>
          </w:p>
        </w:tc>
        <w:tc>
          <w:tcPr>
            <w:tcW w:w="1078" w:type="dxa"/>
            <w:shd w:val="clear" w:color="auto" w:fill="auto"/>
            <w:vAlign w:val="center"/>
          </w:tcPr>
          <w:p w14:paraId="09C0979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2AA99DC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7B1E091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4F44BFC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15823010">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p>
        </w:tc>
        <w:tc>
          <w:tcPr>
            <w:tcW w:w="1131" w:type="dxa"/>
            <w:shd w:val="clear" w:color="auto" w:fill="auto"/>
            <w:vAlign w:val="center"/>
          </w:tcPr>
          <w:p w14:paraId="5DC0B88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78CD1D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restart"/>
            <w:shd w:val="clear" w:color="auto" w:fill="auto"/>
            <w:vAlign w:val="center"/>
          </w:tcPr>
          <w:p w14:paraId="055E66F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详见下方</w:t>
            </w:r>
          </w:p>
        </w:tc>
        <w:tc>
          <w:tcPr>
            <w:tcW w:w="1714" w:type="dxa"/>
            <w:shd w:val="clear" w:color="auto" w:fill="auto"/>
            <w:vAlign w:val="center"/>
          </w:tcPr>
          <w:p w14:paraId="2492E4B5">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6BA4C54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5838C254">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外商投资企业登记</w:t>
            </w:r>
          </w:p>
        </w:tc>
        <w:tc>
          <w:tcPr>
            <w:tcW w:w="1093" w:type="dxa"/>
            <w:shd w:val="clear" w:color="auto" w:fill="auto"/>
            <w:vAlign w:val="center"/>
          </w:tcPr>
          <w:p w14:paraId="1660678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shd w:val="clear" w:color="auto" w:fill="auto"/>
            <w:vAlign w:val="center"/>
          </w:tcPr>
          <w:p w14:paraId="07A2CBF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shd w:val="clear" w:color="auto" w:fill="auto"/>
            <w:vAlign w:val="center"/>
          </w:tcPr>
          <w:p w14:paraId="1F5365C6">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2F9A871D">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33791CE5">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2F39B125">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15A86789">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790D45C4">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0C6D953F">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4E2C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700" w:type="dxa"/>
            <w:shd w:val="clear" w:color="auto" w:fill="auto"/>
            <w:vAlign w:val="center"/>
          </w:tcPr>
          <w:p w14:paraId="1E8FF4D0">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9</w:t>
            </w:r>
          </w:p>
        </w:tc>
        <w:tc>
          <w:tcPr>
            <w:tcW w:w="1078" w:type="dxa"/>
            <w:shd w:val="clear" w:color="auto" w:fill="auto"/>
            <w:vAlign w:val="center"/>
          </w:tcPr>
          <w:p w14:paraId="79891C5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D65762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3372C1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3689857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4602727E">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p>
        </w:tc>
        <w:tc>
          <w:tcPr>
            <w:tcW w:w="1131" w:type="dxa"/>
            <w:shd w:val="clear" w:color="auto" w:fill="auto"/>
            <w:vAlign w:val="center"/>
          </w:tcPr>
          <w:p w14:paraId="268777E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7F6350F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452A633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2CDD9777">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1803D9A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0C28ED23">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外商投资企业分支机构登记</w:t>
            </w:r>
          </w:p>
        </w:tc>
        <w:tc>
          <w:tcPr>
            <w:tcW w:w="1093" w:type="dxa"/>
            <w:shd w:val="clear" w:color="auto" w:fill="auto"/>
            <w:vAlign w:val="center"/>
          </w:tcPr>
          <w:p w14:paraId="0351D93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shd w:val="clear" w:color="auto" w:fill="auto"/>
            <w:vAlign w:val="center"/>
          </w:tcPr>
          <w:p w14:paraId="20B0544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shd w:val="clear" w:color="auto" w:fill="auto"/>
            <w:vAlign w:val="center"/>
          </w:tcPr>
          <w:p w14:paraId="2618F1EA">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52EA85AC">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233EA59A">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61469BBC">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24C6DE9F">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49D17526">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0A4890E1">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3CCDF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5" w:hRule="atLeast"/>
          <w:jc w:val="center"/>
        </w:trPr>
        <w:tc>
          <w:tcPr>
            <w:tcW w:w="700" w:type="dxa"/>
            <w:shd w:val="clear" w:color="auto" w:fill="auto"/>
            <w:vAlign w:val="center"/>
          </w:tcPr>
          <w:p w14:paraId="0CAC085C">
            <w:pPr>
              <w:widowControl/>
              <w:spacing w:line="240" w:lineRule="auto"/>
              <w:ind w:firstLine="0" w:firstLineChars="0"/>
              <w:jc w:val="center"/>
              <w:rPr>
                <w:rFonts w:hint="default"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10</w:t>
            </w:r>
          </w:p>
        </w:tc>
        <w:tc>
          <w:tcPr>
            <w:tcW w:w="1078" w:type="dxa"/>
            <w:shd w:val="clear" w:color="auto" w:fill="auto"/>
            <w:vAlign w:val="center"/>
          </w:tcPr>
          <w:p w14:paraId="7A82CDA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34DA03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35B7DE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20F703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64807DED">
            <w:pPr>
              <w:widowControl/>
              <w:spacing w:line="240" w:lineRule="auto"/>
              <w:ind w:firstLine="0" w:firstLineChars="0"/>
              <w:jc w:val="left"/>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对失信被执行人从事药品、食品安全行业依法从严审批；限制失信被执行人担任上述行业单位主要负责人及董事、监事、高级管理人员，已担任相关职务的，按规定程序要求予以变更</w:t>
            </w:r>
          </w:p>
        </w:tc>
        <w:tc>
          <w:tcPr>
            <w:tcW w:w="1131" w:type="dxa"/>
            <w:shd w:val="clear" w:color="auto" w:fill="auto"/>
            <w:vAlign w:val="center"/>
          </w:tcPr>
          <w:p w14:paraId="65A9EF1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B248F52">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07E7842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5BE6B2F2">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53DBCEB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1868DDF4">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外商投资合伙企业及分支机构登记</w:t>
            </w:r>
          </w:p>
        </w:tc>
        <w:tc>
          <w:tcPr>
            <w:tcW w:w="1093" w:type="dxa"/>
            <w:shd w:val="clear" w:color="auto" w:fill="auto"/>
            <w:vAlign w:val="center"/>
          </w:tcPr>
          <w:p w14:paraId="07A90E7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shd w:val="clear" w:color="auto" w:fill="auto"/>
            <w:vAlign w:val="center"/>
          </w:tcPr>
          <w:p w14:paraId="395B0C0E">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shd w:val="clear" w:color="auto" w:fill="auto"/>
            <w:vAlign w:val="center"/>
          </w:tcPr>
          <w:p w14:paraId="061A6F64">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59EDCA19">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7AB99955">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5F1FE3DA">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2F9A0EED">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4C13497B">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1C83DC31">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1211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0" w:hRule="atLeast"/>
          <w:jc w:val="center"/>
        </w:trPr>
        <w:tc>
          <w:tcPr>
            <w:tcW w:w="22102" w:type="dxa"/>
            <w:gridSpan w:val="15"/>
            <w:shd w:val="clear" w:color="auto" w:fill="auto"/>
            <w:vAlign w:val="center"/>
          </w:tcPr>
          <w:p w14:paraId="45644D71">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1.《药品生产质量管理规范》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企业应当严格执行本规范，坚持诚实守信，禁止任何虚假、欺骗行为。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2.《中华人民共和国药品管理法》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第七十五条 从事生产、销售假药及生产、销售劣药情节严重的企业或者其他单位，其直接负责的主管人员和其他直接责任人员十年内不得从事药品生产、经营活动。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对生产者专门用于生产假药、劣药的原辅材料、包装材料、生产设备，予以没收。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第八十二条 违反本法规定，提供虚假的证明、文件资料、样品或者采取其他欺骗手段取得《药品生产许可证》、《药品经营许可证》、《医疗机构制剂许可证》或者药品批准证明文件的，吊销《药品生产许可证》、《药品经营许可证》、《医疗机构制剂许可证》或者撤销药品批准证明文件，五年内不受理其申请，并处一万元以上三万元以下的罚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3.《中华人民共和国食品安全法》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第一百一十三条 县级以上人民政府食品药品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第一百三十五条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因食品安全犯罪被判处有期徒刑以上刑罚的，终身不得从事食品生产经营管理工作，也不得担任食品生产经营企业食品安全管理人员。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食品生产经营者聘用人员违反前两款规定的，由县级以上人民政府食品药品监督管理部门吊销许可证。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第一百三十八条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违反本法规定，受到开除处分的食品检验机构人员，自处分决定作出之日起十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食品检验机构出具虚假检验报告，使消费者的合法权益受到损害的，应当与食品生产经营者承担连带责任。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4.《医疗器械监督管理条例》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第六十三、六十四、六十五、六十九、七十、七十一条。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tc>
      </w:tr>
      <w:tr w14:paraId="3534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5" w:hRule="atLeast"/>
          <w:jc w:val="center"/>
        </w:trPr>
        <w:tc>
          <w:tcPr>
            <w:tcW w:w="700" w:type="dxa"/>
            <w:shd w:val="clear" w:color="auto" w:fill="auto"/>
            <w:vAlign w:val="center"/>
          </w:tcPr>
          <w:p w14:paraId="361090B1">
            <w:pPr>
              <w:widowControl/>
              <w:spacing w:line="240" w:lineRule="auto"/>
              <w:ind w:firstLine="0" w:firstLineChars="0"/>
              <w:jc w:val="center"/>
              <w:rPr>
                <w:rFonts w:hint="default"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11</w:t>
            </w:r>
          </w:p>
        </w:tc>
        <w:tc>
          <w:tcPr>
            <w:tcW w:w="1078" w:type="dxa"/>
            <w:shd w:val="clear" w:color="auto" w:fill="auto"/>
            <w:vAlign w:val="center"/>
          </w:tcPr>
          <w:p w14:paraId="65C01C5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68EA1C5">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6C0F4D2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6F1EE2D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2CC32B49">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631E51A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1A487E8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restart"/>
            <w:shd w:val="clear" w:color="auto" w:fill="auto"/>
            <w:vAlign w:val="center"/>
          </w:tcPr>
          <w:p w14:paraId="1F5F8C34">
            <w:pPr>
              <w:widowControl/>
              <w:spacing w:line="240" w:lineRule="auto"/>
              <w:ind w:firstLine="0" w:firstLineChars="0"/>
              <w:jc w:val="left"/>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1.</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p w14:paraId="1B22DFB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p w14:paraId="72BB12F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145E1FB6">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11AB6A6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486FCF7E">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外商投资企业登记</w:t>
            </w:r>
          </w:p>
        </w:tc>
        <w:tc>
          <w:tcPr>
            <w:tcW w:w="1093" w:type="dxa"/>
            <w:shd w:val="clear" w:color="auto" w:fill="auto"/>
            <w:vAlign w:val="center"/>
          </w:tcPr>
          <w:p w14:paraId="13A672E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shd w:val="clear" w:color="auto" w:fill="auto"/>
            <w:vAlign w:val="center"/>
          </w:tcPr>
          <w:p w14:paraId="474217A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shd w:val="clear" w:color="auto" w:fill="auto"/>
            <w:vAlign w:val="center"/>
          </w:tcPr>
          <w:p w14:paraId="203BE033">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4B7BF253">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4725404E">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708289CA">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3BF3CC0E">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74877855">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70843438">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5323C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5" w:hRule="atLeast"/>
          <w:jc w:val="center"/>
        </w:trPr>
        <w:tc>
          <w:tcPr>
            <w:tcW w:w="700" w:type="dxa"/>
            <w:shd w:val="clear" w:color="auto" w:fill="auto"/>
            <w:vAlign w:val="center"/>
          </w:tcPr>
          <w:p w14:paraId="0018072E">
            <w:pPr>
              <w:widowControl/>
              <w:spacing w:line="240" w:lineRule="auto"/>
              <w:ind w:firstLine="0" w:firstLineChars="0"/>
              <w:jc w:val="center"/>
              <w:rPr>
                <w:rFonts w:hint="default"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12</w:t>
            </w:r>
          </w:p>
        </w:tc>
        <w:tc>
          <w:tcPr>
            <w:tcW w:w="1078" w:type="dxa"/>
            <w:shd w:val="clear" w:color="auto" w:fill="auto"/>
            <w:vAlign w:val="center"/>
          </w:tcPr>
          <w:p w14:paraId="7AEA1144">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5D2F0AA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334F555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03AC606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1AD9A3D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3C2A070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25D3877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0B5B4A2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23535F7F">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342199C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4E177B8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外商投资企业分支机构登记</w:t>
            </w:r>
          </w:p>
        </w:tc>
        <w:tc>
          <w:tcPr>
            <w:tcW w:w="1093" w:type="dxa"/>
            <w:shd w:val="clear" w:color="auto" w:fill="auto"/>
            <w:vAlign w:val="center"/>
          </w:tcPr>
          <w:p w14:paraId="60227EB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shd w:val="clear" w:color="auto" w:fill="auto"/>
            <w:vAlign w:val="center"/>
          </w:tcPr>
          <w:p w14:paraId="4DD4CC4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vMerge w:val="restart"/>
            <w:shd w:val="clear" w:color="auto" w:fill="auto"/>
            <w:vAlign w:val="center"/>
          </w:tcPr>
          <w:p w14:paraId="336CF50C">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1.</w:t>
            </w:r>
            <w:r>
              <w:rPr>
                <w:sz w:val="20"/>
              </w:rPr>
              <w:t>《中华人民共和国公司法》第六条；</w:t>
            </w:r>
          </w:p>
          <w:p w14:paraId="74710D7B">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2.</w:t>
            </w:r>
            <w:r>
              <w:rPr>
                <w:sz w:val="20"/>
              </w:rPr>
              <w:t>《公司登记管理条例》第三条、第二十六条；</w:t>
            </w:r>
          </w:p>
          <w:p w14:paraId="439B485B">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3.</w:t>
            </w:r>
            <w:r>
              <w:rPr>
                <w:sz w:val="20"/>
              </w:rPr>
              <w:t>《中华人民共和国</w:t>
            </w:r>
            <w:r>
              <w:rPr>
                <w:rFonts w:hint="eastAsia"/>
                <w:sz w:val="20"/>
                <w:lang w:eastAsia="zh-CN"/>
              </w:rPr>
              <w:t>外商投资</w:t>
            </w:r>
            <w:r>
              <w:rPr>
                <w:sz w:val="20"/>
              </w:rPr>
              <w:t>法》第七条；</w:t>
            </w:r>
          </w:p>
          <w:p w14:paraId="36BD7AA9">
            <w:pPr>
              <w:pStyle w:val="19"/>
              <w:numPr>
                <w:ilvl w:val="0"/>
                <w:numId w:val="0"/>
              </w:numPr>
              <w:tabs>
                <w:tab w:val="left" w:pos="275"/>
              </w:tabs>
              <w:spacing w:before="0" w:after="0" w:line="283" w:lineRule="auto"/>
              <w:ind w:right="-15" w:rightChars="0"/>
              <w:jc w:val="left"/>
              <w:rPr>
                <w:rFonts w:hint="eastAsia"/>
                <w:sz w:val="20"/>
                <w:lang w:eastAsia="zh-CN"/>
              </w:rPr>
            </w:pPr>
            <w:r>
              <w:rPr>
                <w:rFonts w:hint="eastAsia"/>
                <w:sz w:val="20"/>
                <w:lang w:val="en-US" w:eastAsia="zh-CN"/>
              </w:rPr>
              <w:t>4.</w:t>
            </w:r>
            <w:r>
              <w:rPr>
                <w:sz w:val="20"/>
              </w:rPr>
              <w:t>《中华人民共和国</w:t>
            </w:r>
            <w:r>
              <w:rPr>
                <w:rFonts w:hint="eastAsia"/>
                <w:sz w:val="20"/>
                <w:lang w:eastAsia="zh-CN"/>
              </w:rPr>
              <w:t>外商投资法实施条例</w:t>
            </w:r>
            <w:r>
              <w:rPr>
                <w:sz w:val="20"/>
              </w:rPr>
              <w:t>》第</w:t>
            </w:r>
            <w:r>
              <w:rPr>
                <w:rFonts w:hint="eastAsia"/>
                <w:sz w:val="20"/>
                <w:lang w:eastAsia="zh-CN"/>
              </w:rPr>
              <w:t>三十七</w:t>
            </w:r>
            <w:r>
              <w:rPr>
                <w:sz w:val="20"/>
              </w:rPr>
              <w:t>条</w:t>
            </w:r>
            <w:r>
              <w:rPr>
                <w:rFonts w:hint="eastAsia"/>
                <w:sz w:val="20"/>
                <w:lang w:eastAsia="zh-CN"/>
              </w:rPr>
              <w:t>；</w:t>
            </w:r>
          </w:p>
          <w:p w14:paraId="385D9E6C">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5.</w:t>
            </w:r>
            <w:r>
              <w:rPr>
                <w:rFonts w:hint="eastAsia"/>
                <w:sz w:val="20"/>
                <w:lang w:eastAsia="zh-CN"/>
              </w:rPr>
              <w:t>《中华人民共和国合伙企业法》</w:t>
            </w:r>
            <w:r>
              <w:rPr>
                <w:sz w:val="20"/>
              </w:rPr>
              <w:t>第九条；</w:t>
            </w:r>
          </w:p>
          <w:p w14:paraId="16E00613">
            <w:pPr>
              <w:pStyle w:val="19"/>
              <w:numPr>
                <w:ilvl w:val="0"/>
                <w:numId w:val="0"/>
              </w:numPr>
              <w:tabs>
                <w:tab w:val="left" w:pos="275"/>
              </w:tabs>
              <w:spacing w:before="0" w:after="0" w:line="283" w:lineRule="auto"/>
              <w:ind w:right="-15" w:rightChars="0"/>
              <w:jc w:val="left"/>
              <w:rPr>
                <w:sz w:val="20"/>
              </w:rPr>
            </w:pPr>
            <w:r>
              <w:rPr>
                <w:rFonts w:hint="eastAsia"/>
                <w:sz w:val="20"/>
                <w:lang w:val="en-US" w:eastAsia="zh-CN"/>
              </w:rPr>
              <w:t>6.</w:t>
            </w:r>
            <w:r>
              <w:rPr>
                <w:sz w:val="20"/>
              </w:rPr>
              <w:t>《合伙企业登记管理办法》（国务院 236 号令条款号）第二条、第三条、第四条、第十一条、第十八条、第二十一条、第二十一条；</w:t>
            </w:r>
          </w:p>
          <w:p w14:paraId="2242F06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微软雅黑"/>
                <w:kern w:val="2"/>
                <w:sz w:val="20"/>
                <w:szCs w:val="22"/>
                <w:lang w:val="en-US" w:eastAsia="zh-CN" w:bidi="zh-CN"/>
              </w:rPr>
              <w:t>7.</w:t>
            </w:r>
            <w:r>
              <w:rPr>
                <w:rFonts w:ascii="微软雅黑" w:hAnsi="微软雅黑" w:eastAsia="微软雅黑" w:cs="微软雅黑"/>
                <w:kern w:val="2"/>
                <w:sz w:val="20"/>
                <w:szCs w:val="22"/>
                <w:lang w:val="zh-CN" w:eastAsia="zh-CN" w:bidi="zh-CN"/>
              </w:rPr>
              <w:t>《 企业法人登记管理条例》（国务院令第 1 号）第三条</w:t>
            </w:r>
            <w:r>
              <w:rPr>
                <w:rFonts w:hint="eastAsia" w:ascii="微软雅黑" w:hAnsi="微软雅黑" w:eastAsia="微软雅黑" w:cs="微软雅黑"/>
                <w:kern w:val="2"/>
                <w:sz w:val="20"/>
                <w:szCs w:val="22"/>
                <w:lang w:val="zh-CN" w:eastAsia="zh-CN" w:bidi="zh-CN"/>
              </w:rPr>
              <w:t>。</w:t>
            </w:r>
          </w:p>
        </w:tc>
      </w:tr>
      <w:tr w14:paraId="1566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700" w:type="dxa"/>
            <w:shd w:val="clear" w:color="auto" w:fill="auto"/>
            <w:vAlign w:val="center"/>
          </w:tcPr>
          <w:p w14:paraId="2F0B8CF9">
            <w:pPr>
              <w:widowControl/>
              <w:spacing w:line="240" w:lineRule="auto"/>
              <w:ind w:firstLine="0" w:firstLineChars="0"/>
              <w:jc w:val="center"/>
              <w:rPr>
                <w:rFonts w:hint="default"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13</w:t>
            </w:r>
          </w:p>
        </w:tc>
        <w:tc>
          <w:tcPr>
            <w:tcW w:w="1078" w:type="dxa"/>
            <w:shd w:val="clear" w:color="auto" w:fill="auto"/>
            <w:vAlign w:val="center"/>
          </w:tcPr>
          <w:p w14:paraId="59F7A429">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0BA296CC">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18A13D73">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340872A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23BD9C7D">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限制失信被执行人从事危险化学品生产经营储存、烟花爆竹生产经营、矿山生产、安全评价、认证、检测、检验等行业；依法限制失信被执行人担任上述行业单位主要负责人及董事、监事、高级管理人员，已担任相关职务的，按规定程序要求予以变更</w:t>
            </w:r>
          </w:p>
        </w:tc>
        <w:tc>
          <w:tcPr>
            <w:tcW w:w="1131" w:type="dxa"/>
            <w:shd w:val="clear" w:color="auto" w:fill="auto"/>
            <w:vAlign w:val="center"/>
          </w:tcPr>
          <w:p w14:paraId="4282D4C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行政性</w:t>
            </w:r>
          </w:p>
        </w:tc>
        <w:tc>
          <w:tcPr>
            <w:tcW w:w="1134" w:type="dxa"/>
            <w:shd w:val="clear" w:color="auto" w:fill="auto"/>
            <w:vAlign w:val="center"/>
          </w:tcPr>
          <w:p w14:paraId="002426F7">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强制性</w:t>
            </w:r>
          </w:p>
        </w:tc>
        <w:tc>
          <w:tcPr>
            <w:tcW w:w="2934" w:type="dxa"/>
            <w:vMerge w:val="continue"/>
            <w:shd w:val="clear" w:color="auto" w:fill="auto"/>
            <w:vAlign w:val="center"/>
          </w:tcPr>
          <w:p w14:paraId="7CD9665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p>
        </w:tc>
        <w:tc>
          <w:tcPr>
            <w:tcW w:w="1714" w:type="dxa"/>
            <w:shd w:val="clear" w:color="auto" w:fill="auto"/>
            <w:vAlign w:val="center"/>
          </w:tcPr>
          <w:p w14:paraId="240E14C7">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7011A01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行政许可</w:t>
            </w:r>
          </w:p>
        </w:tc>
        <w:tc>
          <w:tcPr>
            <w:tcW w:w="2207" w:type="dxa"/>
            <w:shd w:val="clear" w:color="auto" w:fill="auto"/>
            <w:vAlign w:val="center"/>
          </w:tcPr>
          <w:p w14:paraId="49DCE52E">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外商投资合伙企业及分支机构登记</w:t>
            </w:r>
          </w:p>
        </w:tc>
        <w:tc>
          <w:tcPr>
            <w:tcW w:w="1093" w:type="dxa"/>
            <w:shd w:val="clear" w:color="auto" w:fill="auto"/>
            <w:vAlign w:val="center"/>
          </w:tcPr>
          <w:p w14:paraId="4A9D77C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rPr>
              <w:t>级,县级</w:t>
            </w:r>
          </w:p>
        </w:tc>
        <w:tc>
          <w:tcPr>
            <w:tcW w:w="943" w:type="dxa"/>
            <w:shd w:val="clear" w:color="auto" w:fill="auto"/>
            <w:vAlign w:val="center"/>
          </w:tcPr>
          <w:p w14:paraId="466FA6B8">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是</w:t>
            </w:r>
          </w:p>
        </w:tc>
        <w:tc>
          <w:tcPr>
            <w:tcW w:w="3014" w:type="dxa"/>
            <w:vMerge w:val="continue"/>
            <w:shd w:val="clear" w:color="auto" w:fill="auto"/>
            <w:vAlign w:val="center"/>
          </w:tcPr>
          <w:p w14:paraId="6C566128">
            <w:pPr>
              <w:widowControl/>
              <w:spacing w:line="240" w:lineRule="auto"/>
              <w:ind w:firstLine="0" w:firstLineChars="0"/>
              <w:rPr>
                <w:rFonts w:hint="eastAsia" w:ascii="微软雅黑" w:hAnsi="微软雅黑" w:eastAsia="微软雅黑" w:cs="宋体"/>
                <w:kern w:val="0"/>
                <w:sz w:val="20"/>
                <w:szCs w:val="20"/>
              </w:rPr>
            </w:pPr>
          </w:p>
        </w:tc>
      </w:tr>
      <w:tr w14:paraId="1D83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700" w:type="dxa"/>
            <w:shd w:val="clear" w:color="auto" w:fill="auto"/>
            <w:vAlign w:val="center"/>
          </w:tcPr>
          <w:p w14:paraId="43FA6A09">
            <w:pPr>
              <w:widowControl/>
              <w:spacing w:line="240" w:lineRule="auto"/>
              <w:ind w:firstLine="0" w:firstLineChars="0"/>
              <w:jc w:val="center"/>
              <w:rPr>
                <w:rFonts w:hint="default"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val="en-US" w:eastAsia="zh-CN"/>
              </w:rPr>
              <w:t>14</w:t>
            </w:r>
          </w:p>
        </w:tc>
        <w:tc>
          <w:tcPr>
            <w:tcW w:w="1078" w:type="dxa"/>
            <w:shd w:val="clear" w:color="auto" w:fill="auto"/>
            <w:vAlign w:val="center"/>
          </w:tcPr>
          <w:p w14:paraId="4A77592A">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曲阳县人民法院</w:t>
            </w:r>
          </w:p>
        </w:tc>
        <w:tc>
          <w:tcPr>
            <w:tcW w:w="1078" w:type="dxa"/>
            <w:shd w:val="clear" w:color="auto" w:fill="auto"/>
            <w:vAlign w:val="center"/>
          </w:tcPr>
          <w:p w14:paraId="765386FD">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失信被执行人</w:t>
            </w:r>
          </w:p>
        </w:tc>
        <w:tc>
          <w:tcPr>
            <w:tcW w:w="819" w:type="dxa"/>
            <w:shd w:val="clear" w:color="auto" w:fill="auto"/>
            <w:vAlign w:val="center"/>
          </w:tcPr>
          <w:p w14:paraId="5768120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法人和非法人组织、自然人</w:t>
            </w:r>
          </w:p>
        </w:tc>
        <w:tc>
          <w:tcPr>
            <w:tcW w:w="1039" w:type="dxa"/>
            <w:shd w:val="clear" w:color="auto" w:fill="auto"/>
            <w:vAlign w:val="center"/>
          </w:tcPr>
          <w:p w14:paraId="5E0AA3C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lang w:eastAsia="zh-CN"/>
              </w:rPr>
              <w:t>县</w:t>
            </w:r>
            <w:r>
              <w:rPr>
                <w:rFonts w:hint="eastAsia" w:ascii="微软雅黑" w:hAnsi="微软雅黑" w:eastAsia="微软雅黑" w:cs="宋体"/>
                <w:kern w:val="0"/>
                <w:sz w:val="20"/>
                <w:szCs w:val="20"/>
                <w:lang w:val="en-US" w:eastAsia="zh-CN"/>
              </w:rPr>
              <w:t>市</w:t>
            </w:r>
            <w:r>
              <w:rPr>
                <w:rFonts w:hint="eastAsia" w:ascii="微软雅黑" w:hAnsi="微软雅黑" w:eastAsia="微软雅黑" w:cs="宋体"/>
                <w:kern w:val="0"/>
                <w:sz w:val="20"/>
                <w:szCs w:val="20"/>
                <w:lang w:eastAsia="zh-CN"/>
              </w:rPr>
              <w:t>场监管</w:t>
            </w:r>
            <w:r>
              <w:rPr>
                <w:rFonts w:hint="eastAsia" w:ascii="微软雅黑" w:hAnsi="微软雅黑" w:eastAsia="微软雅黑" w:cs="宋体"/>
                <w:kern w:val="0"/>
                <w:sz w:val="20"/>
                <w:szCs w:val="20"/>
              </w:rPr>
              <w:t>局</w:t>
            </w:r>
          </w:p>
        </w:tc>
        <w:tc>
          <w:tcPr>
            <w:tcW w:w="2082" w:type="dxa"/>
            <w:shd w:val="clear" w:color="auto" w:fill="auto"/>
            <w:vAlign w:val="center"/>
          </w:tcPr>
          <w:p w14:paraId="432E44CA">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将失信被执行人和以失信被执行人为法定代表人、实际控制人、董事、监事、高级管理人员的单位，作为重点监管对象，加大日常监管力度，提高随机抽查的比例和频次，并可依据相关法律法规对其采取行政监管措施</w:t>
            </w:r>
          </w:p>
        </w:tc>
        <w:tc>
          <w:tcPr>
            <w:tcW w:w="1131" w:type="dxa"/>
            <w:shd w:val="clear" w:color="auto" w:fill="auto"/>
            <w:vAlign w:val="center"/>
          </w:tcPr>
          <w:p w14:paraId="09FB21BF">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1134" w:type="dxa"/>
            <w:shd w:val="clear" w:color="auto" w:fill="auto"/>
            <w:vAlign w:val="center"/>
          </w:tcPr>
          <w:p w14:paraId="79C98DE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2934" w:type="dxa"/>
            <w:shd w:val="clear" w:color="auto" w:fill="auto"/>
            <w:vAlign w:val="center"/>
          </w:tcPr>
          <w:p w14:paraId="2847B0D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《社会信用体系建设规划纲要（2014-2020年）》第五部分第一条；</w:t>
            </w:r>
          </w:p>
          <w:p w14:paraId="5C1DCD96">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完善以奖惩制度为重点的社会信用体系运行机制</w:t>
            </w:r>
          </w:p>
          <w:p w14:paraId="19ABE20A">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运行机制是保障社会信用体系各系统协调运行的制度基础。其中，守信激励和失信惩戒机制直接作用于各个社会主体信用行为，是社会信用体系运行的核心机制。</w:t>
            </w:r>
          </w:p>
          <w:p w14:paraId="37961983">
            <w:pPr>
              <w:widowControl/>
              <w:spacing w:line="240" w:lineRule="auto"/>
              <w:ind w:firstLine="0" w:firstLineChars="0"/>
              <w:rPr>
                <w:rFonts w:ascii="微软雅黑" w:hAnsi="微软雅黑" w:eastAsia="微软雅黑" w:cs="宋体"/>
                <w:kern w:val="0"/>
                <w:sz w:val="20"/>
                <w:szCs w:val="20"/>
              </w:rPr>
            </w:pPr>
            <w:r>
              <w:rPr>
                <w:rFonts w:hint="eastAsia" w:ascii="微软雅黑" w:hAnsi="微软雅黑" w:eastAsia="微软雅黑" w:cs="宋体"/>
                <w:kern w:val="0"/>
                <w:sz w:val="20"/>
                <w:szCs w:val="20"/>
              </w:rPr>
              <w:t>（一）构建守信激励和失信惩戒机制。</w:t>
            </w:r>
          </w:p>
          <w:p w14:paraId="68A18DD4">
            <w:pPr>
              <w:widowControl/>
              <w:spacing w:line="240" w:lineRule="auto"/>
              <w:ind w:firstLine="0" w:firstLineChars="0"/>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加强对失信主体的约束和惩戒。强化行政监管性约束和惩戒。</w:t>
            </w:r>
          </w:p>
        </w:tc>
        <w:tc>
          <w:tcPr>
            <w:tcW w:w="1714" w:type="dxa"/>
            <w:shd w:val="clear" w:color="auto" w:fill="auto"/>
            <w:vAlign w:val="center"/>
          </w:tcPr>
          <w:p w14:paraId="5016E1B1">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《关于对失信被执行人实施联合惩戒的合作备忘录》（发改财金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2016</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 xml:space="preserve">141号）； </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《关于加强对失信被执行人联合惩戒的实施意见》（冀办发</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2017</w:t>
            </w:r>
            <w:r>
              <w:rPr>
                <w:rFonts w:ascii="微软雅黑" w:hAnsi="微软雅黑" w:eastAsia="微软雅黑" w:cs="微软雅黑"/>
                <w:sz w:val="24"/>
                <w:szCs w:val="24"/>
                <w:shd w:val="clear" w:color="auto" w:fill="FFFFFF"/>
              </w:rPr>
              <w:t>〕</w:t>
            </w:r>
            <w:r>
              <w:rPr>
                <w:rFonts w:hint="eastAsia" w:ascii="微软雅黑" w:hAnsi="微软雅黑" w:eastAsia="微软雅黑" w:cs="宋体"/>
                <w:kern w:val="0"/>
                <w:sz w:val="20"/>
                <w:szCs w:val="20"/>
              </w:rPr>
              <w:t>2号）</w:t>
            </w:r>
          </w:p>
        </w:tc>
        <w:tc>
          <w:tcPr>
            <w:tcW w:w="1136" w:type="dxa"/>
            <w:shd w:val="clear" w:color="auto" w:fill="auto"/>
            <w:vAlign w:val="center"/>
          </w:tcPr>
          <w:p w14:paraId="3A60688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2207" w:type="dxa"/>
            <w:shd w:val="clear" w:color="auto" w:fill="auto"/>
            <w:vAlign w:val="center"/>
          </w:tcPr>
          <w:p w14:paraId="3B9EE32B">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1093" w:type="dxa"/>
            <w:shd w:val="clear" w:color="auto" w:fill="auto"/>
            <w:vAlign w:val="center"/>
          </w:tcPr>
          <w:p w14:paraId="3B6A68E6">
            <w:pPr>
              <w:widowControl/>
              <w:spacing w:line="240" w:lineRule="auto"/>
              <w:ind w:firstLine="0" w:firstLineChars="0"/>
              <w:jc w:val="center"/>
              <w:rPr>
                <w:rFonts w:hint="eastAsia" w:ascii="微软雅黑" w:hAnsi="微软雅黑" w:eastAsia="微软雅黑" w:cs="宋体"/>
                <w:kern w:val="0"/>
                <w:sz w:val="20"/>
                <w:szCs w:val="20"/>
                <w:lang w:val="en-US" w:eastAsia="zh-CN" w:bidi="ar-SA"/>
              </w:rPr>
            </w:pPr>
            <w:r>
              <w:rPr>
                <w:rFonts w:hint="eastAsia" w:ascii="微软雅黑" w:hAnsi="微软雅黑" w:eastAsia="微软雅黑" w:cs="宋体"/>
                <w:kern w:val="0"/>
                <w:sz w:val="20"/>
                <w:szCs w:val="20"/>
              </w:rPr>
              <w:t>　</w:t>
            </w:r>
          </w:p>
        </w:tc>
        <w:tc>
          <w:tcPr>
            <w:tcW w:w="943" w:type="dxa"/>
            <w:shd w:val="clear" w:color="auto" w:fill="auto"/>
            <w:vAlign w:val="center"/>
          </w:tcPr>
          <w:p w14:paraId="60FC84BB">
            <w:pPr>
              <w:widowControl/>
              <w:spacing w:line="240" w:lineRule="auto"/>
              <w:ind w:firstLine="0" w:firstLineChars="0"/>
              <w:rPr>
                <w:rFonts w:hint="eastAsia" w:ascii="微软雅黑" w:hAnsi="微软雅黑" w:eastAsia="微软雅黑" w:cs="宋体"/>
                <w:kern w:val="0"/>
                <w:sz w:val="20"/>
                <w:szCs w:val="20"/>
                <w:lang w:val="en-US" w:eastAsia="zh-CN" w:bidi="ar-SA"/>
              </w:rPr>
            </w:pPr>
          </w:p>
        </w:tc>
        <w:tc>
          <w:tcPr>
            <w:tcW w:w="3014" w:type="dxa"/>
            <w:shd w:val="clear" w:color="auto" w:fill="auto"/>
            <w:vAlign w:val="center"/>
          </w:tcPr>
          <w:p w14:paraId="709894A4">
            <w:pPr>
              <w:widowControl/>
              <w:spacing w:line="240" w:lineRule="auto"/>
              <w:ind w:firstLine="0" w:firstLineChars="0"/>
              <w:rPr>
                <w:rFonts w:hint="eastAsia" w:ascii="微软雅黑" w:hAnsi="微软雅黑" w:eastAsia="微软雅黑" w:cs="宋体"/>
                <w:kern w:val="0"/>
                <w:sz w:val="20"/>
                <w:szCs w:val="20"/>
                <w:lang w:val="en-US" w:eastAsia="zh-CN" w:bidi="ar-SA"/>
              </w:rPr>
            </w:pPr>
          </w:p>
        </w:tc>
      </w:tr>
      <w:tr w14:paraId="678D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22102" w:type="dxa"/>
            <w:gridSpan w:val="15"/>
            <w:shd w:val="clear" w:color="auto" w:fill="auto"/>
            <w:vAlign w:val="center"/>
          </w:tcPr>
          <w:p w14:paraId="62766E3F">
            <w:pPr>
              <w:widowControl/>
              <w:spacing w:line="240" w:lineRule="auto"/>
              <w:ind w:firstLine="0" w:firstLineChars="0"/>
              <w:rPr>
                <w:rFonts w:hint="eastAsia" w:ascii="微软雅黑" w:hAnsi="微软雅黑" w:eastAsia="微软雅黑" w:cs="宋体"/>
                <w:kern w:val="0"/>
                <w:sz w:val="20"/>
                <w:szCs w:val="20"/>
              </w:rPr>
            </w:pPr>
            <w:r>
              <w:rPr>
                <w:rFonts w:hint="eastAsia" w:ascii="微软雅黑" w:hAnsi="微软雅黑" w:eastAsia="微软雅黑" w:cs="宋体"/>
                <w:kern w:val="0"/>
                <w:sz w:val="20"/>
                <w:szCs w:val="20"/>
              </w:rPr>
              <w:t>1.《药品生产质量管理规范》</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第四条 企业应当严格执行本规范，坚持诚实守信，禁止任何虚假、欺骗行为。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2.《中华人民共和国药品管理法》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第七十五条 从事生产、销售假药及生产、销售劣药情节严重的企业或者其他单位，其直接负责的主管人员和其他直接责任人员十年内不得从事药品生产、经营活动。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对生产者专门用于生产假药、劣药的原辅材料、包装材料、生产设备，予以没收。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第八十二条 违反本法规定，提供虚假的证明、文件资料、样品或者采取其他欺骗手段取得《药品生产许可证》、《药品经营许可证》、《医疗机构制剂许可证》或者药品批准证明文件的，吊销《药品生产许可证》、《药品经营许可证》、《医疗机构制剂许可证》或者撤销药品批准证明文件，五年内不受理其申请，并处一万元以上三万元以下的罚款。</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3.《中华人民共和国食品安全法》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第一百一十三条 县级以上人民政府食品药品监督管理部门应当建立食品生产经营者食品安全信用档案，记录许可颁发、日常监督检查结果、违法行为查处等情况，依法向社会公布并实时更新；对有不良信用记录的食品生产经营者增加监督检查频次，对违法行为情节严重的食品生产经营者，可以通报投资主管部门、证券监督管理机构和有关的金融机构。</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第一百三十五条 被吊销许可证的食品生产经营者及其法定代表人、直接负责的主管人员和其他直接责任人员自处罚决定作出之日起五年内不得申请食品生产经营许可，或者从事食品生产经营管理工作、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因食品安全犯罪被判处有期徒刑以上刑罚的，终身不得从事食品生产经营管理工作，也不得担任食品生产经营企业食品安全管理人员。</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食品生产经营者聘用人员违反前两款规定的，由县级以上人民政府食品药品监督管理部门吊销许可证。</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第一百三十八条 违反本法规定，食品检验机构、食品检验人员出具虚假检验报告的，由授予其资质的主管部门或者机构撤销该食品检验机构的检验资质，没收所收取的检验费用，并处检验费用五倍以上十倍以下罚款，检验费用不足一万元的，并处五万元以上十万元以下罚款；依法对食品检验机构直接负责的主管人员和食品检验人员给予撤职或者开除处分；导致发生重大食品安全事故的，对直接负责的主管人员和食品检验人员给予开除处分。</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违反本法规定，受到开除处分的食品检验机构人员，自处分决定作出之日起十年内不得从事食品检验工作；因食品安全违法行为受到刑事处罚或者因出具虚假检验报告导致发生重大食品安全事故受到开除处分的食品检验机构人员，终身不得从事食品检验工作。食品检验机构聘用不得从事食品检验工作的人员的，由授予其资质的主管部门或者机构撤销该食品检验机构的检验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食品检验机构出具虚假检验报告，使消费者的合法权益受到损害的，应当与食品生产经营者承担连带责任。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4.《医疗器械监督管理条例》</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第六十三、六十四、六十五、六十九、七十、七十一条。</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5.</w:t>
            </w:r>
            <w:r>
              <w:rPr>
                <w:rFonts w:hint="eastAsia" w:ascii="微软雅黑" w:hAnsi="微软雅黑" w:eastAsia="微软雅黑" w:cs="宋体"/>
                <w:kern w:val="0"/>
                <w:sz w:val="20"/>
                <w:szCs w:val="20"/>
                <w:lang w:eastAsia="zh-CN"/>
              </w:rPr>
              <w:t>《中华人民共和国安全生产法》</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第八十九条 承担安全评价、认证、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对有前款违法行为的机构，吊销其相应资质。</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第九十条 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第九十一条 生产经营单位的主要负责人未履行本法规定的安全生产管理职责的，责令限期改正；逾期未改正的，处二万元以上五万元以下的罚款，责令生产经营单位停产停业整顿。</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生产经营单位的主要负责人有前款违法行为，导致发生生产安全事故的，给予撤职处分；构成犯罪的，依照刑法有关规定追究刑事责任。</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生产经营单位的主要负责人依照前款规定受刑事处罚或者撤职处分的，自刑罚执行完毕或者受处分之日起，五年内不得担任任何生产经营单位的主要负责人；对重大、特别重大生产安全事故负有责任的，终身不得担任本行业生产经营单位的主要负责人。</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6.《安全评价机构管理规定》</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第八条 安全评价机构申请甲级资质，应当具备下列条件：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（一）具有法人资格，固定资产400万元以上；</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（二）有与其开展工作相适应的固定工作场所和设施、设备，具有必要的技术支撑条件；</w:t>
            </w:r>
            <w:r>
              <w:rPr>
                <w:rFonts w:hint="eastAsia" w:ascii="微软雅黑" w:hAnsi="微软雅黑" w:eastAsia="微软雅黑" w:cs="宋体"/>
                <w:kern w:val="0"/>
                <w:sz w:val="20"/>
                <w:szCs w:val="20"/>
              </w:rPr>
              <w:br w:type="textWrapping"/>
            </w:r>
            <w:r>
              <w:rPr>
                <w:rFonts w:hint="eastAsia" w:ascii="微软雅黑" w:hAnsi="微软雅黑" w:eastAsia="微软雅黑" w:cs="宋体"/>
                <w:kern w:val="0"/>
                <w:sz w:val="20"/>
                <w:szCs w:val="20"/>
              </w:rPr>
              <w:t>（三）取得安全评价机构乙级资质3年以上，且没有违法行为记录等。</w:t>
            </w:r>
          </w:p>
        </w:tc>
      </w:tr>
    </w:tbl>
    <w:p w14:paraId="09210B28">
      <w:pPr>
        <w:ind w:firstLine="0" w:firstLineChars="0"/>
      </w:pPr>
    </w:p>
    <w:sectPr>
      <w:headerReference r:id="rId11" w:type="default"/>
      <w:footerReference r:id="rId12" w:type="default"/>
      <w:pgSz w:w="23814" w:h="16839" w:orient="landscape"/>
      <w:pgMar w:top="1134" w:right="1077" w:bottom="1134" w:left="1077" w:header="851" w:footer="992" w:gutter="0"/>
      <w:pgNumType w:start="1"/>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等线 Light">
    <w:altName w:val="宋体"/>
    <w:panose1 w:val="02010600030101010101"/>
    <w:charset w:val="86"/>
    <w:family w:val="auto"/>
    <w:pitch w:val="default"/>
    <w:sig w:usb0="00000000" w:usb1="00000000" w:usb2="00000016" w:usb3="00000000" w:csb0="0004000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6962295"/>
    </w:sdtPr>
    <w:sdtContent>
      <w:p w14:paraId="61F508C4">
        <w:pPr>
          <w:pStyle w:val="5"/>
          <w:ind w:firstLine="360"/>
          <w:jc w:val="center"/>
        </w:pPr>
        <w:r>
          <w:fldChar w:fldCharType="begin"/>
        </w:r>
        <w:r>
          <w:instrText xml:space="preserve">PAGE   \* MERGEFORMAT</w:instrText>
        </w:r>
        <w:r>
          <w:fldChar w:fldCharType="separate"/>
        </w:r>
        <w:r>
          <w:t>I</w:t>
        </w:r>
        <w:r>
          <w:fldChar w:fldCharType="end"/>
        </w:r>
      </w:p>
    </w:sdtContent>
  </w:sdt>
  <w:p w14:paraId="5F8AE1DA">
    <w:pPr>
      <w:pStyle w:val="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4CB9E">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7983F">
    <w:pPr>
      <w:pStyle w:val="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7344369"/>
    </w:sdtPr>
    <w:sdtContent>
      <w:p w14:paraId="55CC72F2">
        <w:pPr>
          <w:pStyle w:val="5"/>
          <w:ind w:firstLine="360"/>
          <w:jc w:val="center"/>
        </w:pPr>
        <w:r>
          <w:fldChar w:fldCharType="begin"/>
        </w:r>
        <w:r>
          <w:instrText xml:space="preserve">PAGE   \* MERGEFORMAT</w:instrText>
        </w:r>
        <w:r>
          <w:fldChar w:fldCharType="separate"/>
        </w:r>
        <w:r>
          <w:rPr>
            <w:lang w:val="zh-CN"/>
          </w:rPr>
          <w:t>154</w:t>
        </w:r>
        <w:r>
          <w:fldChar w:fldCharType="end"/>
        </w:r>
      </w:p>
    </w:sdtContent>
  </w:sdt>
  <w:p w14:paraId="1A94F5CC">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6C0F5">
    <w:pPr>
      <w:ind w:firstLine="6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C32A6">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B85B5">
    <w:pPr>
      <w:pStyle w:val="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0FEAA">
    <w:pPr>
      <w:pStyle w:val="6"/>
      <w:ind w:firstLine="560"/>
      <w:jc w:val="right"/>
      <w:rPr>
        <w:sz w:val="28"/>
        <w:szCs w:val="28"/>
      </w:rPr>
    </w:pPr>
    <w:r>
      <w:rPr>
        <w:rFonts w:hint="eastAsia"/>
        <w:sz w:val="28"/>
        <w:szCs w:val="28"/>
        <w:lang w:eastAsia="zh-CN"/>
      </w:rPr>
      <w:t>曲阳县</w:t>
    </w:r>
    <w:r>
      <w:rPr>
        <w:rFonts w:hint="eastAsia"/>
        <w:sz w:val="28"/>
        <w:szCs w:val="28"/>
      </w:rPr>
      <w:t>失信被执行人联合惩戒措施-事项清单</w:t>
    </w:r>
  </w:p>
  <w:p w14:paraId="65CAE678">
    <w:pPr>
      <w:ind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DE79D6"/>
    <w:multiLevelType w:val="singleLevel"/>
    <w:tmpl w:val="A7DE79D6"/>
    <w:lvl w:ilvl="0" w:tentative="0">
      <w:start w:val="1"/>
      <w:numFmt w:val="decimal"/>
      <w:lvlText w:val="%1."/>
      <w:lvlJc w:val="left"/>
      <w:pPr>
        <w:tabs>
          <w:tab w:val="left" w:pos="312"/>
        </w:tabs>
      </w:pPr>
    </w:lvl>
  </w:abstractNum>
  <w:abstractNum w:abstractNumId="1">
    <w:nsid w:val="AB070E10"/>
    <w:multiLevelType w:val="singleLevel"/>
    <w:tmpl w:val="AB070E10"/>
    <w:lvl w:ilvl="0" w:tentative="0">
      <w:start w:val="1"/>
      <w:numFmt w:val="decimal"/>
      <w:lvlText w:val="%1."/>
      <w:lvlJc w:val="left"/>
      <w:pPr>
        <w:tabs>
          <w:tab w:val="left" w:pos="312"/>
        </w:tabs>
      </w:pPr>
    </w:lvl>
  </w:abstractNum>
  <w:abstractNum w:abstractNumId="2">
    <w:nsid w:val="D9B6A663"/>
    <w:multiLevelType w:val="singleLevel"/>
    <w:tmpl w:val="D9B6A663"/>
    <w:lvl w:ilvl="0" w:tentative="0">
      <w:start w:val="1"/>
      <w:numFmt w:val="decimal"/>
      <w:lvlText w:val="%1."/>
      <w:lvlJc w:val="left"/>
      <w:pPr>
        <w:tabs>
          <w:tab w:val="left" w:pos="312"/>
        </w:tabs>
      </w:pPr>
    </w:lvl>
  </w:abstractNum>
  <w:abstractNum w:abstractNumId="3">
    <w:nsid w:val="DD1C9EE3"/>
    <w:multiLevelType w:val="singleLevel"/>
    <w:tmpl w:val="DD1C9EE3"/>
    <w:lvl w:ilvl="0" w:tentative="0">
      <w:start w:val="1"/>
      <w:numFmt w:val="decimal"/>
      <w:lvlText w:val="%1."/>
      <w:lvlJc w:val="left"/>
      <w:pPr>
        <w:tabs>
          <w:tab w:val="left" w:pos="312"/>
        </w:tabs>
      </w:pPr>
    </w:lvl>
  </w:abstractNum>
  <w:abstractNum w:abstractNumId="4">
    <w:nsid w:val="FE35DAA7"/>
    <w:multiLevelType w:val="singleLevel"/>
    <w:tmpl w:val="FE35DAA7"/>
    <w:lvl w:ilvl="0" w:tentative="0">
      <w:start w:val="1"/>
      <w:numFmt w:val="decimal"/>
      <w:lvlText w:val="%1."/>
      <w:lvlJc w:val="left"/>
      <w:pPr>
        <w:tabs>
          <w:tab w:val="left" w:pos="312"/>
        </w:tabs>
      </w:pPr>
    </w:lvl>
  </w:abstractNum>
  <w:abstractNum w:abstractNumId="5">
    <w:nsid w:val="21A49338"/>
    <w:multiLevelType w:val="singleLevel"/>
    <w:tmpl w:val="21A49338"/>
    <w:lvl w:ilvl="0" w:tentative="0">
      <w:start w:val="1"/>
      <w:numFmt w:val="decimal"/>
      <w:lvlText w:val="%1."/>
      <w:lvlJc w:val="left"/>
      <w:pPr>
        <w:tabs>
          <w:tab w:val="left" w:pos="312"/>
        </w:tabs>
      </w:pPr>
    </w:lvl>
  </w:abstractNum>
  <w:abstractNum w:abstractNumId="6">
    <w:nsid w:val="33105D8E"/>
    <w:multiLevelType w:val="singleLevel"/>
    <w:tmpl w:val="33105D8E"/>
    <w:lvl w:ilvl="0" w:tentative="0">
      <w:start w:val="1"/>
      <w:numFmt w:val="decimal"/>
      <w:lvlText w:val="%1."/>
      <w:lvlJc w:val="left"/>
      <w:pPr>
        <w:tabs>
          <w:tab w:val="left" w:pos="312"/>
        </w:tabs>
      </w:pPr>
    </w:lvl>
  </w:abstractNum>
  <w:abstractNum w:abstractNumId="7">
    <w:nsid w:val="42D3DC59"/>
    <w:multiLevelType w:val="singleLevel"/>
    <w:tmpl w:val="42D3DC59"/>
    <w:lvl w:ilvl="0" w:tentative="0">
      <w:start w:val="1"/>
      <w:numFmt w:val="decimal"/>
      <w:lvlText w:val="%1."/>
      <w:lvlJc w:val="left"/>
      <w:pPr>
        <w:tabs>
          <w:tab w:val="left" w:pos="312"/>
        </w:tabs>
      </w:pPr>
    </w:lvl>
  </w:abstractNum>
  <w:abstractNum w:abstractNumId="8">
    <w:nsid w:val="6C296717"/>
    <w:multiLevelType w:val="singleLevel"/>
    <w:tmpl w:val="6C296717"/>
    <w:lvl w:ilvl="0" w:tentative="0">
      <w:start w:val="1"/>
      <w:numFmt w:val="decimal"/>
      <w:lvlText w:val="%1."/>
      <w:lvlJc w:val="left"/>
      <w:pPr>
        <w:tabs>
          <w:tab w:val="left" w:pos="312"/>
        </w:tabs>
      </w:pPr>
    </w:lvl>
  </w:abstractNum>
  <w:num w:numId="1">
    <w:abstractNumId w:val="0"/>
  </w:num>
  <w:num w:numId="2">
    <w:abstractNumId w:val="8"/>
  </w:num>
  <w:num w:numId="3">
    <w:abstractNumId w:val="2"/>
  </w:num>
  <w:num w:numId="4">
    <w:abstractNumId w:val="4"/>
  </w:num>
  <w:num w:numId="5">
    <w:abstractNumId w:val="3"/>
  </w:num>
  <w:num w:numId="6">
    <w:abstractNumId w:val="7"/>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898"/>
    <w:rsid w:val="00005426"/>
    <w:rsid w:val="000057E4"/>
    <w:rsid w:val="0000705C"/>
    <w:rsid w:val="00021BB5"/>
    <w:rsid w:val="0003205D"/>
    <w:rsid w:val="00035D48"/>
    <w:rsid w:val="00042AA9"/>
    <w:rsid w:val="000945A7"/>
    <w:rsid w:val="000B0B9C"/>
    <w:rsid w:val="000C17B6"/>
    <w:rsid w:val="000C1BB0"/>
    <w:rsid w:val="000E0898"/>
    <w:rsid w:val="000F22CA"/>
    <w:rsid w:val="000F7819"/>
    <w:rsid w:val="0010662A"/>
    <w:rsid w:val="0011476C"/>
    <w:rsid w:val="00130781"/>
    <w:rsid w:val="00147080"/>
    <w:rsid w:val="00175C7E"/>
    <w:rsid w:val="00177B3C"/>
    <w:rsid w:val="00184079"/>
    <w:rsid w:val="001A5608"/>
    <w:rsid w:val="001B538A"/>
    <w:rsid w:val="001B6385"/>
    <w:rsid w:val="001C5E3E"/>
    <w:rsid w:val="001E6384"/>
    <w:rsid w:val="002618E4"/>
    <w:rsid w:val="002765C8"/>
    <w:rsid w:val="00276CF8"/>
    <w:rsid w:val="00280B45"/>
    <w:rsid w:val="002A0369"/>
    <w:rsid w:val="002A56B0"/>
    <w:rsid w:val="002B3809"/>
    <w:rsid w:val="002C684E"/>
    <w:rsid w:val="002D04F8"/>
    <w:rsid w:val="002D112C"/>
    <w:rsid w:val="002D3691"/>
    <w:rsid w:val="002D64F6"/>
    <w:rsid w:val="002E09F6"/>
    <w:rsid w:val="002F20CE"/>
    <w:rsid w:val="00302131"/>
    <w:rsid w:val="00310BBB"/>
    <w:rsid w:val="00312E27"/>
    <w:rsid w:val="003269D2"/>
    <w:rsid w:val="00333F3A"/>
    <w:rsid w:val="003616BC"/>
    <w:rsid w:val="00373C1A"/>
    <w:rsid w:val="00375338"/>
    <w:rsid w:val="003754C2"/>
    <w:rsid w:val="00397A2D"/>
    <w:rsid w:val="003A238E"/>
    <w:rsid w:val="003C49DE"/>
    <w:rsid w:val="003D6100"/>
    <w:rsid w:val="003F1577"/>
    <w:rsid w:val="003F419F"/>
    <w:rsid w:val="00417FD6"/>
    <w:rsid w:val="00424ACD"/>
    <w:rsid w:val="004343B4"/>
    <w:rsid w:val="00436D54"/>
    <w:rsid w:val="00445E4A"/>
    <w:rsid w:val="00462E4A"/>
    <w:rsid w:val="00471614"/>
    <w:rsid w:val="00482205"/>
    <w:rsid w:val="004A37B8"/>
    <w:rsid w:val="004A6EBE"/>
    <w:rsid w:val="004D2EAC"/>
    <w:rsid w:val="004E1796"/>
    <w:rsid w:val="004F4D26"/>
    <w:rsid w:val="005238CF"/>
    <w:rsid w:val="00557D63"/>
    <w:rsid w:val="00571215"/>
    <w:rsid w:val="005D1EE5"/>
    <w:rsid w:val="005E28A0"/>
    <w:rsid w:val="005E7B09"/>
    <w:rsid w:val="00612DF0"/>
    <w:rsid w:val="00640994"/>
    <w:rsid w:val="00652E7E"/>
    <w:rsid w:val="006720A7"/>
    <w:rsid w:val="006A582D"/>
    <w:rsid w:val="006A73D2"/>
    <w:rsid w:val="006C0573"/>
    <w:rsid w:val="006C1EC7"/>
    <w:rsid w:val="006C2830"/>
    <w:rsid w:val="006D28D7"/>
    <w:rsid w:val="006D61BD"/>
    <w:rsid w:val="006D62BA"/>
    <w:rsid w:val="006E0909"/>
    <w:rsid w:val="006E1219"/>
    <w:rsid w:val="006E6551"/>
    <w:rsid w:val="00704D34"/>
    <w:rsid w:val="00731A2B"/>
    <w:rsid w:val="007413CF"/>
    <w:rsid w:val="00751F34"/>
    <w:rsid w:val="00753204"/>
    <w:rsid w:val="00754431"/>
    <w:rsid w:val="007721A9"/>
    <w:rsid w:val="007827A7"/>
    <w:rsid w:val="007917D6"/>
    <w:rsid w:val="007917DC"/>
    <w:rsid w:val="007A59A0"/>
    <w:rsid w:val="007A6548"/>
    <w:rsid w:val="007C6C85"/>
    <w:rsid w:val="007D1500"/>
    <w:rsid w:val="007E2C43"/>
    <w:rsid w:val="007E7F05"/>
    <w:rsid w:val="00810C9D"/>
    <w:rsid w:val="00815DBA"/>
    <w:rsid w:val="00817E31"/>
    <w:rsid w:val="00823948"/>
    <w:rsid w:val="00874E18"/>
    <w:rsid w:val="008824D3"/>
    <w:rsid w:val="00883D42"/>
    <w:rsid w:val="008B01EC"/>
    <w:rsid w:val="008B3AB5"/>
    <w:rsid w:val="008F137F"/>
    <w:rsid w:val="0091577B"/>
    <w:rsid w:val="0093587F"/>
    <w:rsid w:val="0094608D"/>
    <w:rsid w:val="009A1D37"/>
    <w:rsid w:val="009B7ACD"/>
    <w:rsid w:val="009C1985"/>
    <w:rsid w:val="009D16CF"/>
    <w:rsid w:val="00A0426A"/>
    <w:rsid w:val="00A06662"/>
    <w:rsid w:val="00A15E67"/>
    <w:rsid w:val="00A26125"/>
    <w:rsid w:val="00A30C6E"/>
    <w:rsid w:val="00A32DC2"/>
    <w:rsid w:val="00A40555"/>
    <w:rsid w:val="00A4347C"/>
    <w:rsid w:val="00A81ADC"/>
    <w:rsid w:val="00A82E21"/>
    <w:rsid w:val="00A91C94"/>
    <w:rsid w:val="00AB6BD8"/>
    <w:rsid w:val="00AC1753"/>
    <w:rsid w:val="00AD7517"/>
    <w:rsid w:val="00AE54AC"/>
    <w:rsid w:val="00AE7D1D"/>
    <w:rsid w:val="00AF3F65"/>
    <w:rsid w:val="00B0437F"/>
    <w:rsid w:val="00B24410"/>
    <w:rsid w:val="00B26DBF"/>
    <w:rsid w:val="00B274F4"/>
    <w:rsid w:val="00B344FB"/>
    <w:rsid w:val="00B42F65"/>
    <w:rsid w:val="00B50D61"/>
    <w:rsid w:val="00B61A51"/>
    <w:rsid w:val="00B8253D"/>
    <w:rsid w:val="00B85A17"/>
    <w:rsid w:val="00B91A1E"/>
    <w:rsid w:val="00BA1E64"/>
    <w:rsid w:val="00BB0112"/>
    <w:rsid w:val="00BB406A"/>
    <w:rsid w:val="00BB65BA"/>
    <w:rsid w:val="00BC4EA5"/>
    <w:rsid w:val="00BC626A"/>
    <w:rsid w:val="00BE3A71"/>
    <w:rsid w:val="00BE6FCE"/>
    <w:rsid w:val="00C45EF0"/>
    <w:rsid w:val="00C735B5"/>
    <w:rsid w:val="00CB50C7"/>
    <w:rsid w:val="00CD1586"/>
    <w:rsid w:val="00CD3023"/>
    <w:rsid w:val="00CE5156"/>
    <w:rsid w:val="00D03FBC"/>
    <w:rsid w:val="00D235E2"/>
    <w:rsid w:val="00D30E71"/>
    <w:rsid w:val="00D40625"/>
    <w:rsid w:val="00D62ACB"/>
    <w:rsid w:val="00D855F1"/>
    <w:rsid w:val="00DB3103"/>
    <w:rsid w:val="00DD3F03"/>
    <w:rsid w:val="00DE4BC7"/>
    <w:rsid w:val="00DE7389"/>
    <w:rsid w:val="00DE76DB"/>
    <w:rsid w:val="00DF2E6B"/>
    <w:rsid w:val="00E008B9"/>
    <w:rsid w:val="00E00F0C"/>
    <w:rsid w:val="00E05E2F"/>
    <w:rsid w:val="00E235B7"/>
    <w:rsid w:val="00E2479A"/>
    <w:rsid w:val="00E34E93"/>
    <w:rsid w:val="00E41E2C"/>
    <w:rsid w:val="00E42C52"/>
    <w:rsid w:val="00E51A09"/>
    <w:rsid w:val="00E566A0"/>
    <w:rsid w:val="00E655AE"/>
    <w:rsid w:val="00E705F6"/>
    <w:rsid w:val="00E71204"/>
    <w:rsid w:val="00E746C6"/>
    <w:rsid w:val="00E976C8"/>
    <w:rsid w:val="00E97DD1"/>
    <w:rsid w:val="00EA002A"/>
    <w:rsid w:val="00EB4145"/>
    <w:rsid w:val="00EC3B30"/>
    <w:rsid w:val="00EE65D7"/>
    <w:rsid w:val="00EF06BE"/>
    <w:rsid w:val="00EF4865"/>
    <w:rsid w:val="00F05A50"/>
    <w:rsid w:val="00F20C5E"/>
    <w:rsid w:val="00F22046"/>
    <w:rsid w:val="00F55D33"/>
    <w:rsid w:val="00F75797"/>
    <w:rsid w:val="00F807B3"/>
    <w:rsid w:val="00FA6C0C"/>
    <w:rsid w:val="00FC3F9F"/>
    <w:rsid w:val="00FD6C81"/>
    <w:rsid w:val="00FE1940"/>
    <w:rsid w:val="00FE1F65"/>
    <w:rsid w:val="00FE3AEE"/>
    <w:rsid w:val="010B74C7"/>
    <w:rsid w:val="031D2805"/>
    <w:rsid w:val="03CA1B91"/>
    <w:rsid w:val="03F50195"/>
    <w:rsid w:val="03FB27B8"/>
    <w:rsid w:val="054E5BAD"/>
    <w:rsid w:val="05B40EB2"/>
    <w:rsid w:val="05BC743B"/>
    <w:rsid w:val="07E67A96"/>
    <w:rsid w:val="099E452E"/>
    <w:rsid w:val="0A691C75"/>
    <w:rsid w:val="0AE71275"/>
    <w:rsid w:val="0AEB6F7E"/>
    <w:rsid w:val="0B5A0F76"/>
    <w:rsid w:val="0C992468"/>
    <w:rsid w:val="0CB63142"/>
    <w:rsid w:val="0D405EF6"/>
    <w:rsid w:val="0D51619A"/>
    <w:rsid w:val="0D5D7B25"/>
    <w:rsid w:val="0E1C7F94"/>
    <w:rsid w:val="0E7B0ED8"/>
    <w:rsid w:val="0E7F3965"/>
    <w:rsid w:val="0EC723DE"/>
    <w:rsid w:val="0F693C53"/>
    <w:rsid w:val="0FEE154E"/>
    <w:rsid w:val="10315F4A"/>
    <w:rsid w:val="104F1408"/>
    <w:rsid w:val="1063535F"/>
    <w:rsid w:val="109A7963"/>
    <w:rsid w:val="112D7A41"/>
    <w:rsid w:val="1313691E"/>
    <w:rsid w:val="13146996"/>
    <w:rsid w:val="13231A9D"/>
    <w:rsid w:val="13942873"/>
    <w:rsid w:val="154A722A"/>
    <w:rsid w:val="154E6384"/>
    <w:rsid w:val="15753F93"/>
    <w:rsid w:val="15BB4197"/>
    <w:rsid w:val="18262631"/>
    <w:rsid w:val="18766084"/>
    <w:rsid w:val="198C2EAF"/>
    <w:rsid w:val="19912ED3"/>
    <w:rsid w:val="19A069B7"/>
    <w:rsid w:val="19F30959"/>
    <w:rsid w:val="1AF76254"/>
    <w:rsid w:val="1BA55B01"/>
    <w:rsid w:val="1BD55819"/>
    <w:rsid w:val="1BF648A3"/>
    <w:rsid w:val="1DB46E9D"/>
    <w:rsid w:val="1E030A7E"/>
    <w:rsid w:val="1E894E9E"/>
    <w:rsid w:val="1E9C6A78"/>
    <w:rsid w:val="1F7B200F"/>
    <w:rsid w:val="20233172"/>
    <w:rsid w:val="202365CD"/>
    <w:rsid w:val="213F4B92"/>
    <w:rsid w:val="23296859"/>
    <w:rsid w:val="242D18C0"/>
    <w:rsid w:val="24371367"/>
    <w:rsid w:val="24865FF5"/>
    <w:rsid w:val="27457527"/>
    <w:rsid w:val="27473A18"/>
    <w:rsid w:val="27586F84"/>
    <w:rsid w:val="27862087"/>
    <w:rsid w:val="279D3D46"/>
    <w:rsid w:val="27AC5345"/>
    <w:rsid w:val="2863328E"/>
    <w:rsid w:val="288D56BE"/>
    <w:rsid w:val="28DE5149"/>
    <w:rsid w:val="29C50511"/>
    <w:rsid w:val="29D22542"/>
    <w:rsid w:val="2A083935"/>
    <w:rsid w:val="2A4B20AD"/>
    <w:rsid w:val="2AB17100"/>
    <w:rsid w:val="2AD86EEB"/>
    <w:rsid w:val="2BC12974"/>
    <w:rsid w:val="2BF47C9B"/>
    <w:rsid w:val="2C202CBF"/>
    <w:rsid w:val="2D1219DE"/>
    <w:rsid w:val="2DE35AE9"/>
    <w:rsid w:val="2E5403AA"/>
    <w:rsid w:val="2EB708C0"/>
    <w:rsid w:val="2F902513"/>
    <w:rsid w:val="2FAD22DF"/>
    <w:rsid w:val="2FDE71C0"/>
    <w:rsid w:val="31013E03"/>
    <w:rsid w:val="315D20E4"/>
    <w:rsid w:val="31BA73DD"/>
    <w:rsid w:val="330D2679"/>
    <w:rsid w:val="3361002D"/>
    <w:rsid w:val="344502F8"/>
    <w:rsid w:val="35FB10F7"/>
    <w:rsid w:val="362F4401"/>
    <w:rsid w:val="368404B1"/>
    <w:rsid w:val="378A7090"/>
    <w:rsid w:val="383F1E9A"/>
    <w:rsid w:val="389F6D83"/>
    <w:rsid w:val="38C8006B"/>
    <w:rsid w:val="391A3A9D"/>
    <w:rsid w:val="3920569D"/>
    <w:rsid w:val="39485581"/>
    <w:rsid w:val="39534680"/>
    <w:rsid w:val="39566F2E"/>
    <w:rsid w:val="395707B5"/>
    <w:rsid w:val="39A26038"/>
    <w:rsid w:val="39E95F5B"/>
    <w:rsid w:val="3B905C79"/>
    <w:rsid w:val="3CAE6900"/>
    <w:rsid w:val="3CB41D13"/>
    <w:rsid w:val="3D7102F6"/>
    <w:rsid w:val="3DF664CF"/>
    <w:rsid w:val="3F7B0A63"/>
    <w:rsid w:val="3FA515DE"/>
    <w:rsid w:val="3FA92162"/>
    <w:rsid w:val="3FCC487F"/>
    <w:rsid w:val="3FD15171"/>
    <w:rsid w:val="3FEE610F"/>
    <w:rsid w:val="404B1B67"/>
    <w:rsid w:val="40523E3C"/>
    <w:rsid w:val="40695B4F"/>
    <w:rsid w:val="41797C2F"/>
    <w:rsid w:val="429808AA"/>
    <w:rsid w:val="42D019CE"/>
    <w:rsid w:val="43AE5B34"/>
    <w:rsid w:val="45AF4E8D"/>
    <w:rsid w:val="45CB05CF"/>
    <w:rsid w:val="45E353FE"/>
    <w:rsid w:val="467D6756"/>
    <w:rsid w:val="472B12A1"/>
    <w:rsid w:val="474C675C"/>
    <w:rsid w:val="4766532E"/>
    <w:rsid w:val="479364B1"/>
    <w:rsid w:val="4795422E"/>
    <w:rsid w:val="47E34720"/>
    <w:rsid w:val="482323D4"/>
    <w:rsid w:val="484C3BFD"/>
    <w:rsid w:val="49124640"/>
    <w:rsid w:val="49782B75"/>
    <w:rsid w:val="4B8C6D30"/>
    <w:rsid w:val="4B9A4093"/>
    <w:rsid w:val="4BF451FD"/>
    <w:rsid w:val="4C696B9C"/>
    <w:rsid w:val="4CE85F07"/>
    <w:rsid w:val="4D553A41"/>
    <w:rsid w:val="4DF80EC7"/>
    <w:rsid w:val="4E2328CA"/>
    <w:rsid w:val="4ED95449"/>
    <w:rsid w:val="50243C0F"/>
    <w:rsid w:val="507A43BC"/>
    <w:rsid w:val="50A64CFD"/>
    <w:rsid w:val="51C86274"/>
    <w:rsid w:val="53613767"/>
    <w:rsid w:val="53B8727F"/>
    <w:rsid w:val="53E477D0"/>
    <w:rsid w:val="54AA01CE"/>
    <w:rsid w:val="54D37224"/>
    <w:rsid w:val="553E58AD"/>
    <w:rsid w:val="554975DB"/>
    <w:rsid w:val="55AB3058"/>
    <w:rsid w:val="56EC759E"/>
    <w:rsid w:val="57CF27A5"/>
    <w:rsid w:val="58D331A4"/>
    <w:rsid w:val="59D265D0"/>
    <w:rsid w:val="5A8F17F6"/>
    <w:rsid w:val="5A984947"/>
    <w:rsid w:val="5AC76742"/>
    <w:rsid w:val="5AE25D39"/>
    <w:rsid w:val="5B094F51"/>
    <w:rsid w:val="5B294C98"/>
    <w:rsid w:val="5B516428"/>
    <w:rsid w:val="5B9C4ADC"/>
    <w:rsid w:val="5BFF3408"/>
    <w:rsid w:val="5C8F2617"/>
    <w:rsid w:val="5C93363D"/>
    <w:rsid w:val="5CF27C0C"/>
    <w:rsid w:val="5D552211"/>
    <w:rsid w:val="5D720910"/>
    <w:rsid w:val="5DC91F99"/>
    <w:rsid w:val="5EB61843"/>
    <w:rsid w:val="5F7E0D4D"/>
    <w:rsid w:val="5FF4313B"/>
    <w:rsid w:val="60042D62"/>
    <w:rsid w:val="60187421"/>
    <w:rsid w:val="605E2355"/>
    <w:rsid w:val="608D6695"/>
    <w:rsid w:val="60B00059"/>
    <w:rsid w:val="60DC4795"/>
    <w:rsid w:val="61A47784"/>
    <w:rsid w:val="62074C2A"/>
    <w:rsid w:val="621E7E9C"/>
    <w:rsid w:val="6275452D"/>
    <w:rsid w:val="629E0E68"/>
    <w:rsid w:val="638568C2"/>
    <w:rsid w:val="63DE67C0"/>
    <w:rsid w:val="63E5766A"/>
    <w:rsid w:val="641539CB"/>
    <w:rsid w:val="64A04F19"/>
    <w:rsid w:val="64A400C2"/>
    <w:rsid w:val="64E91AA3"/>
    <w:rsid w:val="65100456"/>
    <w:rsid w:val="65FA24D4"/>
    <w:rsid w:val="66700A65"/>
    <w:rsid w:val="67173155"/>
    <w:rsid w:val="67BD0738"/>
    <w:rsid w:val="68087E5B"/>
    <w:rsid w:val="68BA30A2"/>
    <w:rsid w:val="691D275D"/>
    <w:rsid w:val="69641C52"/>
    <w:rsid w:val="69FA1C6E"/>
    <w:rsid w:val="6ABC595D"/>
    <w:rsid w:val="6AF354B4"/>
    <w:rsid w:val="6B905128"/>
    <w:rsid w:val="6BC2619F"/>
    <w:rsid w:val="6C305A65"/>
    <w:rsid w:val="6C65475F"/>
    <w:rsid w:val="6CFF31F0"/>
    <w:rsid w:val="6D5C5C94"/>
    <w:rsid w:val="6D7407F4"/>
    <w:rsid w:val="6DF93204"/>
    <w:rsid w:val="6E6641D0"/>
    <w:rsid w:val="6FBA5616"/>
    <w:rsid w:val="6FBA623D"/>
    <w:rsid w:val="708A27A2"/>
    <w:rsid w:val="731B7ED8"/>
    <w:rsid w:val="74C65032"/>
    <w:rsid w:val="74DD6106"/>
    <w:rsid w:val="76095D52"/>
    <w:rsid w:val="7696499D"/>
    <w:rsid w:val="7725131A"/>
    <w:rsid w:val="77623720"/>
    <w:rsid w:val="776304BD"/>
    <w:rsid w:val="77F75DD3"/>
    <w:rsid w:val="77FA4194"/>
    <w:rsid w:val="78097207"/>
    <w:rsid w:val="78B05A20"/>
    <w:rsid w:val="79963455"/>
    <w:rsid w:val="7A044631"/>
    <w:rsid w:val="7A071D1D"/>
    <w:rsid w:val="7B265EEB"/>
    <w:rsid w:val="7B422F07"/>
    <w:rsid w:val="7B681507"/>
    <w:rsid w:val="7C6E5985"/>
    <w:rsid w:val="7C7611A7"/>
    <w:rsid w:val="7CC61CB5"/>
    <w:rsid w:val="7DF001CC"/>
    <w:rsid w:val="7EBE3BAB"/>
    <w:rsid w:val="7F204575"/>
    <w:rsid w:val="7F5B4964"/>
    <w:rsid w:val="7FF02166"/>
    <w:rsid w:val="7FF4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Times New Roman" w:hAnsi="Times New Roman" w:eastAsia="仿宋" w:cstheme="minorBidi"/>
      <w:kern w:val="2"/>
      <w:sz w:val="32"/>
      <w:szCs w:val="22"/>
      <w:lang w:val="en-US" w:eastAsia="zh-CN" w:bidi="ar-SA"/>
    </w:rPr>
  </w:style>
  <w:style w:type="paragraph" w:styleId="2">
    <w:name w:val="heading 1"/>
    <w:basedOn w:val="1"/>
    <w:next w:val="1"/>
    <w:link w:val="11"/>
    <w:qFormat/>
    <w:uiPriority w:val="9"/>
    <w:pPr>
      <w:keepNext/>
      <w:keepLines/>
      <w:spacing w:line="240" w:lineRule="auto"/>
      <w:ind w:firstLine="641" w:firstLineChars="0"/>
      <w:jc w:val="center"/>
      <w:outlineLvl w:val="0"/>
    </w:pPr>
    <w:rPr>
      <w:rFonts w:ascii="华文中宋" w:hAnsi="华文中宋" w:eastAsia="华文中宋"/>
      <w:bCs/>
      <w:kern w:val="44"/>
      <w:szCs w:val="44"/>
    </w:rPr>
  </w:style>
  <w:style w:type="paragraph" w:styleId="3">
    <w:name w:val="heading 2"/>
    <w:basedOn w:val="1"/>
    <w:next w:val="1"/>
    <w:link w:val="12"/>
    <w:unhideWhenUsed/>
    <w:qFormat/>
    <w:uiPriority w:val="9"/>
    <w:pPr>
      <w:keepNext/>
      <w:keepLines/>
      <w:spacing w:before="260" w:after="260" w:line="416" w:lineRule="auto"/>
      <w:outlineLvl w:val="1"/>
    </w:pPr>
    <w:rPr>
      <w:rFonts w:asciiTheme="majorHAnsi" w:hAnsiTheme="majorHAnsi" w:eastAsiaTheme="majorEastAsia" w:cstheme="majorBidi"/>
      <w:b/>
      <w:bCs/>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pPr>
      <w:spacing w:line="240" w:lineRule="auto"/>
    </w:pPr>
    <w:rPr>
      <w:sz w:val="18"/>
      <w:szCs w:val="18"/>
    </w:rPr>
  </w:style>
  <w:style w:type="paragraph" w:styleId="5">
    <w:name w:val="footer"/>
    <w:basedOn w:val="1"/>
    <w:link w:val="15"/>
    <w:unhideWhenUsed/>
    <w:qFormat/>
    <w:uiPriority w:val="99"/>
    <w:pPr>
      <w:tabs>
        <w:tab w:val="center" w:pos="4153"/>
        <w:tab w:val="right" w:pos="8306"/>
      </w:tabs>
      <w:snapToGrid w:val="0"/>
      <w:spacing w:line="240" w:lineRule="atLeast"/>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7">
    <w:name w:val="toc 1"/>
    <w:basedOn w:val="1"/>
    <w:next w:val="1"/>
    <w:unhideWhenUsed/>
    <w:qFormat/>
    <w:uiPriority w:val="39"/>
  </w:style>
  <w:style w:type="character" w:styleId="10">
    <w:name w:val="Hyperlink"/>
    <w:basedOn w:val="9"/>
    <w:unhideWhenUsed/>
    <w:qFormat/>
    <w:uiPriority w:val="99"/>
    <w:rPr>
      <w:color w:val="0563C1" w:themeColor="hyperlink"/>
      <w:u w:val="single"/>
      <w14:textFill>
        <w14:solidFill>
          <w14:schemeClr w14:val="hlink"/>
        </w14:solidFill>
      </w14:textFill>
    </w:rPr>
  </w:style>
  <w:style w:type="character" w:customStyle="1" w:styleId="11">
    <w:name w:val="标题 1 字符"/>
    <w:basedOn w:val="9"/>
    <w:link w:val="2"/>
    <w:qFormat/>
    <w:uiPriority w:val="9"/>
    <w:rPr>
      <w:rFonts w:ascii="华文中宋" w:hAnsi="华文中宋" w:eastAsia="华文中宋"/>
      <w:bCs/>
      <w:kern w:val="44"/>
      <w:sz w:val="32"/>
      <w:szCs w:val="44"/>
    </w:rPr>
  </w:style>
  <w:style w:type="character" w:customStyle="1" w:styleId="12">
    <w:name w:val="标题 2 字符"/>
    <w:basedOn w:val="9"/>
    <w:link w:val="3"/>
    <w:qFormat/>
    <w:uiPriority w:val="9"/>
    <w:rPr>
      <w:rFonts w:asciiTheme="majorHAnsi" w:hAnsiTheme="majorHAnsi" w:eastAsiaTheme="majorEastAsia" w:cstheme="majorBidi"/>
      <w:b/>
      <w:bCs/>
      <w:sz w:val="32"/>
      <w:szCs w:val="32"/>
    </w:rPr>
  </w:style>
  <w:style w:type="paragraph" w:styleId="13">
    <w:name w:val="List Paragraph"/>
    <w:basedOn w:val="1"/>
    <w:qFormat/>
    <w:uiPriority w:val="34"/>
    <w:pPr>
      <w:ind w:firstLine="420"/>
    </w:pPr>
  </w:style>
  <w:style w:type="character" w:customStyle="1" w:styleId="14">
    <w:name w:val="页眉 字符"/>
    <w:basedOn w:val="9"/>
    <w:link w:val="6"/>
    <w:qFormat/>
    <w:uiPriority w:val="99"/>
    <w:rPr>
      <w:rFonts w:ascii="Times New Roman" w:hAnsi="Times New Roman" w:eastAsia="仿宋"/>
      <w:sz w:val="18"/>
      <w:szCs w:val="18"/>
    </w:rPr>
  </w:style>
  <w:style w:type="character" w:customStyle="1" w:styleId="15">
    <w:name w:val="页脚 字符"/>
    <w:basedOn w:val="9"/>
    <w:link w:val="5"/>
    <w:qFormat/>
    <w:uiPriority w:val="99"/>
    <w:rPr>
      <w:rFonts w:ascii="Times New Roman" w:hAnsi="Times New Roman" w:eastAsia="仿宋"/>
      <w:sz w:val="18"/>
      <w:szCs w:val="18"/>
    </w:rPr>
  </w:style>
  <w:style w:type="paragraph" w:styleId="16">
    <w:name w:val="No Spacing"/>
    <w:qFormat/>
    <w:uiPriority w:val="1"/>
    <w:pPr>
      <w:widowControl w:val="0"/>
      <w:ind w:firstLine="200" w:firstLineChars="200"/>
      <w:jc w:val="both"/>
    </w:pPr>
    <w:rPr>
      <w:rFonts w:ascii="Times New Roman" w:hAnsi="Times New Roman" w:eastAsia="仿宋" w:cstheme="minorBidi"/>
      <w:kern w:val="2"/>
      <w:sz w:val="32"/>
      <w:szCs w:val="22"/>
      <w:lang w:val="en-US" w:eastAsia="zh-CN" w:bidi="ar-SA"/>
    </w:rPr>
  </w:style>
  <w:style w:type="paragraph" w:customStyle="1" w:styleId="17">
    <w:name w:val="TOC 标题1"/>
    <w:basedOn w:val="2"/>
    <w:next w:val="1"/>
    <w:unhideWhenUsed/>
    <w:qFormat/>
    <w:uiPriority w:val="39"/>
    <w:pPr>
      <w:widowControl/>
      <w:spacing w:before="480" w:line="276" w:lineRule="auto"/>
      <w:jc w:val="left"/>
      <w:outlineLvl w:val="9"/>
    </w:pPr>
    <w:rPr>
      <w:rFonts w:asciiTheme="majorHAnsi" w:hAnsiTheme="majorHAnsi" w:eastAsiaTheme="majorEastAsia" w:cstheme="majorBidi"/>
      <w:b/>
      <w:color w:val="2F5597" w:themeColor="accent1" w:themeShade="BF"/>
      <w:kern w:val="0"/>
      <w:sz w:val="28"/>
      <w:szCs w:val="28"/>
    </w:rPr>
  </w:style>
  <w:style w:type="character" w:customStyle="1" w:styleId="18">
    <w:name w:val="批注框文本 字符"/>
    <w:basedOn w:val="9"/>
    <w:link w:val="4"/>
    <w:semiHidden/>
    <w:qFormat/>
    <w:uiPriority w:val="99"/>
    <w:rPr>
      <w:rFonts w:ascii="Times New Roman" w:hAnsi="Times New Roman" w:eastAsia="仿宋"/>
      <w:sz w:val="18"/>
      <w:szCs w:val="18"/>
    </w:rPr>
  </w:style>
  <w:style w:type="paragraph" w:customStyle="1" w:styleId="19">
    <w:name w:val="Table Paragraph"/>
    <w:basedOn w:val="1"/>
    <w:qFormat/>
    <w:uiPriority w:val="1"/>
    <w:rPr>
      <w:rFonts w:ascii="微软雅黑" w:hAnsi="微软雅黑" w:eastAsia="微软雅黑" w:cs="微软雅黑"/>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5A9E5-1B73-4177-99C7-1D2647F1AFD8}">
  <ds:schemaRefs/>
</ds:datastoreItem>
</file>

<file path=docProps/app.xml><?xml version="1.0" encoding="utf-8"?>
<Properties xmlns="http://schemas.openxmlformats.org/officeDocument/2006/extended-properties" xmlns:vt="http://schemas.openxmlformats.org/officeDocument/2006/docPropsVTypes">
  <Template>Normal</Template>
  <Pages>117</Pages>
  <Words>18534</Words>
  <Characters>18926</Characters>
  <Lines>1030</Lines>
  <Paragraphs>290</Paragraphs>
  <TotalTime>19</TotalTime>
  <ScaleCrop>false</ScaleCrop>
  <LinksUpToDate>false</LinksUpToDate>
  <CharactersWithSpaces>19131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2019-10-11T05:03:00Z</dcterms:created>
  <dc:creator>30wish</dc:creator>
  <cp:lastModifiedBy>Administrator</cp:lastModifiedBy>
  <cp:lastPrinted>2020-02-03T07:16:00Z</cp:lastPrinted>
  <dcterms:modified xsi:type="dcterms:W3CDTF">2025-08-04T08:07:53Z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eyJoZGlkIjoiNGYwM2U5YzM5YmE1YzFkNTJjYWU0ZTZiMDFlYzJkMjgifQ==</vt:lpwstr>
  </property>
  <property fmtid="{D5CDD505-2E9C-101B-9397-08002B2CF9AE}" pid="4" name="ICV">
    <vt:lpwstr>CEB640FED284420A9740CFECA9540D5C_12</vt:lpwstr>
  </property>
</Properties>
</file>