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jc w:val="center"/>
      </w:pPr>
      <w:r>
        <w:rPr>
          <w:b/>
          <w:bCs/>
        </w:rPr>
        <w:t>关于延续实施二手车经销有关增值税政策的公告</w:t>
      </w:r>
    </w:p>
    <w:p>
      <w:pPr>
        <w:pStyle w:val="2"/>
        <w:keepNext w:val="0"/>
        <w:keepLines w:val="0"/>
        <w:widowControl/>
        <w:suppressLineNumbers w:val="0"/>
        <w:jc w:val="both"/>
      </w:pPr>
      <w:r>
        <w:t>　　现就延续实施二手车经销有关增值税政策公告如下：  </w:t>
      </w:r>
    </w:p>
    <w:p>
      <w:pPr>
        <w:pStyle w:val="2"/>
        <w:keepNext w:val="0"/>
        <w:keepLines w:val="0"/>
        <w:widowControl/>
        <w:suppressLineNumbers w:val="0"/>
        <w:jc w:val="both"/>
      </w:pPr>
      <w:r>
        <w:t>　　一、对从事二手车经销的纳税人销售其收购的二手车，按照简易办法依3%征收率减按0.5%征收增值税。  </w:t>
      </w:r>
    </w:p>
    <w:p>
      <w:pPr>
        <w:pStyle w:val="2"/>
        <w:keepNext w:val="0"/>
        <w:keepLines w:val="0"/>
        <w:widowControl/>
        <w:suppressLineNumbers w:val="0"/>
        <w:jc w:val="both"/>
      </w:pPr>
      <w:r>
        <w:t>　　二、本公告所称二手车，是指从办理完注册登记手续至达到国家强制报废标准之前进行交易并转移所有权的车辆，具体范围按照国务院商务主管部门出台的二手车流通管理办法执行。  </w:t>
      </w:r>
    </w:p>
    <w:p>
      <w:pPr>
        <w:pStyle w:val="2"/>
        <w:keepNext w:val="0"/>
        <w:keepLines w:val="0"/>
        <w:widowControl/>
        <w:suppressLineNumbers w:val="0"/>
        <w:jc w:val="both"/>
      </w:pPr>
      <w:r>
        <w:t>　　三、本公告执行至2027年12月31日。  </w:t>
      </w:r>
    </w:p>
    <w:p>
      <w:pPr>
        <w:pStyle w:val="2"/>
        <w:keepNext w:val="0"/>
        <w:keepLines w:val="0"/>
        <w:widowControl/>
        <w:suppressLineNumbers w:val="0"/>
        <w:jc w:val="both"/>
      </w:pPr>
      <w:r>
        <w:t>　　特此公告。  </w:t>
      </w:r>
    </w:p>
    <w:p>
      <w:pPr>
        <w:pStyle w:val="2"/>
        <w:keepNext w:val="0"/>
        <w:keepLines w:val="0"/>
        <w:widowControl/>
        <w:suppressLineNumbers w:val="0"/>
        <w:jc w:val="both"/>
      </w:pPr>
      <w:r>
        <w:t>　　  </w:t>
      </w:r>
    </w:p>
    <w:p>
      <w:pPr>
        <w:pStyle w:val="2"/>
        <w:keepNext w:val="0"/>
        <w:keepLines w:val="0"/>
        <w:widowControl/>
        <w:suppressLineNumbers w:val="0"/>
        <w:jc w:val="right"/>
      </w:pPr>
      <w:r>
        <w:t>　　财政部  税务总局</w:t>
      </w:r>
    </w:p>
    <w:p>
      <w:pPr>
        <w:pStyle w:val="2"/>
        <w:keepNext w:val="0"/>
        <w:keepLines w:val="0"/>
        <w:widowControl/>
        <w:suppressLineNumbers w:val="0"/>
        <w:jc w:val="right"/>
      </w:pPr>
      <w:r>
        <w:t> 2023年9月22日</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I0ODNjN2Q3NmY4NmVjMGQ1MGQ4NjJmMGY1ZDlhOTEifQ=="/>
  </w:docVars>
  <w:rsids>
    <w:rsidRoot w:val="00000000"/>
    <w:rsid w:val="75E033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Office_12.1.0.15404_F1E327BC-269C-435d-A152-05C5408002CA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2023-10-25T02:01:53Z</dcterms:created>
  <dc:creator>czj</dc:creator>
  <cp:lastModifiedBy>czj</cp:lastModifiedBy>
  <dcterms:modified xsi:type="dcterms:W3CDTF">2023-10-25T02:02:07Z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2052-12.1.0.15404</vt:lpwstr>
  </property>
  <property fmtid="{D5CDD505-2E9C-101B-9397-08002B2CF9AE}" pid="3" name="ICV">
    <vt:lpwstr>FCD636A3A675488E988B13618A93A3F2_12</vt:lpwstr>
  </property>
</Properties>
</file>