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tbl>
      <w:tblPr>
        <w:tblStyle w:val="5"/>
        <w:tblW w:w="14560" w:type="dxa"/>
        <w:tblInd w:w="93" w:type="dxa"/>
        <w:tblLayout w:type="fixed"/>
        <w:tblCellMar>
          <w:top w:w="0" w:type="dxa"/>
          <w:left w:w="108" w:type="dxa"/>
          <w:bottom w:w="0" w:type="dxa"/>
          <w:right w:w="108" w:type="dxa"/>
        </w:tblCellMar>
      </w:tblPr>
      <w:tblGrid>
        <w:gridCol w:w="760"/>
        <w:gridCol w:w="1080"/>
        <w:gridCol w:w="2460"/>
        <w:gridCol w:w="1180"/>
        <w:gridCol w:w="3340"/>
        <w:gridCol w:w="2260"/>
        <w:gridCol w:w="2800"/>
        <w:gridCol w:w="680"/>
      </w:tblGrid>
      <w:tr w14:paraId="08984519">
        <w:tblPrEx>
          <w:tblCellMar>
            <w:top w:w="0" w:type="dxa"/>
            <w:left w:w="108" w:type="dxa"/>
            <w:bottom w:w="0" w:type="dxa"/>
            <w:right w:w="108" w:type="dxa"/>
          </w:tblCellMar>
        </w:tblPrEx>
        <w:trPr>
          <w:trHeight w:val="499" w:hRule="atLeast"/>
        </w:trPr>
        <w:tc>
          <w:tcPr>
            <w:tcW w:w="760" w:type="dxa"/>
            <w:tcBorders>
              <w:top w:val="nil"/>
              <w:left w:val="nil"/>
              <w:bottom w:val="nil"/>
              <w:right w:val="nil"/>
            </w:tcBorders>
            <w:shd w:val="clear" w:color="auto" w:fill="auto"/>
            <w:vAlign w:val="center"/>
          </w:tcPr>
          <w:p w14:paraId="1BEA6F9E">
            <w:pPr>
              <w:adjustRightInd/>
              <w:snapToGrid/>
              <w:spacing w:after="0"/>
              <w:rPr>
                <w:rFonts w:hint="eastAsia" w:ascii="宋体" w:hAnsi="宋体" w:eastAsia="宋体" w:cs="宋体"/>
                <w:sz w:val="18"/>
                <w:szCs w:val="18"/>
              </w:rPr>
            </w:pPr>
            <w:r>
              <w:rPr>
                <w:rFonts w:hint="eastAsia" w:ascii="宋体" w:hAnsi="宋体" w:eastAsia="宋体" w:cs="宋体"/>
                <w:sz w:val="18"/>
                <w:szCs w:val="18"/>
              </w:rPr>
              <w:t>附件4</w:t>
            </w:r>
          </w:p>
          <w:p w14:paraId="53F3BB24">
            <w:pPr>
              <w:adjustRightInd/>
              <w:snapToGrid/>
              <w:spacing w:after="0"/>
              <w:rPr>
                <w:rFonts w:ascii="宋体" w:hAnsi="宋体" w:eastAsia="宋体" w:cs="宋体"/>
                <w:sz w:val="24"/>
                <w:szCs w:val="24"/>
              </w:rPr>
            </w:pPr>
          </w:p>
        </w:tc>
        <w:tc>
          <w:tcPr>
            <w:tcW w:w="1080" w:type="dxa"/>
            <w:tcBorders>
              <w:top w:val="nil"/>
              <w:left w:val="nil"/>
              <w:bottom w:val="nil"/>
              <w:right w:val="nil"/>
            </w:tcBorders>
            <w:shd w:val="clear" w:color="auto" w:fill="auto"/>
            <w:vAlign w:val="center"/>
          </w:tcPr>
          <w:p w14:paraId="2CE5DB2C">
            <w:pPr>
              <w:adjustRightInd/>
              <w:snapToGrid/>
              <w:spacing w:after="0"/>
              <w:jc w:val="center"/>
              <w:rPr>
                <w:rFonts w:ascii="仿宋" w:hAnsi="仿宋" w:eastAsia="仿宋" w:cs="宋体"/>
                <w:sz w:val="24"/>
                <w:szCs w:val="24"/>
              </w:rPr>
            </w:pPr>
          </w:p>
        </w:tc>
        <w:tc>
          <w:tcPr>
            <w:tcW w:w="2460" w:type="dxa"/>
            <w:tcBorders>
              <w:top w:val="nil"/>
              <w:left w:val="nil"/>
              <w:bottom w:val="nil"/>
              <w:right w:val="nil"/>
            </w:tcBorders>
            <w:shd w:val="clear" w:color="auto" w:fill="auto"/>
            <w:vAlign w:val="center"/>
          </w:tcPr>
          <w:p w14:paraId="6549B6A1">
            <w:pPr>
              <w:adjustRightInd/>
              <w:snapToGrid/>
              <w:spacing w:after="0"/>
              <w:rPr>
                <w:rFonts w:ascii="仿宋" w:hAnsi="仿宋" w:eastAsia="仿宋" w:cs="宋体"/>
                <w:sz w:val="24"/>
                <w:szCs w:val="24"/>
              </w:rPr>
            </w:pPr>
          </w:p>
        </w:tc>
        <w:tc>
          <w:tcPr>
            <w:tcW w:w="1180" w:type="dxa"/>
            <w:tcBorders>
              <w:top w:val="nil"/>
              <w:left w:val="nil"/>
              <w:bottom w:val="nil"/>
              <w:right w:val="nil"/>
            </w:tcBorders>
            <w:shd w:val="clear" w:color="auto" w:fill="auto"/>
            <w:vAlign w:val="center"/>
          </w:tcPr>
          <w:p w14:paraId="003FB41F">
            <w:pPr>
              <w:adjustRightInd/>
              <w:snapToGrid/>
              <w:spacing w:after="0"/>
              <w:jc w:val="center"/>
              <w:rPr>
                <w:rFonts w:ascii="仿宋" w:hAnsi="仿宋" w:eastAsia="仿宋" w:cs="宋体"/>
                <w:sz w:val="24"/>
                <w:szCs w:val="24"/>
              </w:rPr>
            </w:pPr>
          </w:p>
        </w:tc>
        <w:tc>
          <w:tcPr>
            <w:tcW w:w="3340" w:type="dxa"/>
            <w:tcBorders>
              <w:top w:val="nil"/>
              <w:left w:val="nil"/>
              <w:bottom w:val="nil"/>
              <w:right w:val="nil"/>
            </w:tcBorders>
            <w:shd w:val="clear" w:color="auto" w:fill="auto"/>
            <w:vAlign w:val="center"/>
          </w:tcPr>
          <w:p w14:paraId="3B591933">
            <w:pPr>
              <w:adjustRightInd/>
              <w:snapToGrid/>
              <w:spacing w:after="0"/>
              <w:rPr>
                <w:rFonts w:ascii="仿宋" w:hAnsi="仿宋" w:eastAsia="仿宋" w:cs="宋体"/>
                <w:sz w:val="24"/>
                <w:szCs w:val="24"/>
              </w:rPr>
            </w:pPr>
          </w:p>
        </w:tc>
        <w:tc>
          <w:tcPr>
            <w:tcW w:w="2260" w:type="dxa"/>
            <w:tcBorders>
              <w:top w:val="nil"/>
              <w:left w:val="nil"/>
              <w:bottom w:val="nil"/>
              <w:right w:val="nil"/>
            </w:tcBorders>
            <w:shd w:val="clear" w:color="auto" w:fill="auto"/>
            <w:vAlign w:val="center"/>
          </w:tcPr>
          <w:p w14:paraId="7D499D6C">
            <w:pPr>
              <w:adjustRightInd/>
              <w:snapToGrid/>
              <w:spacing w:after="0"/>
              <w:rPr>
                <w:rFonts w:ascii="仿宋" w:hAnsi="仿宋" w:eastAsia="仿宋" w:cs="宋体"/>
                <w:sz w:val="24"/>
                <w:szCs w:val="24"/>
              </w:rPr>
            </w:pPr>
          </w:p>
        </w:tc>
        <w:tc>
          <w:tcPr>
            <w:tcW w:w="2800" w:type="dxa"/>
            <w:tcBorders>
              <w:top w:val="nil"/>
              <w:left w:val="nil"/>
              <w:bottom w:val="nil"/>
              <w:right w:val="nil"/>
            </w:tcBorders>
            <w:shd w:val="clear" w:color="auto" w:fill="auto"/>
            <w:vAlign w:val="center"/>
          </w:tcPr>
          <w:p w14:paraId="024BA360">
            <w:pPr>
              <w:adjustRightInd/>
              <w:snapToGrid/>
              <w:spacing w:after="0"/>
              <w:rPr>
                <w:rFonts w:ascii="仿宋" w:hAnsi="仿宋" w:eastAsia="仿宋" w:cs="宋体"/>
                <w:sz w:val="24"/>
                <w:szCs w:val="24"/>
              </w:rPr>
            </w:pPr>
          </w:p>
        </w:tc>
        <w:tc>
          <w:tcPr>
            <w:tcW w:w="680" w:type="dxa"/>
            <w:tcBorders>
              <w:top w:val="nil"/>
              <w:left w:val="nil"/>
              <w:bottom w:val="nil"/>
              <w:right w:val="nil"/>
            </w:tcBorders>
            <w:shd w:val="clear" w:color="auto" w:fill="auto"/>
            <w:vAlign w:val="center"/>
          </w:tcPr>
          <w:p w14:paraId="76929C28">
            <w:pPr>
              <w:adjustRightInd/>
              <w:snapToGrid/>
              <w:spacing w:after="0"/>
              <w:rPr>
                <w:rFonts w:ascii="仿宋" w:hAnsi="仿宋" w:eastAsia="仿宋" w:cs="宋体"/>
                <w:sz w:val="24"/>
                <w:szCs w:val="24"/>
              </w:rPr>
            </w:pPr>
          </w:p>
        </w:tc>
      </w:tr>
      <w:tr w14:paraId="7933B4B7">
        <w:tblPrEx>
          <w:tblCellMar>
            <w:top w:w="0" w:type="dxa"/>
            <w:left w:w="108" w:type="dxa"/>
            <w:bottom w:w="0" w:type="dxa"/>
            <w:right w:w="108" w:type="dxa"/>
          </w:tblCellMar>
        </w:tblPrEx>
        <w:trPr>
          <w:trHeight w:val="450" w:hRule="atLeast"/>
        </w:trPr>
        <w:tc>
          <w:tcPr>
            <w:tcW w:w="14560" w:type="dxa"/>
            <w:gridSpan w:val="8"/>
            <w:tcBorders>
              <w:top w:val="nil"/>
              <w:left w:val="nil"/>
              <w:bottom w:val="nil"/>
              <w:right w:val="nil"/>
            </w:tcBorders>
            <w:shd w:val="clear" w:color="auto" w:fill="auto"/>
            <w:vAlign w:val="center"/>
          </w:tcPr>
          <w:p w14:paraId="1EBE6290">
            <w:pPr>
              <w:adjustRightInd/>
              <w:snapToGrid/>
              <w:spacing w:after="0"/>
              <w:jc w:val="center"/>
              <w:rPr>
                <w:rFonts w:ascii="宋体" w:hAnsi="宋体" w:eastAsia="宋体" w:cs="宋体"/>
                <w:b/>
                <w:bCs/>
                <w:sz w:val="36"/>
                <w:szCs w:val="36"/>
              </w:rPr>
            </w:pPr>
            <w:r>
              <w:rPr>
                <w:rFonts w:hint="eastAsia" w:ascii="宋体" w:hAnsi="宋体" w:eastAsia="宋体" w:cs="宋体"/>
                <w:b/>
                <w:bCs/>
                <w:sz w:val="36"/>
                <w:szCs w:val="36"/>
                <w:lang w:eastAsia="zh-CN"/>
              </w:rPr>
              <w:t>曲阳县</w:t>
            </w:r>
            <w:r>
              <w:rPr>
                <w:rFonts w:hint="eastAsia" w:ascii="宋体" w:hAnsi="宋体" w:eastAsia="宋体" w:cs="宋体"/>
                <w:b/>
                <w:bCs/>
                <w:sz w:val="36"/>
                <w:szCs w:val="36"/>
              </w:rPr>
              <w:t>人力资源和社会保障局权责清单事项分表</w:t>
            </w:r>
          </w:p>
        </w:tc>
      </w:tr>
      <w:tr w14:paraId="2AECC29C">
        <w:tblPrEx>
          <w:tblCellMar>
            <w:top w:w="0" w:type="dxa"/>
            <w:left w:w="108" w:type="dxa"/>
            <w:bottom w:w="0" w:type="dxa"/>
            <w:right w:w="108" w:type="dxa"/>
          </w:tblCellMar>
        </w:tblPrEx>
        <w:trPr>
          <w:trHeight w:val="405" w:hRule="atLeast"/>
        </w:trPr>
        <w:tc>
          <w:tcPr>
            <w:tcW w:w="14560" w:type="dxa"/>
            <w:gridSpan w:val="8"/>
            <w:tcBorders>
              <w:top w:val="nil"/>
              <w:left w:val="nil"/>
              <w:bottom w:val="nil"/>
              <w:right w:val="nil"/>
            </w:tcBorders>
            <w:shd w:val="clear" w:color="auto" w:fill="auto"/>
            <w:vAlign w:val="center"/>
          </w:tcPr>
          <w:p w14:paraId="6C799124">
            <w:pPr>
              <w:adjustRightInd/>
              <w:snapToGrid/>
              <w:spacing w:after="0"/>
              <w:jc w:val="center"/>
              <w:rPr>
                <w:rFonts w:ascii="仿宋" w:hAnsi="仿宋" w:eastAsia="仿宋" w:cs="宋体"/>
                <w:b/>
                <w:bCs/>
                <w:sz w:val="32"/>
                <w:szCs w:val="32"/>
              </w:rPr>
            </w:pPr>
            <w:r>
              <w:rPr>
                <w:rFonts w:hint="eastAsia" w:ascii="仿宋" w:hAnsi="仿宋" w:eastAsia="仿宋" w:cs="宋体"/>
                <w:b/>
                <w:bCs/>
                <w:sz w:val="32"/>
                <w:szCs w:val="32"/>
              </w:rPr>
              <w:t>（共</w:t>
            </w:r>
            <w:r>
              <w:rPr>
                <w:rFonts w:hint="eastAsia" w:ascii="仿宋" w:hAnsi="仿宋" w:eastAsia="仿宋" w:cs="宋体"/>
                <w:b/>
                <w:bCs/>
                <w:sz w:val="32"/>
                <w:szCs w:val="32"/>
                <w:lang w:val="en-US" w:eastAsia="zh-CN"/>
              </w:rPr>
              <w:t>5</w:t>
            </w:r>
            <w:r>
              <w:rPr>
                <w:rFonts w:hint="eastAsia" w:ascii="仿宋" w:hAnsi="仿宋" w:eastAsia="仿宋" w:cs="宋体"/>
                <w:b/>
                <w:bCs/>
                <w:sz w:val="32"/>
                <w:szCs w:val="32"/>
              </w:rPr>
              <w:t>类、</w:t>
            </w:r>
            <w:r>
              <w:rPr>
                <w:rFonts w:hint="eastAsia" w:ascii="仿宋" w:hAnsi="仿宋" w:eastAsia="仿宋" w:cs="宋体"/>
                <w:b/>
                <w:bCs/>
                <w:sz w:val="32"/>
                <w:szCs w:val="32"/>
                <w:lang w:val="en-US" w:eastAsia="zh-CN"/>
              </w:rPr>
              <w:t>42</w:t>
            </w:r>
            <w:r>
              <w:rPr>
                <w:rFonts w:hint="eastAsia" w:ascii="仿宋" w:hAnsi="仿宋" w:eastAsia="仿宋" w:cs="宋体"/>
                <w:b/>
                <w:bCs/>
                <w:sz w:val="32"/>
                <w:szCs w:val="32"/>
              </w:rPr>
              <w:t>项）</w:t>
            </w:r>
          </w:p>
        </w:tc>
      </w:tr>
      <w:tr w14:paraId="4A5E9B0F">
        <w:tblPrEx>
          <w:tblCellMar>
            <w:top w:w="0" w:type="dxa"/>
            <w:left w:w="108" w:type="dxa"/>
            <w:bottom w:w="0" w:type="dxa"/>
            <w:right w:w="108" w:type="dxa"/>
          </w:tblCellMar>
        </w:tblPrEx>
        <w:trPr>
          <w:trHeight w:val="439" w:hRule="atLeast"/>
        </w:trPr>
        <w:tc>
          <w:tcPr>
            <w:tcW w:w="8820" w:type="dxa"/>
            <w:gridSpan w:val="5"/>
            <w:tcBorders>
              <w:top w:val="nil"/>
              <w:left w:val="nil"/>
              <w:bottom w:val="single" w:color="auto" w:sz="4" w:space="0"/>
              <w:right w:val="nil"/>
            </w:tcBorders>
            <w:shd w:val="clear" w:color="auto" w:fill="auto"/>
            <w:vAlign w:val="center"/>
          </w:tcPr>
          <w:p w14:paraId="1B26A01B">
            <w:pPr>
              <w:adjustRightInd/>
              <w:snapToGrid/>
              <w:spacing w:after="0"/>
              <w:rPr>
                <w:rFonts w:ascii="楷体_GB2312" w:hAnsi="楷体" w:eastAsia="楷体_GB2312" w:cs="宋体"/>
                <w:sz w:val="28"/>
                <w:szCs w:val="28"/>
              </w:rPr>
            </w:pPr>
            <w:r>
              <w:rPr>
                <w:rFonts w:hint="eastAsia" w:ascii="楷体_GB2312" w:hAnsi="楷体" w:eastAsia="楷体_GB2312" w:cs="宋体"/>
                <w:sz w:val="28"/>
                <w:szCs w:val="28"/>
              </w:rPr>
              <w:t>单位（公章）：</w:t>
            </w:r>
            <w:r>
              <w:rPr>
                <w:rFonts w:hint="eastAsia" w:ascii="楷体_GB2312" w:hAnsi="楷体" w:eastAsia="楷体_GB2312" w:cs="宋体"/>
                <w:sz w:val="28"/>
                <w:szCs w:val="28"/>
                <w:lang w:eastAsia="zh-CN"/>
              </w:rPr>
              <w:t>曲阳县</w:t>
            </w:r>
            <w:r>
              <w:rPr>
                <w:rFonts w:hint="eastAsia" w:ascii="楷体_GB2312" w:hAnsi="楷体" w:eastAsia="楷体_GB2312" w:cs="宋体"/>
                <w:sz w:val="28"/>
                <w:szCs w:val="28"/>
              </w:rPr>
              <w:t>人力资源和社会保障局</w:t>
            </w:r>
          </w:p>
        </w:tc>
        <w:tc>
          <w:tcPr>
            <w:tcW w:w="2260" w:type="dxa"/>
            <w:tcBorders>
              <w:top w:val="nil"/>
              <w:left w:val="nil"/>
              <w:bottom w:val="single" w:color="auto" w:sz="4" w:space="0"/>
              <w:right w:val="nil"/>
            </w:tcBorders>
            <w:shd w:val="clear" w:color="auto" w:fill="auto"/>
            <w:vAlign w:val="center"/>
          </w:tcPr>
          <w:p w14:paraId="70C061A3">
            <w:pPr>
              <w:adjustRightInd/>
              <w:snapToGrid/>
              <w:spacing w:after="0"/>
              <w:rPr>
                <w:rFonts w:ascii="仿宋" w:hAnsi="仿宋" w:eastAsia="仿宋" w:cs="宋体"/>
                <w:sz w:val="24"/>
                <w:szCs w:val="24"/>
              </w:rPr>
            </w:pPr>
          </w:p>
        </w:tc>
        <w:tc>
          <w:tcPr>
            <w:tcW w:w="2800" w:type="dxa"/>
            <w:tcBorders>
              <w:top w:val="nil"/>
              <w:left w:val="nil"/>
              <w:bottom w:val="single" w:color="auto" w:sz="4" w:space="0"/>
              <w:right w:val="nil"/>
            </w:tcBorders>
            <w:shd w:val="clear" w:color="auto" w:fill="auto"/>
            <w:vAlign w:val="center"/>
          </w:tcPr>
          <w:p w14:paraId="0115E1BB">
            <w:pPr>
              <w:adjustRightInd/>
              <w:snapToGrid/>
              <w:spacing w:after="0"/>
              <w:rPr>
                <w:rFonts w:ascii="仿宋" w:hAnsi="仿宋" w:eastAsia="仿宋" w:cs="宋体"/>
                <w:sz w:val="24"/>
                <w:szCs w:val="24"/>
              </w:rPr>
            </w:pPr>
          </w:p>
        </w:tc>
        <w:tc>
          <w:tcPr>
            <w:tcW w:w="680" w:type="dxa"/>
            <w:tcBorders>
              <w:top w:val="nil"/>
              <w:left w:val="nil"/>
              <w:bottom w:val="single" w:color="auto" w:sz="4" w:space="0"/>
              <w:right w:val="nil"/>
            </w:tcBorders>
            <w:shd w:val="clear" w:color="auto" w:fill="auto"/>
            <w:vAlign w:val="center"/>
          </w:tcPr>
          <w:p w14:paraId="02B4AA45">
            <w:pPr>
              <w:adjustRightInd/>
              <w:snapToGrid/>
              <w:spacing w:after="0"/>
              <w:rPr>
                <w:rFonts w:ascii="仿宋" w:hAnsi="仿宋" w:eastAsia="仿宋" w:cs="宋体"/>
                <w:sz w:val="24"/>
                <w:szCs w:val="24"/>
              </w:rPr>
            </w:pPr>
          </w:p>
        </w:tc>
      </w:tr>
      <w:tr w14:paraId="04BBBC6C">
        <w:tblPrEx>
          <w:tblCellMar>
            <w:top w:w="0" w:type="dxa"/>
            <w:left w:w="108" w:type="dxa"/>
            <w:bottom w:w="0" w:type="dxa"/>
            <w:right w:w="108" w:type="dxa"/>
          </w:tblCellMar>
        </w:tblPrEx>
        <w:trPr>
          <w:trHeight w:val="720"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14A50489">
            <w:pPr>
              <w:adjustRightInd/>
              <w:snapToGrid/>
              <w:spacing w:after="0"/>
              <w:jc w:val="center"/>
              <w:rPr>
                <w:rFonts w:ascii="黑体" w:hAnsi="黑体" w:eastAsia="黑体" w:cs="宋体"/>
                <w:sz w:val="24"/>
                <w:szCs w:val="24"/>
              </w:rPr>
            </w:pPr>
            <w:r>
              <w:rPr>
                <w:rFonts w:hint="eastAsia" w:ascii="黑体" w:hAnsi="黑体" w:eastAsia="黑体" w:cs="宋体"/>
                <w:sz w:val="24"/>
                <w:szCs w:val="24"/>
              </w:rPr>
              <w:t>序号</w:t>
            </w:r>
          </w:p>
        </w:tc>
        <w:tc>
          <w:tcPr>
            <w:tcW w:w="1080" w:type="dxa"/>
            <w:tcBorders>
              <w:top w:val="single" w:color="auto" w:sz="4" w:space="0"/>
              <w:left w:val="nil"/>
              <w:bottom w:val="single" w:color="auto" w:sz="4" w:space="0"/>
              <w:right w:val="single" w:color="auto" w:sz="4" w:space="0"/>
            </w:tcBorders>
            <w:shd w:val="clear" w:color="auto" w:fill="auto"/>
            <w:vAlign w:val="center"/>
          </w:tcPr>
          <w:p w14:paraId="7DDD8E83">
            <w:pPr>
              <w:adjustRightInd/>
              <w:snapToGrid/>
              <w:spacing w:after="0"/>
              <w:jc w:val="center"/>
              <w:rPr>
                <w:rFonts w:ascii="黑体" w:hAnsi="黑体" w:eastAsia="黑体" w:cs="宋体"/>
                <w:sz w:val="24"/>
                <w:szCs w:val="24"/>
              </w:rPr>
            </w:pPr>
            <w:r>
              <w:rPr>
                <w:rFonts w:hint="eastAsia" w:ascii="黑体" w:hAnsi="黑体" w:eastAsia="黑体" w:cs="宋体"/>
                <w:sz w:val="24"/>
                <w:szCs w:val="24"/>
              </w:rPr>
              <w:t>权力类型</w:t>
            </w:r>
          </w:p>
        </w:tc>
        <w:tc>
          <w:tcPr>
            <w:tcW w:w="2460" w:type="dxa"/>
            <w:tcBorders>
              <w:top w:val="single" w:color="auto" w:sz="4" w:space="0"/>
              <w:left w:val="nil"/>
              <w:bottom w:val="single" w:color="auto" w:sz="4" w:space="0"/>
              <w:right w:val="single" w:color="auto" w:sz="4" w:space="0"/>
            </w:tcBorders>
            <w:shd w:val="clear" w:color="auto" w:fill="auto"/>
            <w:vAlign w:val="center"/>
          </w:tcPr>
          <w:p w14:paraId="0F93D688">
            <w:pPr>
              <w:adjustRightInd/>
              <w:snapToGrid/>
              <w:spacing w:after="0"/>
              <w:jc w:val="center"/>
              <w:rPr>
                <w:rFonts w:ascii="黑体" w:hAnsi="黑体" w:eastAsia="黑体" w:cs="宋体"/>
                <w:sz w:val="24"/>
                <w:szCs w:val="24"/>
              </w:rPr>
            </w:pPr>
            <w:r>
              <w:rPr>
                <w:rFonts w:hint="eastAsia" w:ascii="黑体" w:hAnsi="黑体" w:eastAsia="黑体" w:cs="宋体"/>
                <w:sz w:val="24"/>
                <w:szCs w:val="24"/>
              </w:rPr>
              <w:t>权力事项名称</w:t>
            </w:r>
          </w:p>
        </w:tc>
        <w:tc>
          <w:tcPr>
            <w:tcW w:w="1180" w:type="dxa"/>
            <w:tcBorders>
              <w:top w:val="single" w:color="auto" w:sz="4" w:space="0"/>
              <w:left w:val="nil"/>
              <w:bottom w:val="single" w:color="auto" w:sz="4" w:space="0"/>
              <w:right w:val="single" w:color="auto" w:sz="4" w:space="0"/>
            </w:tcBorders>
            <w:shd w:val="clear" w:color="auto" w:fill="auto"/>
            <w:vAlign w:val="center"/>
          </w:tcPr>
          <w:p w14:paraId="5E6D54D2">
            <w:pPr>
              <w:adjustRightInd/>
              <w:snapToGrid/>
              <w:spacing w:after="0"/>
              <w:jc w:val="center"/>
              <w:rPr>
                <w:rFonts w:ascii="黑体" w:hAnsi="黑体" w:eastAsia="黑体" w:cs="宋体"/>
                <w:sz w:val="24"/>
                <w:szCs w:val="24"/>
              </w:rPr>
            </w:pPr>
            <w:r>
              <w:rPr>
                <w:rFonts w:hint="eastAsia" w:ascii="黑体" w:hAnsi="黑体" w:eastAsia="黑体" w:cs="宋体"/>
                <w:sz w:val="24"/>
                <w:szCs w:val="24"/>
              </w:rPr>
              <w:t>行政主体</w:t>
            </w:r>
          </w:p>
        </w:tc>
        <w:tc>
          <w:tcPr>
            <w:tcW w:w="3340" w:type="dxa"/>
            <w:tcBorders>
              <w:top w:val="single" w:color="auto" w:sz="4" w:space="0"/>
              <w:left w:val="nil"/>
              <w:bottom w:val="single" w:color="auto" w:sz="4" w:space="0"/>
              <w:right w:val="single" w:color="auto" w:sz="4" w:space="0"/>
            </w:tcBorders>
            <w:shd w:val="clear" w:color="auto" w:fill="auto"/>
            <w:vAlign w:val="center"/>
          </w:tcPr>
          <w:p w14:paraId="39A0B809">
            <w:pPr>
              <w:adjustRightInd/>
              <w:snapToGrid/>
              <w:spacing w:after="0"/>
              <w:jc w:val="center"/>
              <w:rPr>
                <w:rFonts w:ascii="黑体" w:hAnsi="黑体" w:eastAsia="黑体" w:cs="宋体"/>
                <w:sz w:val="24"/>
                <w:szCs w:val="24"/>
              </w:rPr>
            </w:pPr>
            <w:r>
              <w:rPr>
                <w:rFonts w:hint="eastAsia" w:ascii="黑体" w:hAnsi="黑体" w:eastAsia="黑体" w:cs="宋体"/>
                <w:sz w:val="24"/>
                <w:szCs w:val="24"/>
              </w:rPr>
              <w:t>实施依据</w:t>
            </w:r>
          </w:p>
        </w:tc>
        <w:tc>
          <w:tcPr>
            <w:tcW w:w="2260" w:type="dxa"/>
            <w:tcBorders>
              <w:top w:val="single" w:color="auto" w:sz="4" w:space="0"/>
              <w:left w:val="nil"/>
              <w:bottom w:val="single" w:color="auto" w:sz="4" w:space="0"/>
              <w:right w:val="single" w:color="auto" w:sz="4" w:space="0"/>
            </w:tcBorders>
            <w:shd w:val="clear" w:color="auto" w:fill="auto"/>
            <w:vAlign w:val="center"/>
          </w:tcPr>
          <w:p w14:paraId="1BDF2F7B">
            <w:pPr>
              <w:adjustRightInd/>
              <w:snapToGrid/>
              <w:spacing w:after="0"/>
              <w:jc w:val="center"/>
              <w:rPr>
                <w:rFonts w:ascii="黑体" w:hAnsi="黑体" w:eastAsia="黑体" w:cs="宋体"/>
                <w:sz w:val="24"/>
                <w:szCs w:val="24"/>
              </w:rPr>
            </w:pPr>
            <w:r>
              <w:rPr>
                <w:rFonts w:hint="eastAsia" w:ascii="黑体" w:hAnsi="黑体" w:eastAsia="黑体" w:cs="宋体"/>
                <w:sz w:val="24"/>
                <w:szCs w:val="24"/>
              </w:rPr>
              <w:t>责任事项</w:t>
            </w:r>
          </w:p>
        </w:tc>
        <w:tc>
          <w:tcPr>
            <w:tcW w:w="2800" w:type="dxa"/>
            <w:tcBorders>
              <w:top w:val="single" w:color="auto" w:sz="4" w:space="0"/>
              <w:left w:val="nil"/>
              <w:bottom w:val="single" w:color="auto" w:sz="4" w:space="0"/>
              <w:right w:val="single" w:color="auto" w:sz="4" w:space="0"/>
            </w:tcBorders>
            <w:shd w:val="clear" w:color="auto" w:fill="auto"/>
            <w:vAlign w:val="center"/>
          </w:tcPr>
          <w:p w14:paraId="29E5D69D">
            <w:pPr>
              <w:adjustRightInd/>
              <w:snapToGrid/>
              <w:spacing w:after="0"/>
              <w:jc w:val="center"/>
              <w:rPr>
                <w:rFonts w:ascii="黑体" w:hAnsi="黑体" w:eastAsia="黑体" w:cs="宋体"/>
                <w:sz w:val="24"/>
                <w:szCs w:val="24"/>
              </w:rPr>
            </w:pPr>
            <w:r>
              <w:rPr>
                <w:rFonts w:hint="eastAsia" w:ascii="黑体" w:hAnsi="黑体" w:eastAsia="黑体" w:cs="宋体"/>
                <w:sz w:val="24"/>
                <w:szCs w:val="24"/>
              </w:rPr>
              <w:t>追责情形</w:t>
            </w:r>
          </w:p>
        </w:tc>
        <w:tc>
          <w:tcPr>
            <w:tcW w:w="680" w:type="dxa"/>
            <w:tcBorders>
              <w:top w:val="single" w:color="auto" w:sz="4" w:space="0"/>
              <w:left w:val="nil"/>
              <w:bottom w:val="single" w:color="auto" w:sz="4" w:space="0"/>
              <w:right w:val="single" w:color="auto" w:sz="4" w:space="0"/>
            </w:tcBorders>
            <w:shd w:val="clear" w:color="auto" w:fill="auto"/>
            <w:vAlign w:val="center"/>
          </w:tcPr>
          <w:p w14:paraId="2F604BC4">
            <w:pPr>
              <w:adjustRightInd/>
              <w:snapToGrid/>
              <w:spacing w:after="0"/>
              <w:jc w:val="center"/>
              <w:rPr>
                <w:rFonts w:ascii="黑体" w:hAnsi="黑体" w:eastAsia="黑体" w:cs="宋体"/>
                <w:sz w:val="24"/>
                <w:szCs w:val="24"/>
              </w:rPr>
            </w:pPr>
            <w:r>
              <w:rPr>
                <w:rFonts w:hint="eastAsia" w:ascii="黑体" w:hAnsi="黑体" w:eastAsia="黑体" w:cs="宋体"/>
                <w:sz w:val="24"/>
                <w:szCs w:val="24"/>
              </w:rPr>
              <w:t>备注</w:t>
            </w:r>
          </w:p>
        </w:tc>
      </w:tr>
      <w:tr w14:paraId="440FCBAF">
        <w:tblPrEx>
          <w:tblCellMar>
            <w:top w:w="0" w:type="dxa"/>
            <w:left w:w="108" w:type="dxa"/>
            <w:bottom w:w="0" w:type="dxa"/>
            <w:right w:w="108" w:type="dxa"/>
          </w:tblCellMar>
        </w:tblPrEx>
        <w:trPr>
          <w:trHeight w:val="848"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501573BF">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w:t>
            </w:r>
          </w:p>
        </w:tc>
        <w:tc>
          <w:tcPr>
            <w:tcW w:w="1080" w:type="dxa"/>
            <w:tcBorders>
              <w:top w:val="single" w:color="auto" w:sz="4" w:space="0"/>
              <w:left w:val="nil"/>
              <w:bottom w:val="single" w:color="auto" w:sz="4" w:space="0"/>
              <w:right w:val="single" w:color="auto" w:sz="4" w:space="0"/>
            </w:tcBorders>
            <w:shd w:val="clear" w:color="auto" w:fill="auto"/>
            <w:vAlign w:val="center"/>
          </w:tcPr>
          <w:p w14:paraId="7ED60E85">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5335283F">
            <w:pPr>
              <w:adjustRightInd/>
              <w:snapToGrid/>
              <w:spacing w:after="0" w:line="240" w:lineRule="exact"/>
              <w:jc w:val="both"/>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对以担保或者其他名义向劳动者收取财物的处罚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5AAA5951">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77E0FE81">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highlight w:val="none"/>
                <w:lang w:eastAsia="zh-CN"/>
              </w:rPr>
              <w:t>《中华人民共和国劳动合同法》</w:t>
            </w:r>
            <w:r>
              <w:rPr>
                <w:rFonts w:hint="eastAsia" w:cs="宋体" w:asciiTheme="minorEastAsia" w:hAnsiTheme="minorEastAsia" w:eastAsiaTheme="minorEastAsia"/>
                <w:sz w:val="18"/>
                <w:szCs w:val="18"/>
              </w:rPr>
              <w:t>（2012年12月28日主席令第73号）第八十四条第二款 用人单位违反本法规定，以担保或者其他名义向劳动者收取财物的，由劳动行政部门责令限期退还劳动者本人，并以每人五百元以上</w:t>
            </w:r>
            <w:r>
              <w:rPr>
                <w:rFonts w:hint="eastAsia" w:cs="宋体" w:asciiTheme="minorEastAsia" w:hAnsiTheme="minorEastAsia" w:eastAsiaTheme="minorEastAsia"/>
                <w:sz w:val="18"/>
                <w:szCs w:val="18"/>
                <w:highlight w:val="none"/>
              </w:rPr>
              <w:t>二千</w:t>
            </w:r>
            <w:r>
              <w:rPr>
                <w:rFonts w:hint="eastAsia" w:cs="宋体" w:asciiTheme="minorEastAsia" w:hAnsiTheme="minorEastAsia" w:eastAsiaTheme="minorEastAsia"/>
                <w:sz w:val="18"/>
                <w:szCs w:val="18"/>
              </w:rPr>
              <w:t>元以下的标准处以罚款；给劳动者造成损害的，应当承担赔偿责任。</w:t>
            </w:r>
          </w:p>
        </w:tc>
        <w:tc>
          <w:tcPr>
            <w:tcW w:w="2260" w:type="dxa"/>
            <w:tcBorders>
              <w:top w:val="single" w:color="auto" w:sz="4" w:space="0"/>
              <w:left w:val="nil"/>
              <w:bottom w:val="single" w:color="auto" w:sz="4" w:space="0"/>
              <w:right w:val="single" w:color="auto" w:sz="4" w:space="0"/>
            </w:tcBorders>
            <w:shd w:val="clear" w:color="auto" w:fill="auto"/>
            <w:vAlign w:val="center"/>
          </w:tcPr>
          <w:p w14:paraId="2E5DA348">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p>
          <w:p w14:paraId="74B7C671">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调查应当自立案之日起60个工作日内完成，对情况复杂的，经劳动保障行政部门负责人批准，可以延长30个工作日。</w:t>
            </w:r>
          </w:p>
          <w:p w14:paraId="61D928E9">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3、审查责任：审理案件调查报告，对案件违法事实、证据、调查取证程序、法律适用、处罚种类和幅度、当事人陈述和申辩理由等方面进行审查，提出处理意见（主要证据不足时，以适当的方式补充调查）。</w:t>
            </w:r>
          </w:p>
          <w:p w14:paraId="3DA76FFC">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决定前应当制作《劳动保障监察行政处罚事先告知书》送达当事人，告知违法事实及其享有的陈述、申辩等权利。符合听证规定的，制作并送达《劳动保障监察行政处罚听证告知书》。</w:t>
            </w:r>
          </w:p>
          <w:p w14:paraId="3F503E5E">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p>
          <w:p w14:paraId="145027F4">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p>
          <w:p w14:paraId="3639D108">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p>
          <w:p w14:paraId="6BB8180A">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8、其他法律法规规章文件规定应履行的责任。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705E878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257B125B">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0F0333B4">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46A61911">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54F5E8E4">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62CF649A">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6C4D3855">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05651FCD">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0D58866B">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0A4A454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3497FC9A">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7B8FF922">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747F7564">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0C0FB2F4">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06C9DB57">
            <w:pPr>
              <w:adjustRightInd/>
              <w:snapToGrid/>
              <w:spacing w:after="0" w:line="240" w:lineRule="exact"/>
              <w:jc w:val="center"/>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val="en-US" w:eastAsia="zh-CN"/>
              </w:rPr>
              <w:t>2</w:t>
            </w:r>
          </w:p>
        </w:tc>
        <w:tc>
          <w:tcPr>
            <w:tcW w:w="1080" w:type="dxa"/>
            <w:tcBorders>
              <w:top w:val="single" w:color="auto" w:sz="4" w:space="0"/>
              <w:left w:val="nil"/>
              <w:bottom w:val="single" w:color="auto" w:sz="4" w:space="0"/>
              <w:right w:val="single" w:color="auto" w:sz="4" w:space="0"/>
            </w:tcBorders>
            <w:shd w:val="clear" w:color="auto" w:fill="auto"/>
            <w:vAlign w:val="center"/>
          </w:tcPr>
          <w:p w14:paraId="17697FBC">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3606595C">
            <w:pPr>
              <w:adjustRightInd/>
              <w:snapToGrid/>
              <w:spacing w:after="0" w:line="240" w:lineRule="exact"/>
              <w:jc w:val="both"/>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对不办理社会保险登记的，逾期不改正的处罚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04535390">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5B03954F">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《中华人民共和国社会保险法》</w:t>
            </w:r>
            <w:r>
              <w:rPr>
                <w:rFonts w:hint="eastAsia" w:cs="宋体" w:asciiTheme="minorEastAsia" w:hAnsiTheme="minorEastAsia" w:eastAsiaTheme="minorEastAsia"/>
                <w:sz w:val="18"/>
                <w:szCs w:val="18"/>
              </w:rPr>
              <w:t>（2010年10月28日主席令第35号）第八十四条 用人单位不办理社会保险登记的，由社会保险行政部门责令限期改正；逾期不改正的，对用人单位处应缴社会保险费数额一倍以上三倍以下的罚款，对其直接负责的主管人员和其他直接责任人员处五百元以上三千元以下的罚款。</w:t>
            </w:r>
          </w:p>
        </w:tc>
        <w:tc>
          <w:tcPr>
            <w:tcW w:w="2260" w:type="dxa"/>
            <w:tcBorders>
              <w:top w:val="single" w:color="auto" w:sz="4" w:space="0"/>
              <w:left w:val="nil"/>
              <w:bottom w:val="single" w:color="auto" w:sz="4" w:space="0"/>
              <w:right w:val="single" w:color="auto" w:sz="4" w:space="0"/>
            </w:tcBorders>
            <w:shd w:val="clear" w:color="auto" w:fill="auto"/>
            <w:vAlign w:val="center"/>
          </w:tcPr>
          <w:p w14:paraId="55667DEA">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投诉、举报的需要投诉者提投诉书或举报书并填写举报投诉登记表。日常巡查中发现的问题需填写现场调查记录。</w:t>
            </w:r>
          </w:p>
          <w:p w14:paraId="5989B258">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针对具体违法行为依法调查取证，制作询问笔录，查阅、复印、录制相关资料，完成调查取证后，提交调查终结报告和意见，并填写案件处理审批表。对违法事实清楚的行为下达《劳动保障限期改正通知书》并制作《劳动保障监察送达回证》；对要求被检查单位提供相关材料的，下达《劳动保障监察询问通知书》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调查应当自立案之日起60个工作日内完成，对情况复杂的，经劳动保障行政部门负责人批准，可以延长30个工作日。</w:t>
            </w:r>
          </w:p>
          <w:p w14:paraId="49BC1F4F">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，对违法事实轻微，且已在期限内改正的，经集体讨论，劳动保障监察机构负责人审批通过后可以撤销立案。</w:t>
            </w:r>
            <w:r>
              <w:rPr>
                <w:rFonts w:hint="eastAsia" w:cs="宋体" w:asciiTheme="minorEastAsia" w:hAnsiTheme="minorEastAsia" w:eastAsiaTheme="minorEastAsia"/>
                <w:color w:val="000000" w:themeColor="text1"/>
                <w:sz w:val="18"/>
                <w:szCs w:val="18"/>
                <w14:textFill>
                  <w14:solidFill>
                    <w14:schemeClr w14:val="tx1"/>
                  </w14:solidFill>
                </w14:textFill>
              </w:rPr>
              <w:t>（主要证据不足时，以适当的方式补充调查）。</w:t>
            </w:r>
          </w:p>
          <w:p w14:paraId="480C63C7">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告知违法事实及其享有的陈述、申辩等权利。符合听证规定的，制作并送达《劳动保障监察行政处罚听证告知书》</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058B6EC4">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565D2040">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（包括：直接送达、张贴送达、邮寄送达）</w:t>
            </w:r>
          </w:p>
          <w:p w14:paraId="03C2C915">
            <w:pPr>
              <w:adjustRightInd/>
              <w:snapToGrid/>
              <w:spacing w:after="0" w:line="240" w:lineRule="exact"/>
              <w:rPr>
                <w:rFonts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，执行收支两条线制度，罚款上交国库</w:t>
            </w:r>
            <w:r>
              <w:rPr>
                <w:rFonts w:hint="eastAsia" w:cs="宋体" w:asciiTheme="minorEastAsia" w:hAnsiTheme="minorEastAsia" w:eastAsiaTheme="minorEastAsia"/>
                <w:color w:val="000000" w:themeColor="text1"/>
                <w:sz w:val="18"/>
                <w:szCs w:val="18"/>
                <w14:textFill>
                  <w14:solidFill>
                    <w14:schemeClr w14:val="tx1"/>
                  </w14:solidFill>
                </w14:textFill>
              </w:rPr>
              <w:t>。</w:t>
            </w:r>
          </w:p>
        </w:tc>
        <w:tc>
          <w:tcPr>
            <w:tcW w:w="2800" w:type="dxa"/>
            <w:tcBorders>
              <w:top w:val="single" w:color="auto" w:sz="4" w:space="0"/>
              <w:left w:val="nil"/>
              <w:bottom w:val="single" w:color="auto" w:sz="4" w:space="0"/>
              <w:right w:val="single" w:color="auto" w:sz="4" w:space="0"/>
            </w:tcBorders>
            <w:shd w:val="clear" w:color="auto" w:fill="auto"/>
            <w:vAlign w:val="center"/>
          </w:tcPr>
          <w:p w14:paraId="3BB29AD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7A0BE0B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1AEC95D0">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1D15BF63">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20332016">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01EE5277">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64906567">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44D6649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5C44BC7A">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607B3485">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62706144">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6CA3F4C8">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5B9C27FB">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0B290C80">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4DBAE4F0">
            <w:pPr>
              <w:adjustRightInd/>
              <w:snapToGrid/>
              <w:spacing w:after="0" w:line="240" w:lineRule="exact"/>
              <w:jc w:val="center"/>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val="en-US" w:eastAsia="zh-CN"/>
              </w:rPr>
              <w:t>3</w:t>
            </w:r>
          </w:p>
        </w:tc>
        <w:tc>
          <w:tcPr>
            <w:tcW w:w="1080" w:type="dxa"/>
            <w:tcBorders>
              <w:top w:val="single" w:color="auto" w:sz="4" w:space="0"/>
              <w:left w:val="nil"/>
              <w:bottom w:val="single" w:color="auto" w:sz="4" w:space="0"/>
              <w:right w:val="single" w:color="auto" w:sz="4" w:space="0"/>
            </w:tcBorders>
            <w:shd w:val="clear" w:color="auto" w:fill="auto"/>
            <w:vAlign w:val="center"/>
          </w:tcPr>
          <w:p w14:paraId="709B56BC">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3A628EAF">
            <w:pPr>
              <w:adjustRightInd/>
              <w:snapToGrid/>
              <w:spacing w:after="0" w:line="240" w:lineRule="exact"/>
              <w:jc w:val="both"/>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对未经许可和登记，擅自从事职业中介活动的处罚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6DEE9DE6">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395ED42C">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《中华人民共和国就业促进法》</w:t>
            </w:r>
            <w:r>
              <w:rPr>
                <w:rFonts w:hint="eastAsia" w:cs="宋体" w:asciiTheme="minorEastAsia" w:hAnsiTheme="minorEastAsia" w:eastAsiaTheme="minorEastAsia"/>
                <w:sz w:val="18"/>
                <w:szCs w:val="18"/>
              </w:rPr>
              <w:t>（2007年8月30日主席令第70号）第六十四条 违反本法规定，未经许可和登记，擅自从事职业中介活动的，由劳动行政部门或者其他主管部门依法予以关闭；有违法所得的，没收违法所得，并处一万元以上五万元以下的罚款。</w:t>
            </w:r>
          </w:p>
        </w:tc>
        <w:tc>
          <w:tcPr>
            <w:tcW w:w="2260" w:type="dxa"/>
            <w:tcBorders>
              <w:top w:val="single" w:color="auto" w:sz="4" w:space="0"/>
              <w:left w:val="nil"/>
              <w:bottom w:val="single" w:color="auto" w:sz="4" w:space="0"/>
              <w:right w:val="single" w:color="auto" w:sz="4" w:space="0"/>
            </w:tcBorders>
            <w:shd w:val="clear" w:color="auto" w:fill="auto"/>
            <w:vAlign w:val="center"/>
          </w:tcPr>
          <w:p w14:paraId="12308E1A">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投诉、举报的需要投诉者提投诉书或举报书并填写举报投诉登记表。日常巡查中发现的问题需填写现场调查记录。</w:t>
            </w:r>
          </w:p>
          <w:p w14:paraId="7DC121B9">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针对具体违法行为依法调查取证，制作询问笔录，查阅、复印、录制相关资料，完成调查取证后，提交调查终结报告和意见，并填写案件处理审批表。对违法事实清楚的行为下达《劳动保障限期改正通知书》并制作《劳动保障监察送达回证》；对要求被检查单位提供相关材料的，下达《劳动保障监察询问通知书》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调查应当自立案之日起60个工作日内完成，对情况复杂的，经劳动保障行政部门负责人批准，可以延长30个工作日。</w:t>
            </w:r>
          </w:p>
          <w:p w14:paraId="04BF8133">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，对违法事实轻微，且已在期限内改正的，经集体讨论，劳动保障监察机构负责人审批通过后可以撤销立案。</w:t>
            </w:r>
            <w:r>
              <w:rPr>
                <w:rFonts w:hint="eastAsia" w:cs="宋体" w:asciiTheme="minorEastAsia" w:hAnsiTheme="minorEastAsia" w:eastAsiaTheme="minorEastAsia"/>
                <w:color w:val="000000" w:themeColor="text1"/>
                <w:sz w:val="18"/>
                <w:szCs w:val="18"/>
                <w14:textFill>
                  <w14:solidFill>
                    <w14:schemeClr w14:val="tx1"/>
                  </w14:solidFill>
                </w14:textFill>
              </w:rPr>
              <w:t>（主要证据不足时，以适当的方式补充调查）。</w:t>
            </w:r>
          </w:p>
          <w:p w14:paraId="15A89256">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告知违法事实及其享有的陈述、申辩等权利。符合听证规定的，制作并送达《劳动保障监察行政处罚听证告知书》</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768160E6">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5FA51AEC">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（包括：直接送达、张贴送达、邮寄送达）</w:t>
            </w:r>
          </w:p>
          <w:p w14:paraId="02DC4D9D">
            <w:pPr>
              <w:adjustRightInd/>
              <w:snapToGrid/>
              <w:spacing w:after="0" w:line="240" w:lineRule="exact"/>
              <w:rPr>
                <w:rFonts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，执行收支两条线制度，罚款上交国库</w:t>
            </w:r>
            <w:r>
              <w:rPr>
                <w:rFonts w:hint="eastAsia" w:cs="宋体" w:asciiTheme="minorEastAsia" w:hAnsiTheme="minorEastAsia" w:eastAsiaTheme="minorEastAsia"/>
                <w:color w:val="000000" w:themeColor="text1"/>
                <w:sz w:val="18"/>
                <w:szCs w:val="18"/>
                <w14:textFill>
                  <w14:solidFill>
                    <w14:schemeClr w14:val="tx1"/>
                  </w14:solidFill>
                </w14:textFill>
              </w:rPr>
              <w:t>。</w:t>
            </w:r>
          </w:p>
        </w:tc>
        <w:tc>
          <w:tcPr>
            <w:tcW w:w="2800" w:type="dxa"/>
            <w:tcBorders>
              <w:top w:val="single" w:color="auto" w:sz="4" w:space="0"/>
              <w:left w:val="nil"/>
              <w:bottom w:val="single" w:color="auto" w:sz="4" w:space="0"/>
              <w:right w:val="single" w:color="auto" w:sz="4" w:space="0"/>
            </w:tcBorders>
            <w:shd w:val="clear" w:color="auto" w:fill="auto"/>
            <w:vAlign w:val="center"/>
          </w:tcPr>
          <w:p w14:paraId="1058B1B6">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0AEC7C33">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042EE4EB">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0139EA9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6B3B1FDF">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2920B11D">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1AB721BF">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4084EC56">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4FADFF02">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15BFC115">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115A9BE7">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57482F42">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2ECC8209">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0A381E99">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6A5673DB">
            <w:pPr>
              <w:adjustRightInd/>
              <w:snapToGrid/>
              <w:spacing w:after="0" w:line="240" w:lineRule="exact"/>
              <w:jc w:val="center"/>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val="en-US" w:eastAsia="zh-CN"/>
              </w:rPr>
              <w:t>4</w:t>
            </w:r>
          </w:p>
        </w:tc>
        <w:tc>
          <w:tcPr>
            <w:tcW w:w="1080" w:type="dxa"/>
            <w:tcBorders>
              <w:top w:val="single" w:color="auto" w:sz="4" w:space="0"/>
              <w:left w:val="nil"/>
              <w:bottom w:val="single" w:color="auto" w:sz="4" w:space="0"/>
              <w:right w:val="single" w:color="auto" w:sz="4" w:space="0"/>
            </w:tcBorders>
            <w:shd w:val="clear" w:color="auto" w:fill="auto"/>
            <w:vAlign w:val="center"/>
          </w:tcPr>
          <w:p w14:paraId="3BDE3B32">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12F0F7FA">
            <w:pPr>
              <w:adjustRightInd/>
              <w:snapToGrid/>
              <w:spacing w:after="0" w:line="240" w:lineRule="exact"/>
              <w:jc w:val="both"/>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对职业中介机构向劳动者收取押金的处罚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77B75D8C">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45A59B1E">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《中华人民共和国就业促进法》</w:t>
            </w:r>
            <w:r>
              <w:rPr>
                <w:rFonts w:hint="eastAsia" w:cs="宋体" w:asciiTheme="minorEastAsia" w:hAnsiTheme="minorEastAsia" w:eastAsiaTheme="minorEastAsia"/>
                <w:sz w:val="18"/>
                <w:szCs w:val="18"/>
              </w:rPr>
              <w:t>（2007年8月30日主席令第70号）第六十六条第二款 违反本法规定，职业中介机构向劳动者收取押金的，由劳动行政部门责令限期退还劳动者，并以每人五百元以上</w:t>
            </w:r>
            <w:r>
              <w:rPr>
                <w:rFonts w:hint="eastAsia" w:cs="宋体" w:asciiTheme="minorEastAsia" w:hAnsiTheme="minorEastAsia" w:eastAsiaTheme="minorEastAsia"/>
                <w:sz w:val="18"/>
                <w:szCs w:val="18"/>
                <w:highlight w:val="none"/>
              </w:rPr>
              <w:t>二千</w:t>
            </w:r>
            <w:r>
              <w:rPr>
                <w:rFonts w:hint="eastAsia" w:cs="宋体" w:asciiTheme="minorEastAsia" w:hAnsiTheme="minorEastAsia" w:eastAsiaTheme="minorEastAsia"/>
                <w:sz w:val="18"/>
                <w:szCs w:val="18"/>
              </w:rPr>
              <w:t>元以下的标准处以罚款。</w:t>
            </w:r>
          </w:p>
        </w:tc>
        <w:tc>
          <w:tcPr>
            <w:tcW w:w="2260" w:type="dxa"/>
            <w:tcBorders>
              <w:top w:val="single" w:color="auto" w:sz="4" w:space="0"/>
              <w:left w:val="nil"/>
              <w:bottom w:val="single" w:color="auto" w:sz="4" w:space="0"/>
              <w:right w:val="single" w:color="auto" w:sz="4" w:space="0"/>
            </w:tcBorders>
            <w:shd w:val="clear" w:color="auto" w:fill="auto"/>
            <w:vAlign w:val="center"/>
          </w:tcPr>
          <w:p w14:paraId="27770661">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投诉、举报的需要投诉者提投诉书或举报书并填写举报投诉登记表。日常巡查中发现的问题需填写现场调查记录。</w:t>
            </w:r>
          </w:p>
          <w:p w14:paraId="5E704E12">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针对具体违法行为依法调查取证，制作询问笔录，查阅、复印、录制相关资料，完成调查取证后，提交调查终结报告和意见，并填写案件处理审批表。对违法事实清楚的行为下达《劳动保障限期改正通知书》并制作《劳动保障监察送达回证》；对要求被检查单位提供相关材料的，下达《劳动保障监察询问通知书》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调查应当自立案之日起60个工作日内完成，对情况复杂的，经劳动保障行政部门负责人批准，可以延长30个工作日。</w:t>
            </w:r>
          </w:p>
          <w:p w14:paraId="7862A0F4">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，对违法事实轻微，且已在期限内改正的，经集体讨论，劳动保障监察机构负责人审批通过后可以撤销立案。</w:t>
            </w:r>
            <w:r>
              <w:rPr>
                <w:rFonts w:hint="eastAsia" w:cs="宋体" w:asciiTheme="minorEastAsia" w:hAnsiTheme="minorEastAsia" w:eastAsiaTheme="minorEastAsia"/>
                <w:color w:val="000000" w:themeColor="text1"/>
                <w:sz w:val="18"/>
                <w:szCs w:val="18"/>
                <w14:textFill>
                  <w14:solidFill>
                    <w14:schemeClr w14:val="tx1"/>
                  </w14:solidFill>
                </w14:textFill>
              </w:rPr>
              <w:t>（主要证据不足时，以适当的方式补充调查）。</w:t>
            </w:r>
          </w:p>
          <w:p w14:paraId="3037B152">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告知违法事实及其享有的陈述、申辩等权利。符合听证规定的，制作并送达《劳动保障监察行政处罚听证告知书》</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4F558B10">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4E8AF63B">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（包括：直接送达、张贴送达、邮寄送达）</w:t>
            </w:r>
          </w:p>
          <w:p w14:paraId="15C15A43">
            <w:pPr>
              <w:adjustRightInd/>
              <w:snapToGrid/>
              <w:spacing w:after="0" w:line="240" w:lineRule="exact"/>
              <w:rPr>
                <w:rFonts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，执行收支两条线制度，罚款上交国库</w:t>
            </w:r>
            <w:r>
              <w:rPr>
                <w:rFonts w:hint="eastAsia" w:cs="宋体" w:asciiTheme="minorEastAsia" w:hAnsiTheme="minorEastAsia" w:eastAsiaTheme="minorEastAsia"/>
                <w:color w:val="000000" w:themeColor="text1"/>
                <w:sz w:val="18"/>
                <w:szCs w:val="18"/>
                <w14:textFill>
                  <w14:solidFill>
                    <w14:schemeClr w14:val="tx1"/>
                  </w14:solidFill>
                </w14:textFill>
              </w:rPr>
              <w:t>。</w:t>
            </w:r>
          </w:p>
        </w:tc>
        <w:tc>
          <w:tcPr>
            <w:tcW w:w="2800" w:type="dxa"/>
            <w:tcBorders>
              <w:top w:val="single" w:color="auto" w:sz="4" w:space="0"/>
              <w:left w:val="nil"/>
              <w:bottom w:val="single" w:color="auto" w:sz="4" w:space="0"/>
              <w:right w:val="single" w:color="auto" w:sz="4" w:space="0"/>
            </w:tcBorders>
            <w:shd w:val="clear" w:color="auto" w:fill="auto"/>
            <w:vAlign w:val="center"/>
          </w:tcPr>
          <w:p w14:paraId="2B4997DB">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147EEE8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6DAAE2B1">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53051366">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33D31388">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44980788">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160DA444">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7DADC8D7">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204B3153">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26635915">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4C3DA4DA">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38368E3D">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46462D17">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1D70B106">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775FC1CC">
            <w:pPr>
              <w:adjustRightInd/>
              <w:snapToGrid/>
              <w:spacing w:after="0" w:line="240" w:lineRule="exact"/>
              <w:jc w:val="center"/>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val="en-US" w:eastAsia="zh-CN"/>
              </w:rPr>
              <w:t>5</w:t>
            </w:r>
          </w:p>
        </w:tc>
        <w:tc>
          <w:tcPr>
            <w:tcW w:w="1080" w:type="dxa"/>
            <w:tcBorders>
              <w:top w:val="single" w:color="auto" w:sz="4" w:space="0"/>
              <w:left w:val="nil"/>
              <w:bottom w:val="single" w:color="auto" w:sz="4" w:space="0"/>
              <w:right w:val="single" w:color="auto" w:sz="4" w:space="0"/>
            </w:tcBorders>
            <w:shd w:val="clear" w:color="auto" w:fill="auto"/>
            <w:vAlign w:val="center"/>
          </w:tcPr>
          <w:p w14:paraId="721DC18B">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0809ED6C">
            <w:pPr>
              <w:adjustRightInd/>
              <w:snapToGrid/>
              <w:spacing w:after="0" w:line="240" w:lineRule="exact"/>
              <w:jc w:val="both"/>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对用人单位使用童工的处罚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04F5ECBA">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0E074635">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《禁止使用童工规定》（2002年9月18日国务院令第364号）第六条 第一款用人单位使用童工的，由劳动保障行政部门按照每使用一名童工每月处5000元罚款的标准给予处罚；在使用有毒物品的作业场所使用童工的，按照《使用有毒物品作业场所劳动保护条例》规定的罚款幅度，或者按照每使用一名童工每月处5000元罚款的标准，从重处罚。劳动保障行政部门并应当责令用人单位限期将</w:t>
            </w:r>
            <w:r>
              <w:rPr>
                <w:rFonts w:hint="eastAsia" w:cs="宋体" w:asciiTheme="minorEastAsia" w:hAnsiTheme="minorEastAsia" w:eastAsiaTheme="minorEastAsia"/>
                <w:sz w:val="18"/>
                <w:szCs w:val="18"/>
                <w:highlight w:val="none"/>
              </w:rPr>
              <w:t>童工</w:t>
            </w:r>
            <w:r>
              <w:rPr>
                <w:rFonts w:hint="eastAsia" w:cs="宋体" w:asciiTheme="minorEastAsia" w:hAnsiTheme="minorEastAsia" w:eastAsiaTheme="minorEastAsia"/>
                <w:sz w:val="18"/>
                <w:szCs w:val="18"/>
              </w:rPr>
              <w:t>送回原居住地交其父母或者其他监护人，所需交通和食宿费用全部由用人单位承担。</w:t>
            </w:r>
          </w:p>
        </w:tc>
        <w:tc>
          <w:tcPr>
            <w:tcW w:w="2260" w:type="dxa"/>
            <w:tcBorders>
              <w:top w:val="single" w:color="auto" w:sz="4" w:space="0"/>
              <w:left w:val="nil"/>
              <w:bottom w:val="single" w:color="auto" w:sz="4" w:space="0"/>
              <w:right w:val="single" w:color="auto" w:sz="4" w:space="0"/>
            </w:tcBorders>
            <w:shd w:val="clear" w:color="auto" w:fill="auto"/>
            <w:vAlign w:val="center"/>
          </w:tcPr>
          <w:p w14:paraId="601069D2">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投诉、举报的需要投诉者提投诉书或举报书并填写举报投诉登记表。日常巡查中发现的问题需填写现场调查记录。</w:t>
            </w:r>
          </w:p>
          <w:p w14:paraId="2E8B31DC">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针对具体违法行为依法调查取证，制作询问笔录，查阅、复印、录制相关资料，完成调查取证后，提交调查终结报告和意见，并填写案件处理审批表。对违法事实清楚的行为下达《劳动保障限期改正通知书》并制作《劳动保障监察送达回证》；对要求被检查单位提供相关材料的，下达《劳动保障监察询问通知书》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调查应当自立案之日起60个工作日内完成，对情况复杂的，经劳动保障行政部门负责人批准，可以延长30个工作日。</w:t>
            </w:r>
          </w:p>
          <w:p w14:paraId="21BDAD42">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，对违法事实轻微，且已在期限内改正的，经集体讨论，劳动保障监察机构负责人审批通过后可以撤销立案。</w:t>
            </w:r>
            <w:r>
              <w:rPr>
                <w:rFonts w:hint="eastAsia" w:cs="宋体" w:asciiTheme="minorEastAsia" w:hAnsiTheme="minorEastAsia" w:eastAsiaTheme="minorEastAsia"/>
                <w:color w:val="000000" w:themeColor="text1"/>
                <w:sz w:val="18"/>
                <w:szCs w:val="18"/>
                <w14:textFill>
                  <w14:solidFill>
                    <w14:schemeClr w14:val="tx1"/>
                  </w14:solidFill>
                </w14:textFill>
              </w:rPr>
              <w:t>（主要证据不足时，以适当的方式补充调查）。</w:t>
            </w:r>
          </w:p>
          <w:p w14:paraId="19EEFA1C">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告知违法事实及其享有的陈述、申辩等权利。符合听证规定的，制作并送达《劳动保障监察行政处罚听证告知书》</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43046821">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78C4B1C5">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（包括：直接送达、张贴送达、邮寄送达）</w:t>
            </w:r>
          </w:p>
          <w:p w14:paraId="27675457">
            <w:pPr>
              <w:adjustRightInd/>
              <w:snapToGrid/>
              <w:spacing w:after="0" w:line="240" w:lineRule="exact"/>
              <w:rPr>
                <w:rFonts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，执行收支两条线制度，罚款上交国库</w:t>
            </w:r>
            <w:r>
              <w:rPr>
                <w:rFonts w:hint="eastAsia" w:cs="宋体" w:asciiTheme="minorEastAsia" w:hAnsiTheme="minorEastAsia" w:eastAsiaTheme="minorEastAsia"/>
                <w:color w:val="000000" w:themeColor="text1"/>
                <w:sz w:val="18"/>
                <w:szCs w:val="18"/>
                <w14:textFill>
                  <w14:solidFill>
                    <w14:schemeClr w14:val="tx1"/>
                  </w14:solidFill>
                </w14:textFill>
              </w:rPr>
              <w:t>。</w:t>
            </w:r>
          </w:p>
        </w:tc>
        <w:tc>
          <w:tcPr>
            <w:tcW w:w="2800" w:type="dxa"/>
            <w:tcBorders>
              <w:top w:val="single" w:color="auto" w:sz="4" w:space="0"/>
              <w:left w:val="nil"/>
              <w:bottom w:val="single" w:color="auto" w:sz="4" w:space="0"/>
              <w:right w:val="single" w:color="auto" w:sz="4" w:space="0"/>
            </w:tcBorders>
            <w:shd w:val="clear" w:color="auto" w:fill="auto"/>
            <w:vAlign w:val="center"/>
          </w:tcPr>
          <w:p w14:paraId="19EA1BAD">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4ABF19E3">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7478E578">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3B4B9E1A">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78003902">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5C284C81">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104E0DD2">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74D7453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19736BE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057D4C46">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29348600">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61C89CB5">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45132BE0">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5CFF67A7">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4D8EE558">
            <w:pPr>
              <w:adjustRightInd/>
              <w:snapToGrid/>
              <w:spacing w:after="0" w:line="240" w:lineRule="exact"/>
              <w:jc w:val="center"/>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val="en-US" w:eastAsia="zh-CN"/>
              </w:rPr>
              <w:t>6</w:t>
            </w:r>
          </w:p>
        </w:tc>
        <w:tc>
          <w:tcPr>
            <w:tcW w:w="1080" w:type="dxa"/>
            <w:tcBorders>
              <w:top w:val="single" w:color="auto" w:sz="4" w:space="0"/>
              <w:left w:val="nil"/>
              <w:bottom w:val="single" w:color="auto" w:sz="4" w:space="0"/>
              <w:right w:val="single" w:color="auto" w:sz="4" w:space="0"/>
            </w:tcBorders>
            <w:shd w:val="clear" w:color="auto" w:fill="auto"/>
            <w:vAlign w:val="center"/>
          </w:tcPr>
          <w:p w14:paraId="2E8AD43F">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45140D98">
            <w:pPr>
              <w:adjustRightInd/>
              <w:snapToGrid/>
              <w:spacing w:after="0" w:line="240" w:lineRule="exact"/>
              <w:jc w:val="both"/>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对为不满16周岁的未成年人介绍就业的处罚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7A9EDF92">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0658FE7F">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《禁止使用童工规定》（2002年9月18日国务院令第364号）第七条 单位或者个人为不满１６周岁的未成年人介绍就业的，由劳动保障行政部门按照每介绍一人处５０００元罚款的标准给予处罚；职业中介机构为不满１６周岁的未成年人介绍就业的，并由劳动保障行政部门吊销其职业介绍许可证。</w:t>
            </w:r>
          </w:p>
        </w:tc>
        <w:tc>
          <w:tcPr>
            <w:tcW w:w="2260" w:type="dxa"/>
            <w:tcBorders>
              <w:top w:val="single" w:color="auto" w:sz="4" w:space="0"/>
              <w:left w:val="nil"/>
              <w:bottom w:val="single" w:color="auto" w:sz="4" w:space="0"/>
              <w:right w:val="single" w:color="auto" w:sz="4" w:space="0"/>
            </w:tcBorders>
            <w:shd w:val="clear" w:color="auto" w:fill="auto"/>
            <w:vAlign w:val="center"/>
          </w:tcPr>
          <w:p w14:paraId="07219F70">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投诉、举报的需要投诉者提投诉书或举报书并填写举报投诉登记表。日常巡查中发现的问题需填写现场调查记录。</w:t>
            </w:r>
          </w:p>
          <w:p w14:paraId="5D9C3EEF">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针对具体违法行为依法调查取证，制作询问笔录，查阅、复印、录制相关资料，完成调查取证后，提交调查终结报告和意见，并填写案件处理审批表。对违法事实清楚的行为下达《劳动保障限期改正通知书》并制作《劳动保障监察送达回证》；对要求被检查单位提供相关材料的，下达《劳动保障监察询问通知书》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调查应当自立案之日起60个工作日内完成，对情况复杂的，经劳动保障行政部门负责人批准，可以延长30个工作日。</w:t>
            </w:r>
          </w:p>
          <w:p w14:paraId="2B2883FE">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，对违法事实轻微，且已在期限内改正的，经集体讨论，劳动保障监察机构负责人审批通过后可以撤销立案。</w:t>
            </w:r>
            <w:r>
              <w:rPr>
                <w:rFonts w:hint="eastAsia" w:cs="宋体" w:asciiTheme="minorEastAsia" w:hAnsiTheme="minorEastAsia" w:eastAsiaTheme="minorEastAsia"/>
                <w:color w:val="000000" w:themeColor="text1"/>
                <w:sz w:val="18"/>
                <w:szCs w:val="18"/>
                <w14:textFill>
                  <w14:solidFill>
                    <w14:schemeClr w14:val="tx1"/>
                  </w14:solidFill>
                </w14:textFill>
              </w:rPr>
              <w:t>（主要证据不足时，以适当的方式补充调查）。</w:t>
            </w:r>
          </w:p>
          <w:p w14:paraId="392D79D7">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告知违法事实及其享有的陈述、申辩等权利。符合听证规定的，制作并送达《劳动保障监察行政处罚听证告知书》</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7178977A">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11A0467B">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（包括：直接送达、张贴送达、邮寄送达）</w:t>
            </w:r>
          </w:p>
          <w:p w14:paraId="376D615F">
            <w:pPr>
              <w:adjustRightInd/>
              <w:snapToGrid/>
              <w:spacing w:after="0" w:line="240" w:lineRule="exact"/>
              <w:rPr>
                <w:rFonts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，执行收支两条线制度，罚款上交国库</w:t>
            </w:r>
            <w:r>
              <w:rPr>
                <w:rFonts w:hint="eastAsia" w:cs="宋体" w:asciiTheme="minorEastAsia" w:hAnsiTheme="minorEastAsia" w:eastAsiaTheme="minorEastAsia"/>
                <w:color w:val="000000" w:themeColor="text1"/>
                <w:sz w:val="18"/>
                <w:szCs w:val="18"/>
                <w14:textFill>
                  <w14:solidFill>
                    <w14:schemeClr w14:val="tx1"/>
                  </w14:solidFill>
                </w14:textFill>
              </w:rPr>
              <w:t>。</w:t>
            </w:r>
          </w:p>
        </w:tc>
        <w:tc>
          <w:tcPr>
            <w:tcW w:w="2800" w:type="dxa"/>
            <w:tcBorders>
              <w:top w:val="single" w:color="auto" w:sz="4" w:space="0"/>
              <w:left w:val="nil"/>
              <w:bottom w:val="single" w:color="auto" w:sz="4" w:space="0"/>
              <w:right w:val="single" w:color="auto" w:sz="4" w:space="0"/>
            </w:tcBorders>
            <w:shd w:val="clear" w:color="auto" w:fill="auto"/>
            <w:vAlign w:val="center"/>
          </w:tcPr>
          <w:p w14:paraId="2F9434C2">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68028050">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2F5DF9F2">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5078B1C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62B82C6C">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633AFDA5">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497420DC">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130CE7B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4D6B2E72">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153E985F">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6E2ED236">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20A7B072">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380CDB85">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69EAE632">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2FBE0C21">
            <w:pPr>
              <w:adjustRightInd/>
              <w:snapToGrid/>
              <w:spacing w:after="0" w:line="240" w:lineRule="exact"/>
              <w:jc w:val="center"/>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val="en-US" w:eastAsia="zh-CN"/>
              </w:rPr>
              <w:t>7</w:t>
            </w:r>
          </w:p>
        </w:tc>
        <w:tc>
          <w:tcPr>
            <w:tcW w:w="1080" w:type="dxa"/>
            <w:tcBorders>
              <w:top w:val="single" w:color="auto" w:sz="4" w:space="0"/>
              <w:left w:val="nil"/>
              <w:bottom w:val="single" w:color="auto" w:sz="4" w:space="0"/>
              <w:right w:val="single" w:color="auto" w:sz="4" w:space="0"/>
            </w:tcBorders>
            <w:shd w:val="clear" w:color="auto" w:fill="auto"/>
            <w:vAlign w:val="center"/>
          </w:tcPr>
          <w:p w14:paraId="4190B155">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5E8E2356">
            <w:pPr>
              <w:adjustRightInd/>
              <w:snapToGrid/>
              <w:spacing w:after="0" w:line="240" w:lineRule="exact"/>
              <w:jc w:val="both"/>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对违反《女职工劳动保护特别规定》第六条第二款、第七条、第九条第一款规定的处罚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14239490">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1F31A15D">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女职工劳动保护特别规定》（2012年4月18日国务院令第619号）第十三条用人单位违反本规定第六条第二款、第七条、第九条第一款规定的，由县级以上人民政府人力资源社会保障行政部门责令限期改正，按照受侵害女职工每人1000元以上5000元以下的标准计算，处以罚款。</w:t>
            </w:r>
          </w:p>
        </w:tc>
        <w:tc>
          <w:tcPr>
            <w:tcW w:w="2260" w:type="dxa"/>
            <w:tcBorders>
              <w:top w:val="single" w:color="auto" w:sz="4" w:space="0"/>
              <w:left w:val="nil"/>
              <w:bottom w:val="single" w:color="auto" w:sz="4" w:space="0"/>
              <w:right w:val="single" w:color="auto" w:sz="4" w:space="0"/>
            </w:tcBorders>
            <w:shd w:val="clear" w:color="auto" w:fill="auto"/>
            <w:vAlign w:val="center"/>
          </w:tcPr>
          <w:p w14:paraId="576DBD13">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投诉、举报的需要投诉者提投诉书或举报书并填写举报投诉登记表。日常巡查中发现的问题需填写现场调查记录。</w:t>
            </w:r>
          </w:p>
          <w:p w14:paraId="53FB2122">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针对具体违法行为依法调查取证，制作询问笔录，查阅、复印、录制相关资料，完成调查取证后，提交调查终结报告和意见，并填写案件处理审批表。对违法事实清楚的行为下达《劳动保障限期改正通知书》并制作《劳动保障监察送达回证》；对要求被检查单位提供相关材料的，下达《劳动保障监察询问通知书》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调查应当自立案之日起60个工作日内完成，对情况复杂的，经劳动保障行政部门负责人批准，可以延长30个工作日。</w:t>
            </w:r>
          </w:p>
          <w:p w14:paraId="512BA49E">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，对违法事实轻微，且已在期限内改正的，经集体讨论，劳动保障监察机构负责人审批通过后可以撤销立案。</w:t>
            </w:r>
            <w:r>
              <w:rPr>
                <w:rFonts w:hint="eastAsia" w:cs="宋体" w:asciiTheme="minorEastAsia" w:hAnsiTheme="minorEastAsia" w:eastAsiaTheme="minorEastAsia"/>
                <w:color w:val="000000" w:themeColor="text1"/>
                <w:sz w:val="18"/>
                <w:szCs w:val="18"/>
                <w14:textFill>
                  <w14:solidFill>
                    <w14:schemeClr w14:val="tx1"/>
                  </w14:solidFill>
                </w14:textFill>
              </w:rPr>
              <w:t>（主要证据不足时，以适当的方式补充调查）。</w:t>
            </w:r>
          </w:p>
          <w:p w14:paraId="719DD976">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告知违法事实及其享有的陈述、申辩等权利。符合听证规定的，制作并送达《劳动保障监察行政处罚听证告知书》</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60BE4FDB">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0A5C581B">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（包括：直接送达、张贴送达、邮寄送达）</w:t>
            </w:r>
          </w:p>
          <w:p w14:paraId="354CA8C6">
            <w:pPr>
              <w:adjustRightInd/>
              <w:snapToGrid/>
              <w:spacing w:after="0" w:line="240" w:lineRule="exact"/>
              <w:rPr>
                <w:rFonts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，执行收支两条线制度，罚款上交国库</w:t>
            </w:r>
            <w:r>
              <w:rPr>
                <w:rFonts w:hint="eastAsia" w:cs="宋体" w:asciiTheme="minorEastAsia" w:hAnsiTheme="minorEastAsia" w:eastAsiaTheme="minorEastAsia"/>
                <w:color w:val="000000" w:themeColor="text1"/>
                <w:sz w:val="18"/>
                <w:szCs w:val="18"/>
                <w14:textFill>
                  <w14:solidFill>
                    <w14:schemeClr w14:val="tx1"/>
                  </w14:solidFill>
                </w14:textFill>
              </w:rPr>
              <w:t>。</w:t>
            </w:r>
          </w:p>
        </w:tc>
        <w:tc>
          <w:tcPr>
            <w:tcW w:w="2800" w:type="dxa"/>
            <w:tcBorders>
              <w:top w:val="single" w:color="auto" w:sz="4" w:space="0"/>
              <w:left w:val="nil"/>
              <w:bottom w:val="single" w:color="auto" w:sz="4" w:space="0"/>
              <w:right w:val="single" w:color="auto" w:sz="4" w:space="0"/>
            </w:tcBorders>
            <w:shd w:val="clear" w:color="auto" w:fill="auto"/>
            <w:vAlign w:val="center"/>
          </w:tcPr>
          <w:p w14:paraId="364FEE15">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6A487A5D">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159EA19C">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02E4913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44B1855B">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440F2EAA">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4790272F">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2304E3FD">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5799DE84">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7FA89062">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24E23C6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1BB68861">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63A693E3">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3D6C72C3">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5FDD5129">
            <w:pPr>
              <w:adjustRightInd/>
              <w:snapToGrid/>
              <w:spacing w:after="0" w:line="240" w:lineRule="exact"/>
              <w:jc w:val="center"/>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val="en-US" w:eastAsia="zh-CN"/>
              </w:rPr>
              <w:t>8</w:t>
            </w:r>
          </w:p>
        </w:tc>
        <w:tc>
          <w:tcPr>
            <w:tcW w:w="1080" w:type="dxa"/>
            <w:tcBorders>
              <w:top w:val="single" w:color="auto" w:sz="4" w:space="0"/>
              <w:left w:val="nil"/>
              <w:bottom w:val="single" w:color="auto" w:sz="4" w:space="0"/>
              <w:right w:val="single" w:color="auto" w:sz="4" w:space="0"/>
            </w:tcBorders>
            <w:shd w:val="clear" w:color="auto" w:fill="auto"/>
            <w:vAlign w:val="center"/>
          </w:tcPr>
          <w:p w14:paraId="03CEE3F1">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3BF4BB85">
            <w:pPr>
              <w:adjustRightInd/>
              <w:snapToGrid/>
              <w:spacing w:after="0" w:line="240" w:lineRule="exact"/>
              <w:jc w:val="both"/>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对安排怀孕7个月以上的女职工夜班劳动或者延长其工作时间的处罚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60CFA66D">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0BA5F622">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《劳动保障监察条例》（2004年10月26日国务院令第423号）第二十三条第四项用人单位有下列行为之一的，由劳动保障行政部门责令改正，按照受侵害的劳动者每人1000元以上5000元以下的标准计算，处以罚款：</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四</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安排怀孕7个月以上的女职工夜班劳动或者延长其工作时间的；</w:t>
            </w:r>
          </w:p>
        </w:tc>
        <w:tc>
          <w:tcPr>
            <w:tcW w:w="2260" w:type="dxa"/>
            <w:tcBorders>
              <w:top w:val="single" w:color="auto" w:sz="4" w:space="0"/>
              <w:left w:val="nil"/>
              <w:bottom w:val="single" w:color="auto" w:sz="4" w:space="0"/>
              <w:right w:val="single" w:color="auto" w:sz="4" w:space="0"/>
            </w:tcBorders>
            <w:shd w:val="clear" w:color="auto" w:fill="auto"/>
            <w:vAlign w:val="center"/>
          </w:tcPr>
          <w:p w14:paraId="65E8E29F">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投诉、举报的需要投诉者提投诉书或举报书并填写举报投诉登记表。日常巡查中发现的问题需填写现场调查记录。</w:t>
            </w:r>
          </w:p>
          <w:p w14:paraId="494847FF">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针对具体违法行为依法调查取证，制作询问笔录，查阅、复印、录制相关资料，完成调查取证后，提交调查终结报告和意见，并填写案件处理审批表。对违法事实清楚的行为下达《劳动保障限期改正通知书》并制作《劳动保障监察送达回证》；对要求被检查单位提供相关材料的，下达《劳动保障监察询问通知书》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调查应当自立案之日起60个工作日内完成，对情况复杂的，经劳动保障行政部门负责人批准，可以延长30个工作日。</w:t>
            </w:r>
          </w:p>
          <w:p w14:paraId="470BC7E5">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，对违法事实轻微，且已在期限内改正的，经集体讨论，劳动保障监察机构负责人审批通过后可以撤销立案。</w:t>
            </w:r>
            <w:r>
              <w:rPr>
                <w:rFonts w:hint="eastAsia" w:cs="宋体" w:asciiTheme="minorEastAsia" w:hAnsiTheme="minorEastAsia" w:eastAsiaTheme="minorEastAsia"/>
                <w:color w:val="000000" w:themeColor="text1"/>
                <w:sz w:val="18"/>
                <w:szCs w:val="18"/>
                <w14:textFill>
                  <w14:solidFill>
                    <w14:schemeClr w14:val="tx1"/>
                  </w14:solidFill>
                </w14:textFill>
              </w:rPr>
              <w:t>（主要证据不足时，以适当的方式补充调查）。</w:t>
            </w:r>
          </w:p>
          <w:p w14:paraId="29E988C3">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告知违法事实及其享有的陈述、申辩等权利。符合听证规定的，制作并送达《劳动保障监察行政处罚听证告知书》</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36B0FB2E">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120A13DC">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（包括：直接送达、张贴送达、邮寄送达）</w:t>
            </w:r>
          </w:p>
          <w:p w14:paraId="61129F93">
            <w:pPr>
              <w:adjustRightInd/>
              <w:snapToGrid/>
              <w:spacing w:after="0" w:line="240" w:lineRule="exact"/>
              <w:rPr>
                <w:rFonts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，执行收支两条线制度，罚款上交国库</w:t>
            </w:r>
            <w:r>
              <w:rPr>
                <w:rFonts w:hint="eastAsia" w:cs="宋体" w:asciiTheme="minorEastAsia" w:hAnsiTheme="minorEastAsia" w:eastAsiaTheme="minorEastAsia"/>
                <w:color w:val="000000" w:themeColor="text1"/>
                <w:sz w:val="18"/>
                <w:szCs w:val="18"/>
                <w14:textFill>
                  <w14:solidFill>
                    <w14:schemeClr w14:val="tx1"/>
                  </w14:solidFill>
                </w14:textFill>
              </w:rPr>
              <w:t>。</w:t>
            </w:r>
          </w:p>
        </w:tc>
        <w:tc>
          <w:tcPr>
            <w:tcW w:w="2800" w:type="dxa"/>
            <w:tcBorders>
              <w:top w:val="single" w:color="auto" w:sz="4" w:space="0"/>
              <w:left w:val="nil"/>
              <w:bottom w:val="single" w:color="auto" w:sz="4" w:space="0"/>
              <w:right w:val="single" w:color="auto" w:sz="4" w:space="0"/>
            </w:tcBorders>
            <w:shd w:val="clear" w:color="auto" w:fill="auto"/>
            <w:vAlign w:val="center"/>
          </w:tcPr>
          <w:p w14:paraId="70BAF96C">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74E71B84">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267A268F">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0E30B025">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440DA4CC">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788A676C">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197E8261">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0A0C3636">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2F6C0B7B">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6EFE24B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708784AB">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2A2DABA7">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0EDBDCF4">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2379510D">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4D8D47B4">
            <w:pPr>
              <w:adjustRightInd/>
              <w:snapToGrid/>
              <w:spacing w:after="0" w:line="240" w:lineRule="exact"/>
              <w:jc w:val="center"/>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val="en-US" w:eastAsia="zh-CN"/>
              </w:rPr>
              <w:t>9</w:t>
            </w:r>
          </w:p>
        </w:tc>
        <w:tc>
          <w:tcPr>
            <w:tcW w:w="1080" w:type="dxa"/>
            <w:tcBorders>
              <w:top w:val="single" w:color="auto" w:sz="4" w:space="0"/>
              <w:left w:val="nil"/>
              <w:bottom w:val="single" w:color="auto" w:sz="4" w:space="0"/>
              <w:right w:val="single" w:color="auto" w:sz="4" w:space="0"/>
            </w:tcBorders>
            <w:shd w:val="clear" w:color="auto" w:fill="auto"/>
            <w:vAlign w:val="center"/>
          </w:tcPr>
          <w:p w14:paraId="243D8AB1">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75C6775F">
            <w:pPr>
              <w:adjustRightInd/>
              <w:snapToGrid/>
              <w:spacing w:after="0" w:line="240" w:lineRule="exact"/>
              <w:jc w:val="both"/>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对女职工生育享受产假少于90天的处罚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47AD4C9A">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384A7B4B">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《劳动保障监察条例》（2004年10月26日国务院令第423号）第二十三条第五项用人单位有下列行为之一的，由劳动保障行政部门责令改正，按照受侵害的劳动者每人1000元以上5000元以下的标准计算，处以罚款：</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五</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女职工生育享受产假少于90天的；</w:t>
            </w:r>
          </w:p>
        </w:tc>
        <w:tc>
          <w:tcPr>
            <w:tcW w:w="2260" w:type="dxa"/>
            <w:tcBorders>
              <w:top w:val="single" w:color="auto" w:sz="4" w:space="0"/>
              <w:left w:val="nil"/>
              <w:bottom w:val="single" w:color="auto" w:sz="4" w:space="0"/>
              <w:right w:val="single" w:color="auto" w:sz="4" w:space="0"/>
            </w:tcBorders>
            <w:shd w:val="clear" w:color="auto" w:fill="auto"/>
            <w:vAlign w:val="center"/>
          </w:tcPr>
          <w:p w14:paraId="2F226ED1">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投诉、举报的需要投诉者提投诉书或举报书并填写举报投诉登记表。日常巡查中发现的问题需填写现场调查记录。</w:t>
            </w:r>
          </w:p>
          <w:p w14:paraId="2BE0D770">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针对具体违法行为依法调查取证，制作询问笔录，查阅、复印、录制相关资料，完成调查取证后，提交调查终结报告和意见，并填写案件处理审批表。对违法事实清楚的行为下达《劳动保障限期改正通知书》并制作《劳动保障监察送达回证》；对要求被检查单位提供相关材料的，下达《劳动保障监察询问通知书》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调查应当自立案之日起60个工作日内完成，对情况复杂的，经劳动保障行政部门负责人批准，可以延长30个工作日。</w:t>
            </w:r>
          </w:p>
          <w:p w14:paraId="3243E47F">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，对违法事实轻微，且已在期限内改正的，经集体讨论，劳动保障监察机构负责人审批通过后可以撤销立案。</w:t>
            </w:r>
            <w:r>
              <w:rPr>
                <w:rFonts w:hint="eastAsia" w:cs="宋体" w:asciiTheme="minorEastAsia" w:hAnsiTheme="minorEastAsia" w:eastAsiaTheme="minorEastAsia"/>
                <w:color w:val="000000" w:themeColor="text1"/>
                <w:sz w:val="18"/>
                <w:szCs w:val="18"/>
                <w14:textFill>
                  <w14:solidFill>
                    <w14:schemeClr w14:val="tx1"/>
                  </w14:solidFill>
                </w14:textFill>
              </w:rPr>
              <w:t>（主要证据不足时，以适当的方式补充调查）。</w:t>
            </w:r>
          </w:p>
          <w:p w14:paraId="6E8D7F2F">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告知违法事实及其享有的陈述、申辩等权利。符合听证规定的，制作并送达《劳动保障监察行政处罚听证告知书》</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1F419A80">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5530CA11">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（包括：直接送达、张贴送达、邮寄送达）</w:t>
            </w:r>
          </w:p>
          <w:p w14:paraId="36B3EC07">
            <w:pPr>
              <w:adjustRightInd/>
              <w:snapToGrid/>
              <w:spacing w:after="0" w:line="240" w:lineRule="exact"/>
              <w:rPr>
                <w:rFonts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，执行收支两条线制度，罚款上交国库</w:t>
            </w:r>
            <w:r>
              <w:rPr>
                <w:rFonts w:hint="eastAsia" w:cs="宋体" w:asciiTheme="minorEastAsia" w:hAnsiTheme="minorEastAsia" w:eastAsiaTheme="minorEastAsia"/>
                <w:color w:val="000000" w:themeColor="text1"/>
                <w:sz w:val="18"/>
                <w:szCs w:val="18"/>
                <w14:textFill>
                  <w14:solidFill>
                    <w14:schemeClr w14:val="tx1"/>
                  </w14:solidFill>
                </w14:textFill>
              </w:rPr>
              <w:t>。</w:t>
            </w:r>
          </w:p>
        </w:tc>
        <w:tc>
          <w:tcPr>
            <w:tcW w:w="2800" w:type="dxa"/>
            <w:tcBorders>
              <w:top w:val="single" w:color="auto" w:sz="4" w:space="0"/>
              <w:left w:val="nil"/>
              <w:bottom w:val="single" w:color="auto" w:sz="4" w:space="0"/>
              <w:right w:val="single" w:color="auto" w:sz="4" w:space="0"/>
            </w:tcBorders>
            <w:shd w:val="clear" w:color="auto" w:fill="auto"/>
            <w:vAlign w:val="center"/>
          </w:tcPr>
          <w:p w14:paraId="003E27A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35B76513">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17ABF1DA">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171B4A1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460810D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351099E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16F75E10">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7C872DB1">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188B2827">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5575AC51">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3E2CDE4B">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0E5133A3">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64934216">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0D5ADF93">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3B9E0DA4">
            <w:pPr>
              <w:adjustRightInd/>
              <w:snapToGrid/>
              <w:spacing w:after="0" w:line="240" w:lineRule="exact"/>
              <w:jc w:val="center"/>
              <w:rPr>
                <w:rFonts w:hint="default"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10</w:t>
            </w:r>
          </w:p>
        </w:tc>
        <w:tc>
          <w:tcPr>
            <w:tcW w:w="1080" w:type="dxa"/>
            <w:tcBorders>
              <w:top w:val="single" w:color="auto" w:sz="4" w:space="0"/>
              <w:left w:val="nil"/>
              <w:bottom w:val="single" w:color="auto" w:sz="4" w:space="0"/>
              <w:right w:val="single" w:color="auto" w:sz="4" w:space="0"/>
            </w:tcBorders>
            <w:shd w:val="clear" w:color="auto" w:fill="auto"/>
            <w:vAlign w:val="center"/>
          </w:tcPr>
          <w:p w14:paraId="6AE8FA87">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16070346">
            <w:pPr>
              <w:adjustRightInd/>
              <w:snapToGrid/>
              <w:spacing w:after="0" w:line="240" w:lineRule="exact"/>
              <w:jc w:val="both"/>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对违法延长劳动者工作时间的处罚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70BD212D">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19B82975">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《劳动保障监察条例》（2004年10月26日国务院令第423号）第二十五条 用人单位违反劳动保障法律、法规或者规章延长劳动者工作时间的，由劳动保障行政部门给予警告，责令限期改正，并可以按照受侵害的劳动者每人100元以上500元以下的标准计算，处以罚款。《河北省劳动和社会保障监察条例》（2002年7月30日省人大常委会公告第72号）第二十五条 用人单位未与工会和劳动者协商，强迫劳动者延长工作时间或者虽经协商同意，但违反劳动法关于延长工作时间具体时限规定的，由县级以上人民政府劳动和社会保障行政部门给予警告，责令改正，按照有关规定支付劳动者延长工作时间的工资报酬，并可以按照每人每超过工作时间一小时处以一百元以下罚款。</w:t>
            </w:r>
          </w:p>
        </w:tc>
        <w:tc>
          <w:tcPr>
            <w:tcW w:w="2260" w:type="dxa"/>
            <w:tcBorders>
              <w:top w:val="single" w:color="auto" w:sz="4" w:space="0"/>
              <w:left w:val="nil"/>
              <w:bottom w:val="single" w:color="auto" w:sz="4" w:space="0"/>
              <w:right w:val="single" w:color="auto" w:sz="4" w:space="0"/>
            </w:tcBorders>
            <w:shd w:val="clear" w:color="auto" w:fill="auto"/>
            <w:vAlign w:val="center"/>
          </w:tcPr>
          <w:p w14:paraId="3F7B1197">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投诉、举报的需要投诉者提投诉书或举报书并填写举报投诉登记表。日常巡查中发现的问题需填写现场调查记录。</w:t>
            </w:r>
          </w:p>
          <w:p w14:paraId="4C6F2F19">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针对具体违法行为依法调查取证，制作询问笔录，查阅、复印、录制相关资料，完成调查取证后，提交调查终结报告和意见，并填写案件处理审批表。对违法事实清楚的行为下达《劳动保障限期改正通知书》并制作《劳动保障监察送达回证》；对要求被检查单位提供相关材料的，下达《劳动保障监察询问通知书》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调查应当自立案之日起60个工作日内完成，对情况复杂的，经劳动保障行政部门负责人批准，可以延长30个工作日。</w:t>
            </w:r>
          </w:p>
          <w:p w14:paraId="63A75430">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，对违法事实轻微，且已在期限内改正的，经集体讨论，劳动保障监察机构负责人审批通过后可以撤销立案。</w:t>
            </w:r>
            <w:r>
              <w:rPr>
                <w:rFonts w:hint="eastAsia" w:cs="宋体" w:asciiTheme="minorEastAsia" w:hAnsiTheme="minorEastAsia" w:eastAsiaTheme="minorEastAsia"/>
                <w:color w:val="000000" w:themeColor="text1"/>
                <w:sz w:val="18"/>
                <w:szCs w:val="18"/>
                <w14:textFill>
                  <w14:solidFill>
                    <w14:schemeClr w14:val="tx1"/>
                  </w14:solidFill>
                </w14:textFill>
              </w:rPr>
              <w:t>（主要证据不足时，以适当的方式补充调查）。</w:t>
            </w:r>
          </w:p>
          <w:p w14:paraId="4A0DFA68">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告知违法事实及其享有的陈述、申辩等权利。符合听证规定的，制作并送达《劳动保障监察行政处罚听证告知书》</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469B0227">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66F22642">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（包括：直接送达、张贴送达、邮寄送达）</w:t>
            </w:r>
          </w:p>
          <w:p w14:paraId="10CC71AF">
            <w:pPr>
              <w:adjustRightInd/>
              <w:snapToGrid/>
              <w:spacing w:after="0" w:line="240" w:lineRule="exact"/>
              <w:rPr>
                <w:rFonts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，执行收支两条线制度，罚款上交国库</w:t>
            </w:r>
            <w:r>
              <w:rPr>
                <w:rFonts w:hint="eastAsia" w:cs="宋体" w:asciiTheme="minorEastAsia" w:hAnsiTheme="minorEastAsia" w:eastAsiaTheme="minorEastAsia"/>
                <w:color w:val="000000" w:themeColor="text1"/>
                <w:sz w:val="18"/>
                <w:szCs w:val="18"/>
                <w14:textFill>
                  <w14:solidFill>
                    <w14:schemeClr w14:val="tx1"/>
                  </w14:solidFill>
                </w14:textFill>
              </w:rPr>
              <w:t>。</w:t>
            </w:r>
          </w:p>
        </w:tc>
        <w:tc>
          <w:tcPr>
            <w:tcW w:w="2800" w:type="dxa"/>
            <w:tcBorders>
              <w:top w:val="single" w:color="auto" w:sz="4" w:space="0"/>
              <w:left w:val="nil"/>
              <w:bottom w:val="single" w:color="auto" w:sz="4" w:space="0"/>
              <w:right w:val="single" w:color="auto" w:sz="4" w:space="0"/>
            </w:tcBorders>
            <w:shd w:val="clear" w:color="auto" w:fill="auto"/>
            <w:vAlign w:val="center"/>
          </w:tcPr>
          <w:p w14:paraId="3980387B">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2BD9F927">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1DC5EB20">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07C40A0C">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65413217">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3A8904E1">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4A11605D">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65C8514D">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6E5FF38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5D7EA29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4BFD7C87">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04A12F7C">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3FC83A64">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40AB0A5B">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0AE5479E">
            <w:pPr>
              <w:adjustRightInd/>
              <w:snapToGrid/>
              <w:spacing w:after="0" w:line="240" w:lineRule="exact"/>
              <w:jc w:val="center"/>
              <w:rPr>
                <w:rFonts w:hint="default"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11</w:t>
            </w:r>
          </w:p>
        </w:tc>
        <w:tc>
          <w:tcPr>
            <w:tcW w:w="1080" w:type="dxa"/>
            <w:tcBorders>
              <w:top w:val="single" w:color="auto" w:sz="4" w:space="0"/>
              <w:left w:val="nil"/>
              <w:bottom w:val="single" w:color="auto" w:sz="4" w:space="0"/>
              <w:right w:val="single" w:color="auto" w:sz="4" w:space="0"/>
            </w:tcBorders>
            <w:shd w:val="clear" w:color="auto" w:fill="auto"/>
            <w:vAlign w:val="center"/>
          </w:tcPr>
          <w:p w14:paraId="3F37420F">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5382237A">
            <w:pPr>
              <w:adjustRightInd/>
              <w:snapToGrid/>
              <w:spacing w:after="0" w:line="240" w:lineRule="exact"/>
              <w:jc w:val="both"/>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对无理抗拒、阻挠劳动保障行政部门依照本条例的规定实施劳动保障监察的处罚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305BEE2E">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551725F6">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《劳动保障监察条例》（2004年10月26日国务院令第423号）第三十条第一</w:t>
            </w:r>
            <w:r>
              <w:rPr>
                <w:rFonts w:hint="eastAsia" w:cs="宋体" w:asciiTheme="minorEastAsia" w:hAnsiTheme="minorEastAsia" w:eastAsiaTheme="minorEastAsia"/>
                <w:sz w:val="18"/>
                <w:szCs w:val="18"/>
                <w:lang w:eastAsia="zh-CN"/>
              </w:rPr>
              <w:t>款</w:t>
            </w:r>
            <w:r>
              <w:rPr>
                <w:rFonts w:hint="eastAsia" w:cs="宋体" w:asciiTheme="minorEastAsia" w:hAnsiTheme="minorEastAsia" w:eastAsiaTheme="minorEastAsia"/>
                <w:sz w:val="18"/>
                <w:szCs w:val="18"/>
              </w:rPr>
              <w:t>有下列行为之一的，由劳动保障行政部门责令改正；对有第</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一</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项、第</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二</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项或者第</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三</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项规定的行为的，处2000元以上2万元以下的罚款：</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一</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无理抗拒、阻挠劳动保障行政部门依照本条例的规定实施劳动保障监察的；</w:t>
            </w:r>
          </w:p>
        </w:tc>
        <w:tc>
          <w:tcPr>
            <w:tcW w:w="2260" w:type="dxa"/>
            <w:tcBorders>
              <w:top w:val="single" w:color="auto" w:sz="4" w:space="0"/>
              <w:left w:val="nil"/>
              <w:bottom w:val="single" w:color="auto" w:sz="4" w:space="0"/>
              <w:right w:val="single" w:color="auto" w:sz="4" w:space="0"/>
            </w:tcBorders>
            <w:shd w:val="clear" w:color="auto" w:fill="auto"/>
            <w:vAlign w:val="center"/>
          </w:tcPr>
          <w:p w14:paraId="26ABCA30">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投诉、举报的需要投诉者提投诉书或举报书并填写举报投诉登记表。日常巡查中发现的问题需填写现场调查记录。</w:t>
            </w:r>
          </w:p>
          <w:p w14:paraId="7AE3959C">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针对具体违法行为依法调查取证，制作询问笔录，查阅、复印、录制相关资料，完成调查取证后，提交调查终结报告和意见，并填写案件处理审批表。对违法事实清楚的行为下达《劳动保障限期改正通知书》并制作《劳动保障监察送达回证》；对要求被检查单位提供相关材料的，下达《劳动保障监察询问通知书》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调查应当自立案之日起60个工作日内完成，对情况复杂的，经劳动保障行政部门负责人批准，可以延长30个工作日。</w:t>
            </w:r>
          </w:p>
          <w:p w14:paraId="2377F8CE">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，对违法事实轻微，且已在期限内改正的，经集体讨论，劳动保障监察机构负责人审批通过后可以撤销立案。</w:t>
            </w:r>
            <w:r>
              <w:rPr>
                <w:rFonts w:hint="eastAsia" w:cs="宋体" w:asciiTheme="minorEastAsia" w:hAnsiTheme="minorEastAsia" w:eastAsiaTheme="minorEastAsia"/>
                <w:color w:val="000000" w:themeColor="text1"/>
                <w:sz w:val="18"/>
                <w:szCs w:val="18"/>
                <w14:textFill>
                  <w14:solidFill>
                    <w14:schemeClr w14:val="tx1"/>
                  </w14:solidFill>
                </w14:textFill>
              </w:rPr>
              <w:t>（主要证据不足时，以适当的方式补充调查）。</w:t>
            </w:r>
          </w:p>
          <w:p w14:paraId="6AC46325">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告知违法事实及其享有的陈述、申辩等权利。符合听证规定的，制作并送达《劳动保障监察行政处罚听证告知书》</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1C13B4A8">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11CFCA23">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（包括：直接送达、张贴送达、邮寄送达）</w:t>
            </w:r>
          </w:p>
          <w:p w14:paraId="66C7EBCE">
            <w:pPr>
              <w:adjustRightInd/>
              <w:snapToGrid/>
              <w:spacing w:after="0" w:line="240" w:lineRule="exact"/>
              <w:rPr>
                <w:rFonts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，执行收支两条线制度，罚款上交国库</w:t>
            </w:r>
            <w:r>
              <w:rPr>
                <w:rFonts w:hint="eastAsia" w:cs="宋体" w:asciiTheme="minorEastAsia" w:hAnsiTheme="minorEastAsia" w:eastAsiaTheme="minorEastAsia"/>
                <w:color w:val="000000" w:themeColor="text1"/>
                <w:sz w:val="18"/>
                <w:szCs w:val="18"/>
                <w14:textFill>
                  <w14:solidFill>
                    <w14:schemeClr w14:val="tx1"/>
                  </w14:solidFill>
                </w14:textFill>
              </w:rPr>
              <w:t>。</w:t>
            </w:r>
          </w:p>
        </w:tc>
        <w:tc>
          <w:tcPr>
            <w:tcW w:w="2800" w:type="dxa"/>
            <w:tcBorders>
              <w:top w:val="single" w:color="auto" w:sz="4" w:space="0"/>
              <w:left w:val="nil"/>
              <w:bottom w:val="single" w:color="auto" w:sz="4" w:space="0"/>
              <w:right w:val="single" w:color="auto" w:sz="4" w:space="0"/>
            </w:tcBorders>
            <w:shd w:val="clear" w:color="auto" w:fill="auto"/>
            <w:vAlign w:val="center"/>
          </w:tcPr>
          <w:p w14:paraId="70EF318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790B963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63458C26">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6AF86D14">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0BA3EED6">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6FEEDDEC">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5D5D32FF">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053FD1DC">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69F375C0">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4B886490">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754E9876">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0A92E873">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0478D2F7">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3247900F">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78811A6A">
            <w:pPr>
              <w:adjustRightInd/>
              <w:snapToGrid/>
              <w:spacing w:after="0" w:line="240" w:lineRule="exact"/>
              <w:jc w:val="center"/>
              <w:rPr>
                <w:rFonts w:hint="default"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12</w:t>
            </w:r>
          </w:p>
        </w:tc>
        <w:tc>
          <w:tcPr>
            <w:tcW w:w="1080" w:type="dxa"/>
            <w:tcBorders>
              <w:top w:val="single" w:color="auto" w:sz="4" w:space="0"/>
              <w:left w:val="nil"/>
              <w:bottom w:val="single" w:color="auto" w:sz="4" w:space="0"/>
              <w:right w:val="single" w:color="auto" w:sz="4" w:space="0"/>
            </w:tcBorders>
            <w:shd w:val="clear" w:color="auto" w:fill="auto"/>
            <w:vAlign w:val="center"/>
          </w:tcPr>
          <w:p w14:paraId="4CBE2918">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194D275D">
            <w:pPr>
              <w:adjustRightInd/>
              <w:snapToGrid/>
              <w:spacing w:after="0" w:line="240" w:lineRule="exact"/>
              <w:jc w:val="both"/>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对不按照劳动保障行政部门的要求报送书面材料，隐瞒事实真相，出具伪证或者隐匿、毁灭证据的处罚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7066E522">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3F0A36AC">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《劳动保障监察条例》（2004年10月26日国务院令第423号）第三十条第</w:t>
            </w:r>
            <w:r>
              <w:rPr>
                <w:rFonts w:hint="eastAsia" w:cs="宋体" w:asciiTheme="minorEastAsia" w:hAnsiTheme="minorEastAsia" w:eastAsiaTheme="minorEastAsia"/>
                <w:sz w:val="18"/>
                <w:szCs w:val="18"/>
                <w:lang w:eastAsia="zh-CN"/>
              </w:rPr>
              <w:t>一款</w:t>
            </w:r>
            <w:r>
              <w:rPr>
                <w:rFonts w:hint="eastAsia" w:cs="宋体" w:asciiTheme="minorEastAsia" w:hAnsiTheme="minorEastAsia" w:eastAsiaTheme="minorEastAsia"/>
                <w:sz w:val="18"/>
                <w:szCs w:val="18"/>
              </w:rPr>
              <w:t>有下列行为之一的，由劳动保障行政部门责令改正；对有第</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一</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项、第</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二</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项或者第</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三</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项规定的行为的，处2000元以上2万元以下的罚款：</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二</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不按照劳动保障行政部门的要求报送书面材料，隐瞒事实真相，出具伪证或者隐匿、毁灭证据的；</w:t>
            </w:r>
          </w:p>
        </w:tc>
        <w:tc>
          <w:tcPr>
            <w:tcW w:w="2260" w:type="dxa"/>
            <w:tcBorders>
              <w:top w:val="single" w:color="auto" w:sz="4" w:space="0"/>
              <w:left w:val="nil"/>
              <w:bottom w:val="single" w:color="auto" w:sz="4" w:space="0"/>
              <w:right w:val="single" w:color="auto" w:sz="4" w:space="0"/>
            </w:tcBorders>
            <w:shd w:val="clear" w:color="auto" w:fill="auto"/>
            <w:vAlign w:val="center"/>
          </w:tcPr>
          <w:p w14:paraId="06752B56">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投诉、举报的需要投诉者提投诉书或举报书并填写举报投诉登记表。日常巡查中发现的问题需填写现场调查记录。</w:t>
            </w:r>
          </w:p>
          <w:p w14:paraId="32774DC9">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针对具体违法行为依法调查取证，制作询问笔录，查阅、复印、录制相关资料，完成调查取证后，提交调查终结报告和意见，并填写案件处理审批表。对违法事实清楚的行为下达《劳动保障限期改正通知书》并制作《劳动保障监察送达回证》；对要求被检查单位提供相关材料的，下达《劳动保障监察询问通知书》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调查应当自立案之日起60个工作日内完成，对情况复杂的，经劳动保障行政部门负责人批准，可以延长30个工作日。</w:t>
            </w:r>
          </w:p>
          <w:p w14:paraId="1BE44F21">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，对违法事实轻微，且已在期限内改正的，经集体讨论，劳动保障监察机构负责人审批通过后可以撤销立案。</w:t>
            </w:r>
            <w:r>
              <w:rPr>
                <w:rFonts w:hint="eastAsia" w:cs="宋体" w:asciiTheme="minorEastAsia" w:hAnsiTheme="minorEastAsia" w:eastAsiaTheme="minorEastAsia"/>
                <w:color w:val="000000" w:themeColor="text1"/>
                <w:sz w:val="18"/>
                <w:szCs w:val="18"/>
                <w14:textFill>
                  <w14:solidFill>
                    <w14:schemeClr w14:val="tx1"/>
                  </w14:solidFill>
                </w14:textFill>
              </w:rPr>
              <w:t>（主要证据不足时，以适当的方式补充调查）。</w:t>
            </w:r>
          </w:p>
          <w:p w14:paraId="36575F48">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告知违法事实及其享有的陈述、申辩等权利。符合听证规定的，制作并送达《劳动保障监察行政处罚听证告知书》</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040E272B">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044B5C00">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（包括：直接送达、张贴送达、邮寄送达）</w:t>
            </w:r>
          </w:p>
          <w:p w14:paraId="79E81B43">
            <w:pPr>
              <w:adjustRightInd/>
              <w:snapToGrid/>
              <w:spacing w:after="0" w:line="240" w:lineRule="exact"/>
              <w:rPr>
                <w:rFonts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，执行收支两条线制度，罚款上交国库</w:t>
            </w:r>
            <w:r>
              <w:rPr>
                <w:rFonts w:hint="eastAsia" w:cs="宋体" w:asciiTheme="minorEastAsia" w:hAnsiTheme="minorEastAsia" w:eastAsiaTheme="minorEastAsia"/>
                <w:color w:val="000000" w:themeColor="text1"/>
                <w:sz w:val="18"/>
                <w:szCs w:val="18"/>
                <w14:textFill>
                  <w14:solidFill>
                    <w14:schemeClr w14:val="tx1"/>
                  </w14:solidFill>
                </w14:textFill>
              </w:rPr>
              <w:t>。。</w:t>
            </w:r>
          </w:p>
        </w:tc>
        <w:tc>
          <w:tcPr>
            <w:tcW w:w="2800" w:type="dxa"/>
            <w:tcBorders>
              <w:top w:val="single" w:color="auto" w:sz="4" w:space="0"/>
              <w:left w:val="nil"/>
              <w:bottom w:val="single" w:color="auto" w:sz="4" w:space="0"/>
              <w:right w:val="single" w:color="auto" w:sz="4" w:space="0"/>
            </w:tcBorders>
            <w:shd w:val="clear" w:color="auto" w:fill="auto"/>
            <w:vAlign w:val="center"/>
          </w:tcPr>
          <w:p w14:paraId="2E00AD33">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668A0B3D">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5C4B420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0ADDF18B">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68DC5567">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5E7C0E08">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5D113F56">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4AF5625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432CC254">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14929D5C">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6118E573">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4EBF7D98">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5847D724">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6F7AD954">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39169BA0">
            <w:pPr>
              <w:adjustRightInd/>
              <w:snapToGrid/>
              <w:spacing w:after="0" w:line="240" w:lineRule="exact"/>
              <w:jc w:val="center"/>
              <w:rPr>
                <w:rFonts w:hint="default"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13</w:t>
            </w:r>
          </w:p>
        </w:tc>
        <w:tc>
          <w:tcPr>
            <w:tcW w:w="1080" w:type="dxa"/>
            <w:tcBorders>
              <w:top w:val="single" w:color="auto" w:sz="4" w:space="0"/>
              <w:left w:val="nil"/>
              <w:bottom w:val="single" w:color="auto" w:sz="4" w:space="0"/>
              <w:right w:val="single" w:color="auto" w:sz="4" w:space="0"/>
            </w:tcBorders>
            <w:shd w:val="clear" w:color="auto" w:fill="auto"/>
            <w:vAlign w:val="center"/>
          </w:tcPr>
          <w:p w14:paraId="3028E6D5">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0C5A7A18">
            <w:pPr>
              <w:adjustRightInd/>
              <w:snapToGrid/>
              <w:spacing w:after="0" w:line="240" w:lineRule="exact"/>
              <w:jc w:val="both"/>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对经劳动保障行政部门责令改正拒不改正，或者不履行劳动保障行政部门的行政处理决定的处罚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107BB33C">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12B65715">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《劳动保障监察条例》（2004年10月26日国务院令第423号）第三十条第</w:t>
            </w:r>
            <w:r>
              <w:rPr>
                <w:rFonts w:hint="eastAsia" w:cs="宋体" w:asciiTheme="minorEastAsia" w:hAnsiTheme="minorEastAsia" w:eastAsiaTheme="minorEastAsia"/>
                <w:sz w:val="18"/>
                <w:szCs w:val="18"/>
                <w:lang w:eastAsia="zh-CN"/>
              </w:rPr>
              <w:t>一款</w:t>
            </w:r>
            <w:r>
              <w:rPr>
                <w:rFonts w:hint="eastAsia" w:cs="宋体" w:asciiTheme="minorEastAsia" w:hAnsiTheme="minorEastAsia" w:eastAsiaTheme="minorEastAsia"/>
                <w:sz w:val="18"/>
                <w:szCs w:val="18"/>
              </w:rPr>
              <w:t>有下列行为之一的，由劳动保障行政部门责令改正；对有第</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一</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项、第</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二</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项或者第</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三</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项规定的行为的，处2000元以上2万元以下的罚款：</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三</w:t>
            </w:r>
            <w:r>
              <w:rPr>
                <w:rFonts w:hint="eastAsia" w:cs="宋体" w:asciiTheme="minorEastAsia" w:hAnsiTheme="minorEastAsia" w:eastAsiaTheme="minorEastAsia"/>
                <w:sz w:val="18"/>
                <w:szCs w:val="18"/>
                <w:highlight w:val="none"/>
              </w:rPr>
              <w:t>)</w:t>
            </w:r>
            <w:r>
              <w:rPr>
                <w:rFonts w:hint="eastAsia" w:cs="宋体" w:asciiTheme="minorEastAsia" w:hAnsiTheme="minorEastAsia" w:eastAsiaTheme="minorEastAsia"/>
                <w:sz w:val="18"/>
                <w:szCs w:val="18"/>
              </w:rPr>
              <w:t>经劳动保障行政部门责令改正拒不改正，或者拒不履行劳动保障行政部门的行政处理决定的；</w:t>
            </w:r>
          </w:p>
        </w:tc>
        <w:tc>
          <w:tcPr>
            <w:tcW w:w="2260" w:type="dxa"/>
            <w:tcBorders>
              <w:top w:val="single" w:color="auto" w:sz="4" w:space="0"/>
              <w:left w:val="nil"/>
              <w:bottom w:val="single" w:color="auto" w:sz="4" w:space="0"/>
              <w:right w:val="single" w:color="auto" w:sz="4" w:space="0"/>
            </w:tcBorders>
            <w:shd w:val="clear" w:color="auto" w:fill="auto"/>
            <w:vAlign w:val="center"/>
          </w:tcPr>
          <w:p w14:paraId="28F46A94">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投诉、举报的需要投诉者提投诉书或举报书并填写举报投诉登记表。日常巡查中发现的问题需填写现场调查记录。</w:t>
            </w:r>
          </w:p>
          <w:p w14:paraId="17860836">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针对具体违法行为依法调查取证，制作询问笔录，查阅、复印、录制相关资料，完成调查取证后，提交调查终结报告和意见，并填写案件处理审批表。对违法事实清楚的行为下达《劳动保障限期改正通知书》并制作《劳动保障监察送达回证》；对要求被检查单位提供相关材料的，下达《劳动保障监察询问通知书》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调查应当自立案之日起60个工作日内完成，对情况复杂的，经劳动保障行政部门负责人批准，可以延长30个工作日。</w:t>
            </w:r>
          </w:p>
          <w:p w14:paraId="46AC65A1">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，对违法事实轻微，且已在期限内改正的，经集体讨论，劳动保障监察机构负责人审批通过后可以撤销立案。</w:t>
            </w:r>
            <w:r>
              <w:rPr>
                <w:rFonts w:hint="eastAsia" w:cs="宋体" w:asciiTheme="minorEastAsia" w:hAnsiTheme="minorEastAsia" w:eastAsiaTheme="minorEastAsia"/>
                <w:color w:val="000000" w:themeColor="text1"/>
                <w:sz w:val="18"/>
                <w:szCs w:val="18"/>
                <w14:textFill>
                  <w14:solidFill>
                    <w14:schemeClr w14:val="tx1"/>
                  </w14:solidFill>
                </w14:textFill>
              </w:rPr>
              <w:t>（主要证据不足时，以适当的方式补充调查）。</w:t>
            </w:r>
          </w:p>
          <w:p w14:paraId="6870E145">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告知违法事实及其享有的陈述、申辩等权利。符合听证规定的，制作并送达《劳动保障监察行政处罚听证告知书》</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42CAE62C">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464286A5">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（包括：直接送达、张贴送达、邮寄送达）</w:t>
            </w:r>
          </w:p>
          <w:p w14:paraId="6455680F">
            <w:pPr>
              <w:adjustRightInd/>
              <w:snapToGrid/>
              <w:spacing w:after="0" w:line="240" w:lineRule="exact"/>
              <w:rPr>
                <w:rFonts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，执行收支两条线制度，罚款上交国库</w:t>
            </w:r>
            <w:r>
              <w:rPr>
                <w:rFonts w:hint="eastAsia" w:cs="宋体" w:asciiTheme="minorEastAsia" w:hAnsiTheme="minorEastAsia" w:eastAsiaTheme="minorEastAsia"/>
                <w:color w:val="000000" w:themeColor="text1"/>
                <w:sz w:val="18"/>
                <w:szCs w:val="18"/>
                <w14:textFill>
                  <w14:solidFill>
                    <w14:schemeClr w14:val="tx1"/>
                  </w14:solidFill>
                </w14:textFill>
              </w:rPr>
              <w:t>。</w:t>
            </w:r>
          </w:p>
        </w:tc>
        <w:tc>
          <w:tcPr>
            <w:tcW w:w="2800" w:type="dxa"/>
            <w:tcBorders>
              <w:top w:val="single" w:color="auto" w:sz="4" w:space="0"/>
              <w:left w:val="nil"/>
              <w:bottom w:val="single" w:color="auto" w:sz="4" w:space="0"/>
              <w:right w:val="single" w:color="auto" w:sz="4" w:space="0"/>
            </w:tcBorders>
            <w:shd w:val="clear" w:color="auto" w:fill="auto"/>
            <w:vAlign w:val="center"/>
          </w:tcPr>
          <w:p w14:paraId="21C579F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518F0F72">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24DEF832">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4BA6F8D4">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7A430921">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13F89A2F">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7CBA4AA5">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2B3995CA">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0BD0A553">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4C163BD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16FCD607">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35518662">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72CE382E">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244A73F8">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7E226B06">
            <w:pPr>
              <w:adjustRightInd/>
              <w:snapToGrid/>
              <w:spacing w:after="0" w:line="240" w:lineRule="exact"/>
              <w:jc w:val="center"/>
              <w:rPr>
                <w:rFonts w:hint="default"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14</w:t>
            </w:r>
          </w:p>
        </w:tc>
        <w:tc>
          <w:tcPr>
            <w:tcW w:w="1080" w:type="dxa"/>
            <w:tcBorders>
              <w:top w:val="single" w:color="auto" w:sz="4" w:space="0"/>
              <w:left w:val="nil"/>
              <w:bottom w:val="single" w:color="auto" w:sz="4" w:space="0"/>
              <w:right w:val="single" w:color="auto" w:sz="4" w:space="0"/>
            </w:tcBorders>
            <w:shd w:val="clear" w:color="auto" w:fill="auto"/>
            <w:vAlign w:val="center"/>
          </w:tcPr>
          <w:p w14:paraId="2421A49D">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2640B643">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对招用劳动者收取抵押金、保证金以及扣留劳动者证件或者档案的处罚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64F81D83">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423C49B8">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河北省劳动和社会保障监察条例》（2002年7月30日省人大常委会公告第72号）第二十二条第二项用人单位或者就业服务机构违反有关规定，有下列行为之一的，由县级以上人民政府劳动和社会保障行政部门责令改正，并予以罚款：（二）招用劳动者收取抵押金、保证金以及扣留劳动者证件或者档案的，按照每涉及一人处以五百元以上一千元以下罚款；</w:t>
            </w:r>
          </w:p>
        </w:tc>
        <w:tc>
          <w:tcPr>
            <w:tcW w:w="2260" w:type="dxa"/>
            <w:tcBorders>
              <w:top w:val="single" w:color="auto" w:sz="4" w:space="0"/>
              <w:left w:val="nil"/>
              <w:bottom w:val="single" w:color="auto" w:sz="4" w:space="0"/>
              <w:right w:val="single" w:color="auto" w:sz="4" w:space="0"/>
            </w:tcBorders>
            <w:shd w:val="clear" w:color="auto" w:fill="auto"/>
            <w:vAlign w:val="center"/>
          </w:tcPr>
          <w:p w14:paraId="6037F137">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投诉、举报的需要投诉者提投诉书或举报书并填写举报投诉登记表。日常巡查中发现的问题需填写现场调查记录。</w:t>
            </w:r>
          </w:p>
          <w:p w14:paraId="303D242F">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针对具体违法行为依法调查取证，制作询问笔录，查阅、复印、录制相关资料，完成调查取证后，提交调查终结报告和意见，并填写案件处理审批表。对违法事实清楚的行为下达《劳动保障限期改正通知书》并制作《劳动保障监察送达回证》；对要求被检查单位提供相关材料的，下达《劳动保障监察询问通知书》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调查应当自立案之日起60个工作日内完成，对情况复杂的，经劳动保障行政部门负责人批准，可以延长30个工作日。</w:t>
            </w:r>
          </w:p>
          <w:p w14:paraId="3985D224">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，对违法事实轻微，且已在期限内改正的，经集体讨论，劳动保障监察机构负责人审批通过后可以撤销立案。</w:t>
            </w:r>
            <w:r>
              <w:rPr>
                <w:rFonts w:hint="eastAsia" w:cs="宋体" w:asciiTheme="minorEastAsia" w:hAnsiTheme="minorEastAsia" w:eastAsiaTheme="minorEastAsia"/>
                <w:color w:val="000000" w:themeColor="text1"/>
                <w:sz w:val="18"/>
                <w:szCs w:val="18"/>
                <w14:textFill>
                  <w14:solidFill>
                    <w14:schemeClr w14:val="tx1"/>
                  </w14:solidFill>
                </w14:textFill>
              </w:rPr>
              <w:t>（主要证据不足时，以适当的方式补充调查）。</w:t>
            </w:r>
          </w:p>
          <w:p w14:paraId="4B3F3904">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告知违法事实及其享有的陈述、申辩等权利。符合听证规定的，制作并送达《劳动保障监察行政处罚听证告知书》</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3DAAC613">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1712488F">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（包括：直接送达、张贴送达、邮寄送达）</w:t>
            </w:r>
          </w:p>
          <w:p w14:paraId="7C3D1975">
            <w:pPr>
              <w:adjustRightInd/>
              <w:snapToGrid/>
              <w:spacing w:after="0" w:line="240" w:lineRule="exact"/>
              <w:rPr>
                <w:rFonts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，执行收支两条线制度，罚款上交国库</w:t>
            </w:r>
            <w:r>
              <w:rPr>
                <w:rFonts w:hint="eastAsia" w:cs="宋体" w:asciiTheme="minorEastAsia" w:hAnsiTheme="minorEastAsia" w:eastAsiaTheme="minorEastAsia"/>
                <w:color w:val="000000" w:themeColor="text1"/>
                <w:sz w:val="18"/>
                <w:szCs w:val="18"/>
                <w14:textFill>
                  <w14:solidFill>
                    <w14:schemeClr w14:val="tx1"/>
                  </w14:solidFill>
                </w14:textFill>
              </w:rPr>
              <w:t>。。</w:t>
            </w:r>
          </w:p>
        </w:tc>
        <w:tc>
          <w:tcPr>
            <w:tcW w:w="2800" w:type="dxa"/>
            <w:tcBorders>
              <w:top w:val="single" w:color="auto" w:sz="4" w:space="0"/>
              <w:left w:val="nil"/>
              <w:bottom w:val="single" w:color="auto" w:sz="4" w:space="0"/>
              <w:right w:val="single" w:color="auto" w:sz="4" w:space="0"/>
            </w:tcBorders>
            <w:shd w:val="clear" w:color="auto" w:fill="auto"/>
            <w:vAlign w:val="center"/>
          </w:tcPr>
          <w:p w14:paraId="2E1F7015">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0E43A78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5C8CE3E7">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44267E5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75A93004">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68CAB0BC">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4ED4C4D3">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192DD455">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0D170FB6">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3667C826">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232594F4">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5A3EF2B5">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2E634A73">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50F7C2F4">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26222375">
            <w:pPr>
              <w:adjustRightInd/>
              <w:snapToGrid/>
              <w:spacing w:after="0" w:line="240" w:lineRule="exact"/>
              <w:jc w:val="center"/>
              <w:rPr>
                <w:rFonts w:hint="default"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15</w:t>
            </w:r>
          </w:p>
        </w:tc>
        <w:tc>
          <w:tcPr>
            <w:tcW w:w="1080" w:type="dxa"/>
            <w:tcBorders>
              <w:top w:val="single" w:color="auto" w:sz="4" w:space="0"/>
              <w:left w:val="nil"/>
              <w:bottom w:val="single" w:color="auto" w:sz="4" w:space="0"/>
              <w:right w:val="single" w:color="auto" w:sz="4" w:space="0"/>
            </w:tcBorders>
            <w:shd w:val="clear" w:color="auto" w:fill="auto"/>
            <w:vAlign w:val="center"/>
          </w:tcPr>
          <w:p w14:paraId="10291184">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1FA4E43A">
            <w:pPr>
              <w:adjustRightInd/>
              <w:snapToGrid/>
              <w:spacing w:after="0" w:line="240" w:lineRule="exact"/>
              <w:jc w:val="both"/>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对用人单位未按规定与劳动者订立书面劳动合同或者违反规定条件解除劳动合同，逾期不改正的处罚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384E1DC0">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302F556C">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河北省劳动和社会保障监察条例》（2002年7月30日省人大常委会公告第72号）第二十三条用人单位未按规定与劳动者订立书面劳动合同或者违反规定条件解除劳动合同的，由县级以上人民政府劳动和社会保障行政部门责令限期改正，逾期不改正的，按照每涉及一人处以五百元以上一千元以下罚款；对劳动者造成损害的，依法承担赔偿责任。</w:t>
            </w:r>
          </w:p>
        </w:tc>
        <w:tc>
          <w:tcPr>
            <w:tcW w:w="2260" w:type="dxa"/>
            <w:tcBorders>
              <w:top w:val="single" w:color="auto" w:sz="4" w:space="0"/>
              <w:left w:val="nil"/>
              <w:bottom w:val="single" w:color="auto" w:sz="4" w:space="0"/>
              <w:right w:val="single" w:color="auto" w:sz="4" w:space="0"/>
            </w:tcBorders>
            <w:shd w:val="clear" w:color="auto" w:fill="auto"/>
            <w:vAlign w:val="center"/>
          </w:tcPr>
          <w:p w14:paraId="07AF3B9B">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投诉、举报的需要投诉者提投诉书或举报书并填写举报投诉登记表。日常巡查中发现的问题需填写现场调查记录。</w:t>
            </w:r>
          </w:p>
          <w:p w14:paraId="1A638DD8">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针对具体违法行为依法调查取证，制作询问笔录，查阅、复印、录制相关资料，完成调查取证后，提交调查终结报告和意见，并填写案件处理审批表。对违法事实清楚的行为下达《劳动保障限期改正通知书》并制作《劳动保障监察送达回证》；对要求被检查单位提供相关材料的，下达《劳动保障监察询问通知书》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调查应当自立案之日起60个工作日内完成，对情况复杂的，经劳动保障行政部门负责人批准，可以延长30个工作日。</w:t>
            </w:r>
          </w:p>
          <w:p w14:paraId="79334E66">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，对违法事实轻微，且已在期限内改正的，经集体讨论，劳动保障监察机构负责人审批通过后可以撤销立案。</w:t>
            </w:r>
            <w:r>
              <w:rPr>
                <w:rFonts w:hint="eastAsia" w:cs="宋体" w:asciiTheme="minorEastAsia" w:hAnsiTheme="minorEastAsia" w:eastAsiaTheme="minorEastAsia"/>
                <w:color w:val="000000" w:themeColor="text1"/>
                <w:sz w:val="18"/>
                <w:szCs w:val="18"/>
                <w14:textFill>
                  <w14:solidFill>
                    <w14:schemeClr w14:val="tx1"/>
                  </w14:solidFill>
                </w14:textFill>
              </w:rPr>
              <w:t>（主要证据不足时，以适当的方式补充调查）。</w:t>
            </w:r>
          </w:p>
          <w:p w14:paraId="159BB0DF">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告知违法事实及其享有的陈述、申辩等权利。符合听证规定的，制作并送达《劳动保障监察行政处罚听证告知书》</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432A22AC">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5F3A5D98">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（包括：直接送达、张贴送达、邮寄送达）</w:t>
            </w:r>
          </w:p>
          <w:p w14:paraId="0149DCF6">
            <w:pPr>
              <w:adjustRightInd/>
              <w:snapToGrid/>
              <w:spacing w:after="0" w:line="240" w:lineRule="exact"/>
              <w:rPr>
                <w:rFonts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，执行收支两条线制度，罚款上交国库</w:t>
            </w:r>
            <w:r>
              <w:rPr>
                <w:rFonts w:hint="eastAsia" w:cs="宋体" w:asciiTheme="minorEastAsia" w:hAnsiTheme="minorEastAsia" w:eastAsiaTheme="minorEastAsia"/>
                <w:color w:val="000000" w:themeColor="text1"/>
                <w:sz w:val="18"/>
                <w:szCs w:val="18"/>
                <w14:textFill>
                  <w14:solidFill>
                    <w14:schemeClr w14:val="tx1"/>
                  </w14:solidFill>
                </w14:textFill>
              </w:rPr>
              <w:t>。</w:t>
            </w:r>
          </w:p>
        </w:tc>
        <w:tc>
          <w:tcPr>
            <w:tcW w:w="2800" w:type="dxa"/>
            <w:tcBorders>
              <w:top w:val="single" w:color="auto" w:sz="4" w:space="0"/>
              <w:left w:val="nil"/>
              <w:bottom w:val="single" w:color="auto" w:sz="4" w:space="0"/>
              <w:right w:val="single" w:color="auto" w:sz="4" w:space="0"/>
            </w:tcBorders>
            <w:shd w:val="clear" w:color="auto" w:fill="auto"/>
            <w:vAlign w:val="center"/>
          </w:tcPr>
          <w:p w14:paraId="426F84F3">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0640B7D2">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194A57E4">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1BAA8558">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577F0E5D">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418A394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669FA5B7">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1F45928B">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7FA5091B">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6B0BB144">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2CFC11D5">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22838029">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29998290">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2DB41341">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2609B79C">
            <w:pPr>
              <w:adjustRightInd/>
              <w:snapToGrid/>
              <w:spacing w:after="0" w:line="240" w:lineRule="exact"/>
              <w:jc w:val="center"/>
              <w:rPr>
                <w:rFonts w:hint="default"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16</w:t>
            </w:r>
          </w:p>
        </w:tc>
        <w:tc>
          <w:tcPr>
            <w:tcW w:w="1080" w:type="dxa"/>
            <w:tcBorders>
              <w:top w:val="single" w:color="auto" w:sz="4" w:space="0"/>
              <w:left w:val="nil"/>
              <w:bottom w:val="single" w:color="auto" w:sz="4" w:space="0"/>
              <w:right w:val="single" w:color="auto" w:sz="4" w:space="0"/>
            </w:tcBorders>
            <w:shd w:val="clear" w:color="auto" w:fill="auto"/>
            <w:vAlign w:val="center"/>
          </w:tcPr>
          <w:p w14:paraId="0390D655">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5EFC8F36">
            <w:pPr>
              <w:adjustRightInd/>
              <w:snapToGrid/>
              <w:spacing w:after="0" w:line="240" w:lineRule="exact"/>
              <w:jc w:val="both"/>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对用人单位违反女职工和未成年工特殊保护规定的处罚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61B35CB5">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117578C0">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河北省劳动和社会保障监察条例》（2002年7月30日省人大常委会公告第72号）第二十四条用人单位违反女职工和未成年工特殊保护规定，侵害其合法权益的，由县级以上人民政府劳动和社会保障行政部门责令限期改正，并按照每涉及一人处以三千元以上五千元以下罚款；对女职工或者未成年工造成损害的，应当承担赔偿责任。</w:t>
            </w:r>
          </w:p>
        </w:tc>
        <w:tc>
          <w:tcPr>
            <w:tcW w:w="2260" w:type="dxa"/>
            <w:tcBorders>
              <w:top w:val="single" w:color="auto" w:sz="4" w:space="0"/>
              <w:left w:val="nil"/>
              <w:bottom w:val="single" w:color="auto" w:sz="4" w:space="0"/>
              <w:right w:val="single" w:color="auto" w:sz="4" w:space="0"/>
            </w:tcBorders>
            <w:shd w:val="clear" w:color="auto" w:fill="auto"/>
            <w:vAlign w:val="center"/>
          </w:tcPr>
          <w:p w14:paraId="62717D72">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投诉、举报的需要投诉者提投诉书或举报书并填写举报投诉登记表。日常巡查中发现的问题需填写现场调查记录。</w:t>
            </w:r>
          </w:p>
          <w:p w14:paraId="2DF5EDE5">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针对具体违法行为依法调查取证，制作询问笔录，查阅、复印、录制相关资料，完成调查取证后，提交调查终结报告和意见，并填写案件处理审批表。对违法事实清楚的行为下达《劳动保障限期改正通知书》并制作《劳动保障监察送达回证》；对要求被检查单位提供相关材料的，下达《劳动保障监察询问通知书》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调查应当自立案之日起60个工作日内完成，对情况复杂的，经劳动保障行政部门负责人批准，可以延长30个工作日。</w:t>
            </w:r>
          </w:p>
          <w:p w14:paraId="086AB99C">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，对违法事实轻微，且已在期限内改正的，经集体讨论，劳动保障监察机构负责人审批通过后可以撤销立案。</w:t>
            </w:r>
            <w:r>
              <w:rPr>
                <w:rFonts w:hint="eastAsia" w:cs="宋体" w:asciiTheme="minorEastAsia" w:hAnsiTheme="minorEastAsia" w:eastAsiaTheme="minorEastAsia"/>
                <w:color w:val="000000" w:themeColor="text1"/>
                <w:sz w:val="18"/>
                <w:szCs w:val="18"/>
                <w14:textFill>
                  <w14:solidFill>
                    <w14:schemeClr w14:val="tx1"/>
                  </w14:solidFill>
                </w14:textFill>
              </w:rPr>
              <w:t>（主要证据不足时，以适当的方式补充调查）。</w:t>
            </w:r>
          </w:p>
          <w:p w14:paraId="53D82A86">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告知违法事实及其享有的陈述、申辩等权利。符合听证规定的，制作并送达《劳动保障监察行政处罚听证告知书》</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03143FBD">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035525D8">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（包括：直接送达、张贴送达、邮寄送达）</w:t>
            </w:r>
          </w:p>
          <w:p w14:paraId="1ACE471A">
            <w:pPr>
              <w:adjustRightInd/>
              <w:snapToGrid/>
              <w:spacing w:after="0" w:line="240" w:lineRule="exact"/>
              <w:rPr>
                <w:rFonts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，执行收支两条线制度，罚款上交国库</w:t>
            </w:r>
            <w:r>
              <w:rPr>
                <w:rFonts w:hint="eastAsia" w:cs="宋体" w:asciiTheme="minorEastAsia" w:hAnsiTheme="minorEastAsia" w:eastAsiaTheme="minorEastAsia"/>
                <w:color w:val="000000" w:themeColor="text1"/>
                <w:sz w:val="18"/>
                <w:szCs w:val="18"/>
                <w14:textFill>
                  <w14:solidFill>
                    <w14:schemeClr w14:val="tx1"/>
                  </w14:solidFill>
                </w14:textFill>
              </w:rPr>
              <w:t>。</w:t>
            </w:r>
          </w:p>
        </w:tc>
        <w:tc>
          <w:tcPr>
            <w:tcW w:w="2800" w:type="dxa"/>
            <w:tcBorders>
              <w:top w:val="single" w:color="auto" w:sz="4" w:space="0"/>
              <w:left w:val="nil"/>
              <w:bottom w:val="single" w:color="auto" w:sz="4" w:space="0"/>
              <w:right w:val="single" w:color="auto" w:sz="4" w:space="0"/>
            </w:tcBorders>
            <w:shd w:val="clear" w:color="auto" w:fill="auto"/>
            <w:vAlign w:val="center"/>
          </w:tcPr>
          <w:p w14:paraId="5BF90AFC">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5EB110C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41C383D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72193FE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22C2F7FA">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1BE79ACC">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403D077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088CD945">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4913175B">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2FC8CAEB">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202C8371">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479F8B55">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34EB3C71">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776FFF5D">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79349E0F">
            <w:pPr>
              <w:adjustRightInd/>
              <w:snapToGrid/>
              <w:spacing w:after="0" w:line="240" w:lineRule="exact"/>
              <w:jc w:val="center"/>
              <w:rPr>
                <w:rFonts w:hint="default"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17</w:t>
            </w:r>
          </w:p>
        </w:tc>
        <w:tc>
          <w:tcPr>
            <w:tcW w:w="1080" w:type="dxa"/>
            <w:tcBorders>
              <w:top w:val="single" w:color="auto" w:sz="4" w:space="0"/>
              <w:left w:val="nil"/>
              <w:bottom w:val="single" w:color="auto" w:sz="4" w:space="0"/>
              <w:right w:val="single" w:color="auto" w:sz="4" w:space="0"/>
            </w:tcBorders>
            <w:shd w:val="clear" w:color="auto" w:fill="auto"/>
            <w:vAlign w:val="center"/>
          </w:tcPr>
          <w:p w14:paraId="6E16190E">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69413445">
            <w:pPr>
              <w:adjustRightInd/>
              <w:snapToGrid/>
              <w:spacing w:after="0" w:line="240" w:lineRule="exact"/>
              <w:jc w:val="both"/>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对用人单位违反有关规定，克扣或者无故拖欠工资以及工资低于最低工资标准，逾期拒不支付的处罚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380C4EA4">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227CA32B">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河北省劳动和社会保障监察条例》（2002年7月30日省人大常委会公告第72号）第二十六条用人单位违反有关规定，克扣或者无故拖欠劳动者工资以及支付劳动者工资低于当地最低工资标准的，由县级以上人民政府劳动和社会保障行政部门责令限期支付劳动者应得的工资报酬和相当于应付工资报酬２５％的经济补偿，并可以责令支付赔偿金；逾期拒不支付的，按照每涉及一人处以二百元以上五百元以下罚款。</w:t>
            </w:r>
          </w:p>
        </w:tc>
        <w:tc>
          <w:tcPr>
            <w:tcW w:w="2260" w:type="dxa"/>
            <w:tcBorders>
              <w:top w:val="single" w:color="auto" w:sz="4" w:space="0"/>
              <w:left w:val="nil"/>
              <w:bottom w:val="single" w:color="auto" w:sz="4" w:space="0"/>
              <w:right w:val="single" w:color="auto" w:sz="4" w:space="0"/>
            </w:tcBorders>
            <w:shd w:val="clear" w:color="auto" w:fill="auto"/>
            <w:vAlign w:val="center"/>
          </w:tcPr>
          <w:p w14:paraId="453F596D">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投诉、举报的需要投诉者提投诉书或举报书并填写举报投诉登记表。日常巡查中发现的问题需填写现场调查记录。</w:t>
            </w:r>
          </w:p>
          <w:p w14:paraId="328FF0F4">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针对具体违法行为依法调查取证，制作询问笔录，查阅、复印、录制相关资料，完成调查取证后，提交调查终结报告和意见，并填写案件处理审批表。对违法事实清楚的行为下达《劳动保障限期改正通知书》并制作《劳动保障监察送达回证》；对要求被检查单位提供相关材料的，下达《劳动保障监察询问通知书》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调查应当自立案之日起60个工作日内完成，对情况复杂的，经劳动保障行政部门负责人批准，可以延长30个工作日。</w:t>
            </w:r>
          </w:p>
          <w:p w14:paraId="6B993AAC">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，对违法事实轻微，且已在期限内改正的，经集体讨论，劳动保障监察机构负责人审批通过后可以撤销立案。</w:t>
            </w:r>
            <w:r>
              <w:rPr>
                <w:rFonts w:hint="eastAsia" w:cs="宋体" w:asciiTheme="minorEastAsia" w:hAnsiTheme="minorEastAsia" w:eastAsiaTheme="minorEastAsia"/>
                <w:color w:val="000000" w:themeColor="text1"/>
                <w:sz w:val="18"/>
                <w:szCs w:val="18"/>
                <w14:textFill>
                  <w14:solidFill>
                    <w14:schemeClr w14:val="tx1"/>
                  </w14:solidFill>
                </w14:textFill>
              </w:rPr>
              <w:t>（主要证据不足时，以适当的方式补充调查）。</w:t>
            </w:r>
          </w:p>
          <w:p w14:paraId="348CE915">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告知违法事实及其享有的陈述、申辩等权利。符合听证规定的，制作并送达《劳动保障监察行政处罚听证告知书》</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5E32E73F">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5A7AD4C6">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（包括：直接送达、张贴送达、邮寄送达）</w:t>
            </w:r>
          </w:p>
          <w:p w14:paraId="686DAC8D">
            <w:pPr>
              <w:adjustRightInd/>
              <w:snapToGrid/>
              <w:spacing w:after="0" w:line="240" w:lineRule="exact"/>
              <w:rPr>
                <w:rFonts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，执行收支两条线制度，罚款上交国库</w:t>
            </w:r>
            <w:r>
              <w:rPr>
                <w:rFonts w:hint="eastAsia" w:cs="宋体" w:asciiTheme="minorEastAsia" w:hAnsiTheme="minorEastAsia" w:eastAsiaTheme="minorEastAsia"/>
                <w:color w:val="000000" w:themeColor="text1"/>
                <w:sz w:val="18"/>
                <w:szCs w:val="18"/>
                <w14:textFill>
                  <w14:solidFill>
                    <w14:schemeClr w14:val="tx1"/>
                  </w14:solidFill>
                </w14:textFill>
              </w:rPr>
              <w:t>。</w:t>
            </w:r>
          </w:p>
        </w:tc>
        <w:tc>
          <w:tcPr>
            <w:tcW w:w="2800" w:type="dxa"/>
            <w:tcBorders>
              <w:top w:val="single" w:color="auto" w:sz="4" w:space="0"/>
              <w:left w:val="nil"/>
              <w:bottom w:val="single" w:color="auto" w:sz="4" w:space="0"/>
              <w:right w:val="single" w:color="auto" w:sz="4" w:space="0"/>
            </w:tcBorders>
            <w:shd w:val="clear" w:color="auto" w:fill="auto"/>
            <w:vAlign w:val="center"/>
          </w:tcPr>
          <w:p w14:paraId="77C77E7C">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62896F18">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58ECA484">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697E732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730901B8">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5F542415">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715F604B">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141EEEDC">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28DB7776">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5F22E7B0">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7EFC7258">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2DE327AE">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1F4B727F">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396DE94D">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02ABB822">
            <w:pPr>
              <w:adjustRightInd/>
              <w:snapToGrid/>
              <w:spacing w:after="0" w:line="240" w:lineRule="exact"/>
              <w:jc w:val="center"/>
              <w:rPr>
                <w:rFonts w:hint="default"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18</w:t>
            </w:r>
          </w:p>
        </w:tc>
        <w:tc>
          <w:tcPr>
            <w:tcW w:w="1080" w:type="dxa"/>
            <w:tcBorders>
              <w:top w:val="single" w:color="auto" w:sz="4" w:space="0"/>
              <w:left w:val="nil"/>
              <w:bottom w:val="single" w:color="auto" w:sz="4" w:space="0"/>
              <w:right w:val="single" w:color="auto" w:sz="4" w:space="0"/>
            </w:tcBorders>
            <w:shd w:val="clear" w:color="auto" w:fill="auto"/>
            <w:vAlign w:val="center"/>
          </w:tcPr>
          <w:p w14:paraId="5BF55CF0">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4FEEA662">
            <w:pPr>
              <w:adjustRightInd/>
              <w:snapToGrid/>
              <w:spacing w:after="0" w:line="240" w:lineRule="exact"/>
              <w:jc w:val="both"/>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对用人单位拒绝接受劳动和社会保障年度审查的处罚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528D0E50">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01204963">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河北省劳动和社会保障监察条例》（2002年7月30日省人大常委会公告第72号）第二十九条第四项用人单位和就业服务机构有下列行为之一的，由县级以上人民政府劳动和社会保障行政部门处以五千元以上一万元以下罚款；违反</w:t>
            </w:r>
            <w:r>
              <w:rPr>
                <w:rFonts w:hint="eastAsia" w:cs="宋体" w:asciiTheme="minorEastAsia" w:hAnsiTheme="minorEastAsia" w:eastAsiaTheme="minorEastAsia"/>
                <w:sz w:val="18"/>
                <w:szCs w:val="18"/>
                <w:highlight w:val="none"/>
              </w:rPr>
              <w:t>治安管理处罚条例</w:t>
            </w:r>
            <w:r>
              <w:rPr>
                <w:rFonts w:hint="eastAsia" w:cs="宋体" w:asciiTheme="minorEastAsia" w:hAnsiTheme="minorEastAsia" w:eastAsiaTheme="minorEastAsia"/>
                <w:sz w:val="18"/>
                <w:szCs w:val="18"/>
              </w:rPr>
              <w:t>的，由公安机关依法予以处罚；构成犯罪的，依法追究刑事责任：（四）拒绝接受劳动和社会保障年度审查的；</w:t>
            </w:r>
          </w:p>
        </w:tc>
        <w:tc>
          <w:tcPr>
            <w:tcW w:w="2260" w:type="dxa"/>
            <w:tcBorders>
              <w:top w:val="single" w:color="auto" w:sz="4" w:space="0"/>
              <w:left w:val="nil"/>
              <w:bottom w:val="single" w:color="auto" w:sz="4" w:space="0"/>
              <w:right w:val="single" w:color="auto" w:sz="4" w:space="0"/>
            </w:tcBorders>
            <w:shd w:val="clear" w:color="auto" w:fill="auto"/>
            <w:vAlign w:val="center"/>
          </w:tcPr>
          <w:p w14:paraId="123D11BB">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投诉、举报的需要投诉者提投诉书或举报书并填写举报投诉登记表。日常巡查中发现的问题需填写现场调查记录。</w:t>
            </w:r>
          </w:p>
          <w:p w14:paraId="2335DDD2">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针对具体违法行为依法调查取证，制作询问笔录，查阅、复印、录制相关资料，完成调查取证后，提交调查终结报告和意见，并填写案件处理审批表。对违法事实清楚的行为下达《劳动保障限期改正通知书》并制作《劳动保障监察送达回证》；对要求被检查单位提供相关材料的，下达《劳动保障监察询问通知书》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调查应当自立案之日起60个工作日内完成，对情况复杂的，经劳动保障行政部门负责人批准，可以延长30个工作日。</w:t>
            </w:r>
          </w:p>
          <w:p w14:paraId="103CBB2C">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，对违法事实轻微，且已在期限内改正的，经集体讨论，劳动保障监察机构负责人审批通过后可以撤销立案。</w:t>
            </w:r>
            <w:r>
              <w:rPr>
                <w:rFonts w:hint="eastAsia" w:cs="宋体" w:asciiTheme="minorEastAsia" w:hAnsiTheme="minorEastAsia" w:eastAsiaTheme="minorEastAsia"/>
                <w:color w:val="000000" w:themeColor="text1"/>
                <w:sz w:val="18"/>
                <w:szCs w:val="18"/>
                <w14:textFill>
                  <w14:solidFill>
                    <w14:schemeClr w14:val="tx1"/>
                  </w14:solidFill>
                </w14:textFill>
              </w:rPr>
              <w:t>（主要证据不足时，以适当的方式补充调查）。</w:t>
            </w:r>
          </w:p>
          <w:p w14:paraId="4DC9CEA2">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告知违法事实及其享有的陈述、申辩等权利。符合听证规定的，制作并送达《劳动保障监察行政处罚听证告知书》</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65004EB4">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2188D2D1">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（包括：直接送达、张贴送达、邮寄送达）</w:t>
            </w:r>
          </w:p>
          <w:p w14:paraId="379CFDFA">
            <w:pPr>
              <w:adjustRightInd/>
              <w:snapToGrid/>
              <w:spacing w:after="0" w:line="240" w:lineRule="exact"/>
              <w:rPr>
                <w:rFonts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，执行收支两条线制度，罚款上交国库</w:t>
            </w:r>
            <w:r>
              <w:rPr>
                <w:rFonts w:hint="eastAsia" w:cs="宋体" w:asciiTheme="minorEastAsia" w:hAnsiTheme="minorEastAsia" w:eastAsiaTheme="minorEastAsia"/>
                <w:color w:val="000000" w:themeColor="text1"/>
                <w:sz w:val="18"/>
                <w:szCs w:val="18"/>
                <w14:textFill>
                  <w14:solidFill>
                    <w14:schemeClr w14:val="tx1"/>
                  </w14:solidFill>
                </w14:textFill>
              </w:rPr>
              <w:t>。</w:t>
            </w:r>
          </w:p>
        </w:tc>
        <w:tc>
          <w:tcPr>
            <w:tcW w:w="2800" w:type="dxa"/>
            <w:tcBorders>
              <w:top w:val="single" w:color="auto" w:sz="4" w:space="0"/>
              <w:left w:val="nil"/>
              <w:bottom w:val="single" w:color="auto" w:sz="4" w:space="0"/>
              <w:right w:val="single" w:color="auto" w:sz="4" w:space="0"/>
            </w:tcBorders>
            <w:shd w:val="clear" w:color="auto" w:fill="auto"/>
            <w:vAlign w:val="center"/>
          </w:tcPr>
          <w:p w14:paraId="5F6A6650">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3E5A8824">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3D163623">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699AE934">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4AFEF34A">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21E204B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5514750A">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775790B0">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24B55013">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2EE6CD41">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3F74DE9D">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63036FBC">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77A48CA8">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79E5F651">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30532A0B">
            <w:pPr>
              <w:adjustRightInd/>
              <w:snapToGrid/>
              <w:spacing w:after="0" w:line="240" w:lineRule="exact"/>
              <w:jc w:val="center"/>
              <w:rPr>
                <w:rFonts w:hint="default"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19</w:t>
            </w:r>
          </w:p>
        </w:tc>
        <w:tc>
          <w:tcPr>
            <w:tcW w:w="1080" w:type="dxa"/>
            <w:tcBorders>
              <w:top w:val="single" w:color="auto" w:sz="4" w:space="0"/>
              <w:left w:val="nil"/>
              <w:bottom w:val="single" w:color="auto" w:sz="4" w:space="0"/>
              <w:right w:val="single" w:color="auto" w:sz="4" w:space="0"/>
            </w:tcBorders>
            <w:shd w:val="clear" w:color="auto" w:fill="auto"/>
            <w:vAlign w:val="center"/>
          </w:tcPr>
          <w:p w14:paraId="22A2F988">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717186CE">
            <w:pPr>
              <w:adjustRightInd/>
              <w:snapToGrid/>
              <w:spacing w:after="0" w:line="240" w:lineRule="exact"/>
              <w:jc w:val="both"/>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对打击报复举报人或者违反规定解除举报人劳动合同的处罚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3DECD3D4">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2AE3C667">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河北省劳动和社会保障监察条例》（2002年7月30日省人大常委会公告第72号）第二十九条第五项用人单位和就业服务机构有下列行为之一的，由县级以上人民政府劳动和社会保障行政部门处以五千元以上一万元以下罚款；违反</w:t>
            </w:r>
            <w:r>
              <w:rPr>
                <w:rFonts w:hint="eastAsia" w:cs="宋体" w:asciiTheme="minorEastAsia" w:hAnsiTheme="minorEastAsia" w:eastAsiaTheme="minorEastAsia"/>
                <w:sz w:val="18"/>
                <w:szCs w:val="18"/>
                <w:highlight w:val="none"/>
              </w:rPr>
              <w:t>治安管理处罚条例</w:t>
            </w:r>
            <w:r>
              <w:rPr>
                <w:rFonts w:hint="eastAsia" w:cs="宋体" w:asciiTheme="minorEastAsia" w:hAnsiTheme="minorEastAsia" w:eastAsiaTheme="minorEastAsia"/>
                <w:sz w:val="18"/>
                <w:szCs w:val="18"/>
              </w:rPr>
              <w:t>的，由公安机关依法予以处罚；构成犯罪的，依法追究刑事责任：（五）打击报复举报人或者违反规定条件解除举报人劳动合同的。</w:t>
            </w:r>
          </w:p>
        </w:tc>
        <w:tc>
          <w:tcPr>
            <w:tcW w:w="2260" w:type="dxa"/>
            <w:tcBorders>
              <w:top w:val="single" w:color="auto" w:sz="4" w:space="0"/>
              <w:left w:val="nil"/>
              <w:bottom w:val="single" w:color="auto" w:sz="4" w:space="0"/>
              <w:right w:val="single" w:color="auto" w:sz="4" w:space="0"/>
            </w:tcBorders>
            <w:shd w:val="clear" w:color="auto" w:fill="auto"/>
            <w:vAlign w:val="center"/>
          </w:tcPr>
          <w:p w14:paraId="505E1F00">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投诉、举报的需要投诉者提投诉书或举报书并填写举报投诉登记表。日常巡查中发现的问题需填写现场调查记录。</w:t>
            </w:r>
          </w:p>
          <w:p w14:paraId="4BD0AE74">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针对具体违法行为依法调查取证，制作询问笔录，查阅、复印、录制相关资料，完成调查取证后，提交调查终结报告和意见，并填写案件处理审批表。对违法事实清楚的行为下达《劳动保障限期改正通知书》并制作《劳动保障监察送达回证》；对要求被检查单位提供相关材料的，下达《劳动保障监察询问通知书》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调查应当自立案之日起60个工作日内完成，对情况复杂的，经劳动保障行政部门负责人批准，可以延长30个工作日。</w:t>
            </w:r>
          </w:p>
          <w:p w14:paraId="67013F91">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，对违法事实轻微，且已在期限内改正的，经集体讨论，劳动保障监察机构负责人审批通过后可以撤销立案。</w:t>
            </w:r>
            <w:r>
              <w:rPr>
                <w:rFonts w:hint="eastAsia" w:cs="宋体" w:asciiTheme="minorEastAsia" w:hAnsiTheme="minorEastAsia" w:eastAsiaTheme="minorEastAsia"/>
                <w:color w:val="000000" w:themeColor="text1"/>
                <w:sz w:val="18"/>
                <w:szCs w:val="18"/>
                <w14:textFill>
                  <w14:solidFill>
                    <w14:schemeClr w14:val="tx1"/>
                  </w14:solidFill>
                </w14:textFill>
              </w:rPr>
              <w:t>（主要证据不足时，以适当的方式补充调查）。</w:t>
            </w:r>
          </w:p>
          <w:p w14:paraId="1B3796AF">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告知违法事实及其享有的陈述、申辩等权利。符合听证规定的，制作并送达《劳动保障监察行政处罚听证告知书》</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746562E4">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3FEA88F6">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（包括：直接送达、张贴送达、邮寄送达）</w:t>
            </w:r>
          </w:p>
          <w:p w14:paraId="30702A52">
            <w:pPr>
              <w:adjustRightInd/>
              <w:snapToGrid/>
              <w:spacing w:after="0" w:line="240" w:lineRule="exact"/>
              <w:rPr>
                <w:rFonts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，执行收支两条线制度，罚款上交国库</w:t>
            </w:r>
            <w:r>
              <w:rPr>
                <w:rFonts w:hint="eastAsia" w:cs="宋体" w:asciiTheme="minorEastAsia" w:hAnsiTheme="minorEastAsia" w:eastAsiaTheme="minorEastAsia"/>
                <w:color w:val="000000" w:themeColor="text1"/>
                <w:sz w:val="18"/>
                <w:szCs w:val="18"/>
                <w14:textFill>
                  <w14:solidFill>
                    <w14:schemeClr w14:val="tx1"/>
                  </w14:solidFill>
                </w14:textFill>
              </w:rPr>
              <w:t>。</w:t>
            </w:r>
          </w:p>
        </w:tc>
        <w:tc>
          <w:tcPr>
            <w:tcW w:w="2800" w:type="dxa"/>
            <w:tcBorders>
              <w:top w:val="single" w:color="auto" w:sz="4" w:space="0"/>
              <w:left w:val="nil"/>
              <w:bottom w:val="single" w:color="auto" w:sz="4" w:space="0"/>
              <w:right w:val="single" w:color="auto" w:sz="4" w:space="0"/>
            </w:tcBorders>
            <w:shd w:val="clear" w:color="auto" w:fill="auto"/>
            <w:vAlign w:val="center"/>
          </w:tcPr>
          <w:p w14:paraId="1BB2A0EC">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232B302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09E95CD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47679BB3">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58D4CEB1">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6C70C453">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092DC6DD">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253787B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394D6E6A">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23D7D9D5">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328F41C7">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3FEEF48A">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095839C0">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65B1FE57">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244E900A">
            <w:pPr>
              <w:adjustRightInd/>
              <w:snapToGrid/>
              <w:spacing w:after="0" w:line="240" w:lineRule="exact"/>
              <w:jc w:val="center"/>
              <w:rPr>
                <w:rFonts w:hint="default"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20</w:t>
            </w:r>
          </w:p>
        </w:tc>
        <w:tc>
          <w:tcPr>
            <w:tcW w:w="1080" w:type="dxa"/>
            <w:tcBorders>
              <w:top w:val="single" w:color="auto" w:sz="4" w:space="0"/>
              <w:left w:val="nil"/>
              <w:bottom w:val="single" w:color="auto" w:sz="4" w:space="0"/>
              <w:right w:val="single" w:color="auto" w:sz="4" w:space="0"/>
            </w:tcBorders>
            <w:shd w:val="clear" w:color="auto" w:fill="auto"/>
            <w:vAlign w:val="center"/>
          </w:tcPr>
          <w:p w14:paraId="5AFE50BC">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行政处罚</w:t>
            </w:r>
          </w:p>
        </w:tc>
        <w:tc>
          <w:tcPr>
            <w:tcW w:w="2460" w:type="dxa"/>
            <w:tcBorders>
              <w:top w:val="single" w:color="auto" w:sz="4" w:space="0"/>
              <w:left w:val="nil"/>
              <w:bottom w:val="single" w:color="auto" w:sz="4" w:space="0"/>
              <w:right w:val="single" w:color="auto" w:sz="4" w:space="0"/>
            </w:tcBorders>
            <w:shd w:val="clear" w:color="auto" w:fill="auto"/>
            <w:vAlign w:val="center"/>
          </w:tcPr>
          <w:p w14:paraId="25E2A2EB">
            <w:pPr>
              <w:adjustRightInd/>
              <w:snapToGrid/>
              <w:spacing w:after="0" w:line="240" w:lineRule="exact"/>
              <w:jc w:val="both"/>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对招用不满十六周岁的未成年人的处罚</w:t>
            </w:r>
          </w:p>
        </w:tc>
        <w:tc>
          <w:tcPr>
            <w:tcW w:w="1180" w:type="dxa"/>
            <w:tcBorders>
              <w:top w:val="single" w:color="auto" w:sz="4" w:space="0"/>
              <w:left w:val="nil"/>
              <w:bottom w:val="single" w:color="auto" w:sz="4" w:space="0"/>
              <w:right w:val="single" w:color="auto" w:sz="4" w:space="0"/>
            </w:tcBorders>
            <w:shd w:val="clear" w:color="auto" w:fill="auto"/>
            <w:vAlign w:val="center"/>
          </w:tcPr>
          <w:p w14:paraId="389EE5D2">
            <w:pPr>
              <w:adjustRightInd/>
              <w:snapToGrid/>
              <w:spacing w:after="0" w:line="240" w:lineRule="exact"/>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3530AFBE">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河北省劳动和社会保障监察条例》（2002年7月30日省人大常委会公告第72号）第二十二条第一项用人单位或者就业服务机构违反有关规定，有下列行为之一的，由县级以上人民政府劳动和社会保障行政部门责令改正，并予以罚款：（一）非法介绍、招用未满１６周岁未成年人的，限期送回原居住地，并按照每介绍一人处以一千五百元罚款，每招用一人使用一个月未满一个月按一个月计算处以一千五百元以上三千元以下罚款；情节严重属于企业和个体经济组织的，由工商行政管理部门吊销营业执照。</w:t>
            </w:r>
          </w:p>
        </w:tc>
        <w:tc>
          <w:tcPr>
            <w:tcW w:w="2260" w:type="dxa"/>
            <w:tcBorders>
              <w:top w:val="single" w:color="auto" w:sz="4" w:space="0"/>
              <w:left w:val="nil"/>
              <w:bottom w:val="single" w:color="auto" w:sz="4" w:space="0"/>
              <w:right w:val="single" w:color="auto" w:sz="4" w:space="0"/>
            </w:tcBorders>
            <w:shd w:val="clear" w:color="auto" w:fill="auto"/>
            <w:vAlign w:val="center"/>
          </w:tcPr>
          <w:p w14:paraId="52C6D6E6">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1、立案责任：对违反劳动保障法律、法规行为的投诉、举报或者监察中发现的问题，应当在七日内立案。</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投诉、举报的需要投诉者提投诉书或举报书并填写举报投诉登记表。日常巡查中发现的问题需填写现场调查记录。</w:t>
            </w:r>
          </w:p>
          <w:p w14:paraId="668C965E">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2、调查责任：劳动保障监察员进行调查，检查不得少于2人，调查时应当出示行政执法证件和劳动保障监察证件。与本人或者其近亲属有直接利害关系的，应当回避。</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针对具体违法行为依法调查取证，制作询问笔录，查阅、复印、录制相关资料，完成调查取证后，提交调查终结报告和意见，并填写案件处理审批表。对违法事实清楚的行为下达《劳动保障限期改正通知书》并制作《劳动保障监察送达回证》；对要求被检查单位提供相关材料的，下达《劳动保障监察询问通知书》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调查应当自立案之日起60个工作日内完成，对情况复杂的，经劳动保障行政部门负责人批准，可以延长30个工作日。</w:t>
            </w:r>
          </w:p>
          <w:p w14:paraId="75AFA40F">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3、审查责任：审理案件调查报告，对案件违法事实、证据、调查取证程序、法律适用、处罚种类和幅度、当事人陈述和申辩理由等方面进行审查，提出处理意见</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，对违法事实轻微，且已在期限内改正的，经集体讨论，劳动保障监察机构负责人审批通过后可以撤销立案。</w:t>
            </w:r>
            <w:r>
              <w:rPr>
                <w:rFonts w:hint="eastAsia" w:cs="宋体" w:asciiTheme="minorEastAsia" w:hAnsiTheme="minorEastAsia" w:eastAsiaTheme="minorEastAsia"/>
                <w:color w:val="000000" w:themeColor="text1"/>
                <w:sz w:val="18"/>
                <w:szCs w:val="18"/>
                <w14:textFill>
                  <w14:solidFill>
                    <w14:schemeClr w14:val="tx1"/>
                  </w14:solidFill>
                </w14:textFill>
              </w:rPr>
              <w:t>（主要证据不足时，以适当的方式补充调查）。</w:t>
            </w:r>
          </w:p>
          <w:p w14:paraId="56693E75">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4、告知责任：</w:t>
            </w:r>
            <w:r>
              <w:rPr>
                <w:rFonts w:hint="eastAsia" w:cs="宋体" w:asciiTheme="minorEastAsia" w:hAnsiTheme="minorEastAsia" w:eastAsiaTheme="minorEastAsia"/>
                <w:color w:val="000000" w:themeColor="text1"/>
                <w:sz w:val="18"/>
                <w:szCs w:val="18"/>
                <w:highlight w:val="none"/>
                <w14:textFill>
                  <w14:solidFill>
                    <w14:schemeClr w14:val="tx1"/>
                  </w14:solidFill>
                </w14:textFill>
              </w:rPr>
              <w:t>作出行政处罚</w:t>
            </w:r>
            <w:r>
              <w:rPr>
                <w:rFonts w:hint="eastAsia" w:cs="宋体" w:asciiTheme="minorEastAsia" w:hAnsiTheme="minorEastAsia" w:eastAsiaTheme="minorEastAsia"/>
                <w:color w:val="000000" w:themeColor="text1"/>
                <w:sz w:val="18"/>
                <w:szCs w:val="18"/>
                <w14:textFill>
                  <w14:solidFill>
                    <w14:schemeClr w14:val="tx1"/>
                  </w14:solidFill>
                </w14:textFill>
              </w:rPr>
              <w:t>决定前应当制作《劳动保障监察行政处罚事先告知书》送达当事人，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告知违法事实及其享有的陈述、申辩等权利。符合听证规定的，制作并送达《劳动保障监察行政处罚听证告知书》</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6434DF4F">
            <w:pPr>
              <w:adjustRightInd/>
              <w:snapToGrid/>
              <w:spacing w:after="0" w:line="240" w:lineRule="exact"/>
              <w:rPr>
                <w:rFonts w:hint="eastAsia"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5、决定责任：制作《劳动保障监察行政处罚决定书》送达当事人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p>
          <w:p w14:paraId="60A143BB">
            <w:p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6、送达责任：行政处罚决定书按法律规定的方式送达当事人</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并制作《劳动保障监察送达回证》</w:t>
            </w:r>
            <w:r>
              <w:rPr>
                <w:rFonts w:hint="eastAsia" w:cs="宋体" w:asciiTheme="minorEastAsia" w:hAnsiTheme="minorEastAsia" w:eastAsiaTheme="minorEastAsia"/>
                <w:color w:val="000000" w:themeColor="text1"/>
                <w:sz w:val="18"/>
                <w:szCs w:val="18"/>
                <w14:textFill>
                  <w14:solidFill>
                    <w14:schemeClr w14:val="tx1"/>
                  </w14:solidFill>
                </w14:textFill>
              </w:rPr>
              <w:t>。</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（包括：直接送达、张贴送达、邮寄送达）</w:t>
            </w:r>
          </w:p>
          <w:p w14:paraId="04648928">
            <w:pPr>
              <w:adjustRightInd/>
              <w:snapToGrid/>
              <w:spacing w:after="0" w:line="240" w:lineRule="exact"/>
              <w:rPr>
                <w:rFonts w:cs="宋体" w:asciiTheme="minorEastAsia" w:hAnsiTheme="minorEastAsia" w:eastAsiaTheme="minorEastAsia"/>
                <w:color w:val="000000" w:themeColor="text1"/>
                <w:sz w:val="18"/>
                <w:szCs w:val="18"/>
                <w14:textFill>
                  <w14:solidFill>
                    <w14:schemeClr w14:val="tx1"/>
                  </w14:solidFill>
                </w14:textFill>
              </w:rPr>
            </w:pPr>
            <w:r>
              <w:rPr>
                <w:rFonts w:hint="eastAsia" w:cs="宋体" w:asciiTheme="minorEastAsia" w:hAnsiTheme="minorEastAsia" w:eastAsiaTheme="minorEastAsia"/>
                <w:color w:val="000000" w:themeColor="text1"/>
                <w:sz w:val="18"/>
                <w:szCs w:val="18"/>
                <w14:textFill>
                  <w14:solidFill>
                    <w14:schemeClr w14:val="tx1"/>
                  </w14:solidFill>
                </w14:textFill>
              </w:rPr>
              <w:t>7、执行责任：依照生效的行政处罚决定，罚款</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，执行收支两条线制度，罚款上交国库</w:t>
            </w:r>
            <w:r>
              <w:rPr>
                <w:rFonts w:hint="eastAsia" w:cs="宋体" w:asciiTheme="minorEastAsia" w:hAnsiTheme="minorEastAsia" w:eastAsiaTheme="minorEastAsia"/>
                <w:color w:val="000000" w:themeColor="text1"/>
                <w:sz w:val="18"/>
                <w:szCs w:val="18"/>
                <w14:textFill>
                  <w14:solidFill>
                    <w14:schemeClr w14:val="tx1"/>
                  </w14:solidFill>
                </w14:textFill>
              </w:rPr>
              <w:t>。</w:t>
            </w:r>
          </w:p>
        </w:tc>
        <w:tc>
          <w:tcPr>
            <w:tcW w:w="2800" w:type="dxa"/>
            <w:tcBorders>
              <w:top w:val="single" w:color="auto" w:sz="4" w:space="0"/>
              <w:left w:val="nil"/>
              <w:bottom w:val="single" w:color="auto" w:sz="4" w:space="0"/>
              <w:right w:val="single" w:color="auto" w:sz="4" w:space="0"/>
            </w:tcBorders>
            <w:shd w:val="clear" w:color="auto" w:fill="auto"/>
            <w:vAlign w:val="center"/>
          </w:tcPr>
          <w:p w14:paraId="77F0C206">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因履行或不正确履行行政职责，有下列情形的，行政机关及相关工作人员应承担相应责任：</w:t>
            </w:r>
          </w:p>
          <w:p w14:paraId="113A5AAE">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1、实施行政处罚，没有法定的行政处罚依据的；</w:t>
            </w:r>
          </w:p>
          <w:p w14:paraId="5F555C2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2、行政处罚显失公正的；</w:t>
            </w:r>
          </w:p>
          <w:p w14:paraId="10771484">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3、实施行政处罚，擅自改变行政处罚种类类、幅度的；</w:t>
            </w:r>
          </w:p>
          <w:p w14:paraId="76183A1A">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4、实施行政处罚，违反法定的行政处罚程序的；</w:t>
            </w:r>
          </w:p>
          <w:p w14:paraId="684EA85F">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5、符合听证条件、行政管理相对人要求听证，应予组织听证而不组织听证的；</w:t>
            </w:r>
          </w:p>
          <w:p w14:paraId="0E278A59">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6、执法人员玩忽职守，对应当予以制止和处罚的违法行为不予制止、处罚，致使公民、法人或者其他组织的合法权益、公共利益和社会秩序遭受损害的；</w:t>
            </w:r>
          </w:p>
          <w:p w14:paraId="6E46C7B8">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7、不具备行政执法资格实施行政处罚的；</w:t>
            </w:r>
          </w:p>
          <w:p w14:paraId="4D3E3353">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8、在制止以及查处违法案件中受阻，依照有关规定应当向本级人民政府或者上级人力资源社会保障主管部门报告而未报告的；</w:t>
            </w:r>
          </w:p>
          <w:p w14:paraId="6272EC52">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9、应当依法移送追究刑事责任，而未依法移送有权机关的；</w:t>
            </w:r>
          </w:p>
          <w:p w14:paraId="4AD727E0">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10、在行政处罚过程中发生腐败行为的；</w:t>
            </w:r>
          </w:p>
          <w:p w14:paraId="72366317">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11、其他违反法律法规规章文件规定的行为。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197F3A0B">
            <w:pPr>
              <w:adjustRightInd/>
              <w:snapToGrid/>
              <w:spacing w:after="0" w:line="240" w:lineRule="exact"/>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w:t>
            </w:r>
          </w:p>
        </w:tc>
      </w:tr>
      <w:tr w14:paraId="74591662">
        <w:tblPrEx>
          <w:tblCellMar>
            <w:top w:w="0" w:type="dxa"/>
            <w:left w:w="108" w:type="dxa"/>
            <w:bottom w:w="0" w:type="dxa"/>
            <w:right w:w="108" w:type="dxa"/>
          </w:tblCellMar>
        </w:tblPrEx>
        <w:trPr>
          <w:trHeight w:val="6217"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6515AC96">
            <w:pPr>
              <w:adjustRightInd/>
              <w:snapToGrid/>
              <w:spacing w:after="0" w:line="240" w:lineRule="exact"/>
              <w:jc w:val="center"/>
              <w:rPr>
                <w:rFonts w:hint="default"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21</w:t>
            </w:r>
          </w:p>
        </w:tc>
        <w:tc>
          <w:tcPr>
            <w:tcW w:w="1080" w:type="dxa"/>
            <w:tcBorders>
              <w:top w:val="single" w:color="auto" w:sz="4" w:space="0"/>
              <w:left w:val="nil"/>
              <w:bottom w:val="single" w:color="auto" w:sz="4" w:space="0"/>
              <w:right w:val="single" w:color="auto" w:sz="4" w:space="0"/>
            </w:tcBorders>
            <w:shd w:val="clear" w:color="auto" w:fill="auto"/>
            <w:vAlign w:val="center"/>
          </w:tcPr>
          <w:p w14:paraId="6CEE584C">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cs="宋体" w:asciiTheme="minorEastAsia" w:hAnsiTheme="minorEastAsia" w:eastAsiaTheme="minorEastAsia"/>
                <w:sz w:val="18"/>
                <w:szCs w:val="18"/>
                <w:lang w:eastAsia="zh-CN"/>
              </w:rPr>
            </w:pPr>
            <w:r>
              <w:rPr>
                <w:rFonts w:hint="eastAsia" w:asciiTheme="minorEastAsia" w:hAnsiTheme="minorEastAsia" w:eastAsiaTheme="minorEastAsia" w:cstheme="minorEastAsia"/>
                <w:i w:val="0"/>
                <w:color w:val="000000"/>
                <w:kern w:val="0"/>
                <w:sz w:val="18"/>
                <w:szCs w:val="18"/>
                <w:u w:val="none"/>
                <w:lang w:val="en-US" w:eastAsia="zh-CN" w:bidi="ar"/>
              </w:rPr>
              <w:t>行政给付</w:t>
            </w:r>
          </w:p>
        </w:tc>
        <w:tc>
          <w:tcPr>
            <w:tcW w:w="2460" w:type="dxa"/>
            <w:tcBorders>
              <w:top w:val="single" w:color="auto" w:sz="4" w:space="0"/>
              <w:left w:val="nil"/>
              <w:bottom w:val="single" w:color="auto" w:sz="4" w:space="0"/>
              <w:right w:val="single" w:color="auto" w:sz="4" w:space="0"/>
            </w:tcBorders>
            <w:shd w:val="clear" w:color="auto" w:fill="auto"/>
            <w:vAlign w:val="center"/>
          </w:tcPr>
          <w:p w14:paraId="1B11FA0B">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cs="宋体" w:asciiTheme="minorEastAsia" w:hAnsiTheme="minorEastAsia" w:eastAsiaTheme="minorEastAsia"/>
                <w:sz w:val="18"/>
                <w:szCs w:val="18"/>
              </w:rPr>
            </w:pPr>
            <w:r>
              <w:rPr>
                <w:rFonts w:hint="eastAsia" w:asciiTheme="minorEastAsia" w:hAnsiTheme="minorEastAsia" w:eastAsiaTheme="minorEastAsia" w:cstheme="minorEastAsia"/>
                <w:b w:val="0"/>
                <w:i w:val="0"/>
                <w:snapToGrid/>
                <w:color w:val="000000"/>
                <w:sz w:val="18"/>
                <w:szCs w:val="18"/>
                <w:u w:val="none"/>
                <w:lang w:val="en-US" w:eastAsia="zh-CN"/>
              </w:rPr>
              <w:t>失业保险待遇核准支付</w:t>
            </w:r>
          </w:p>
        </w:tc>
        <w:tc>
          <w:tcPr>
            <w:tcW w:w="1180" w:type="dxa"/>
            <w:tcBorders>
              <w:top w:val="single" w:color="auto" w:sz="4" w:space="0"/>
              <w:left w:val="nil"/>
              <w:bottom w:val="single" w:color="auto" w:sz="4" w:space="0"/>
              <w:right w:val="single" w:color="auto" w:sz="4" w:space="0"/>
            </w:tcBorders>
            <w:shd w:val="clear" w:color="auto" w:fill="auto"/>
            <w:vAlign w:val="center"/>
          </w:tcPr>
          <w:p w14:paraId="25D97DD3">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6B3A56F8">
            <w:pPr>
              <w:keepNext w:val="0"/>
              <w:keepLines w:val="0"/>
              <w:widowControl/>
              <w:suppressLineNumbers w:val="0"/>
              <w:shd w:val="clear" w:fill="FFFFFF"/>
              <w:spacing w:after="225" w:afterAutospacing="0" w:line="360" w:lineRule="atLeast"/>
              <w:ind w:left="0" w:firstLine="420"/>
              <w:jc w:val="left"/>
              <w:rPr>
                <w:rFonts w:hint="eastAsia" w:asciiTheme="minorEastAsia" w:hAnsiTheme="minorEastAsia" w:eastAsiaTheme="minorEastAsia" w:cstheme="minorEastAsia"/>
                <w:b w:val="0"/>
                <w:i w:val="0"/>
                <w:snapToGrid/>
                <w:color w:val="000000"/>
                <w:sz w:val="18"/>
                <w:szCs w:val="18"/>
                <w:u w:val="none"/>
                <w:lang w:eastAsia="zh-CN"/>
              </w:rPr>
            </w:pPr>
            <w:r>
              <w:rPr>
                <w:rFonts w:hint="eastAsia" w:asciiTheme="minorEastAsia" w:hAnsiTheme="minorEastAsia" w:eastAsiaTheme="minorEastAsia" w:cstheme="minorEastAsia"/>
                <w:b w:val="0"/>
                <w:i w:val="0"/>
                <w:snapToGrid/>
                <w:color w:val="000000"/>
                <w:sz w:val="18"/>
                <w:szCs w:val="18"/>
                <w:u w:val="none"/>
                <w:lang w:val="en-US" w:eastAsia="zh-CN"/>
              </w:rPr>
              <w:t>1.</w:t>
            </w:r>
            <w:r>
              <w:rPr>
                <w:rFonts w:hint="eastAsia" w:asciiTheme="minorEastAsia" w:hAnsiTheme="minorEastAsia" w:eastAsiaTheme="minorEastAsia" w:cstheme="minorEastAsia"/>
                <w:b w:val="0"/>
                <w:i w:val="0"/>
                <w:snapToGrid/>
                <w:color w:val="000000"/>
                <w:sz w:val="18"/>
                <w:szCs w:val="18"/>
                <w:u w:val="none"/>
                <w:lang w:eastAsia="zh-CN"/>
              </w:rPr>
              <w:t>《中华人民共和国社会保险法》（主席令第</w:t>
            </w:r>
            <w:r>
              <w:rPr>
                <w:rFonts w:hint="eastAsia" w:asciiTheme="minorEastAsia" w:hAnsiTheme="minorEastAsia" w:eastAsiaTheme="minorEastAsia" w:cstheme="minorEastAsia"/>
                <w:b w:val="0"/>
                <w:i w:val="0"/>
                <w:snapToGrid/>
                <w:color w:val="000000"/>
                <w:sz w:val="18"/>
                <w:szCs w:val="18"/>
                <w:u w:val="none"/>
                <w:lang w:val="en-US" w:eastAsia="zh-CN"/>
              </w:rPr>
              <w:t>35号</w:t>
            </w:r>
            <w:r>
              <w:rPr>
                <w:rFonts w:hint="eastAsia" w:asciiTheme="minorEastAsia" w:hAnsiTheme="minorEastAsia" w:eastAsiaTheme="minorEastAsia" w:cstheme="minorEastAsia"/>
                <w:b w:val="0"/>
                <w:i w:val="0"/>
                <w:snapToGrid/>
                <w:color w:val="000000"/>
                <w:sz w:val="18"/>
                <w:szCs w:val="18"/>
                <w:u w:val="none"/>
                <w:lang w:eastAsia="zh-CN"/>
              </w:rPr>
              <w:t>）第四十五条“失业人员符合下列条件的，从失业保险基金中领取失业保险金：（一）失业前用人单位和本人已经缴纳失业保险费满一年的；（二）非因本人意愿中断就业的；（三）已经进行失业登记，并有求职要求的”；</w:t>
            </w:r>
            <w:r>
              <w:rPr>
                <w:rFonts w:hint="eastAsia" w:asciiTheme="minorEastAsia" w:hAnsiTheme="minorEastAsia" w:eastAsiaTheme="minorEastAsia" w:cstheme="minorEastAsia"/>
                <w:b w:val="0"/>
                <w:i w:val="0"/>
                <w:snapToGrid/>
                <w:color w:val="000000"/>
                <w:sz w:val="18"/>
                <w:szCs w:val="18"/>
                <w:u w:val="none"/>
                <w:lang w:val="en-US" w:eastAsia="zh-CN"/>
              </w:rPr>
              <w:t>2.《失业保险条例》（国务院令第258号）第十七条“失业人员失业前所在单位和本人按照规定累计缴费时间满1年不足5年的，领取失业保险金的期限最长为12个月；累计缴费时间满5年不足10年的，领取失业保险金的期限最长为18个月；累计缴费时间10年以上的，领取失业保险金的期限最长为24个月。重新就业后，再次失业的，缴费时间重新计算，领取失业保险金的期限可以与前次失业应领取而尚未领取的失业保险金的期限合并计算，但是最长不得超过24个月。”第十八条“失业保险金的标准，按照低于当地最低工资标准、高于城市居民最低生活保障标准的水平，由省、自治区、直辖市人民政府确定。”</w:t>
            </w:r>
          </w:p>
          <w:p w14:paraId="197D3B34">
            <w:pPr>
              <w:keepNext w:val="0"/>
              <w:keepLines w:val="0"/>
              <w:widowControl/>
              <w:suppressLineNumbers w:val="0"/>
              <w:shd w:val="clear" w:fill="FFFFFF"/>
              <w:spacing w:after="225" w:afterAutospacing="0" w:line="360" w:lineRule="atLeast"/>
              <w:ind w:left="0" w:firstLine="420"/>
              <w:jc w:val="left"/>
              <w:rPr>
                <w:rFonts w:hint="eastAsia" w:asciiTheme="minorEastAsia" w:hAnsiTheme="minorEastAsia" w:eastAsiaTheme="minorEastAsia" w:cstheme="minorEastAsia"/>
                <w:i w:val="0"/>
                <w:caps w:val="0"/>
                <w:color w:val="333333"/>
                <w:spacing w:val="0"/>
                <w:sz w:val="18"/>
                <w:szCs w:val="18"/>
              </w:rPr>
            </w:pPr>
            <w:r>
              <w:rPr>
                <w:rFonts w:hint="eastAsia" w:asciiTheme="minorEastAsia" w:hAnsiTheme="minorEastAsia" w:eastAsiaTheme="minorEastAsia" w:cstheme="minorEastAsia"/>
                <w:b w:val="0"/>
                <w:i w:val="0"/>
                <w:snapToGrid/>
                <w:color w:val="000000"/>
                <w:sz w:val="18"/>
                <w:szCs w:val="18"/>
                <w:u w:val="none"/>
                <w:lang w:val="en-US" w:eastAsia="zh-CN"/>
              </w:rPr>
              <w:t>第十七条　失业人员失业前</w:t>
            </w:r>
            <w:r>
              <w:rPr>
                <w:rFonts w:hint="eastAsia" w:asciiTheme="minorEastAsia" w:hAnsiTheme="minorEastAsia" w:eastAsiaTheme="minorEastAsia" w:cstheme="minorEastAsia"/>
                <w:i w:val="0"/>
                <w:caps w:val="0"/>
                <w:color w:val="333333"/>
                <w:spacing w:val="0"/>
                <w:kern w:val="0"/>
                <w:sz w:val="18"/>
                <w:szCs w:val="18"/>
                <w:shd w:val="clear" w:fill="FFFFFF"/>
                <w:lang w:val="en-US" w:eastAsia="zh-CN" w:bidi="ar"/>
              </w:rPr>
              <w:t>所在单位和本人按照规定累计缴费时间满1年不足5年的，领取失业保险金的期限最长为12个月；累计缴费时间满5年不足10年的，领取失业保险金的期限最长为18个月；累计缴费时间10年以上的，领取失业保险金的期限最长为24个月。重新就业后，再次失业的，缴费时间重新计算，领取失业保险金的期限可以与前次失业应领取而尚未领取的失业保险金的期限合并计算，但是最长不得超过24个月。</w:t>
            </w:r>
          </w:p>
          <w:p w14:paraId="36031123">
            <w:pPr>
              <w:keepNext w:val="0"/>
              <w:keepLines w:val="0"/>
              <w:widowControl/>
              <w:suppressLineNumbers w:val="0"/>
              <w:shd w:val="clear" w:fill="FFFFFF"/>
              <w:spacing w:after="225" w:afterAutospacing="0" w:line="360" w:lineRule="atLeast"/>
              <w:ind w:left="0" w:leftChars="0" w:firstLine="420" w:firstLineChars="0"/>
              <w:jc w:val="left"/>
              <w:rPr>
                <w:rFonts w:hint="eastAsia" w:cs="宋体" w:asciiTheme="minorEastAsia" w:hAnsiTheme="minorEastAsia" w:eastAsiaTheme="minorEastAsia"/>
                <w:sz w:val="18"/>
                <w:szCs w:val="18"/>
                <w:lang w:eastAsia="zh-CN"/>
              </w:rPr>
            </w:pPr>
            <w:r>
              <w:rPr>
                <w:rFonts w:hint="eastAsia" w:asciiTheme="minorEastAsia" w:hAnsiTheme="minorEastAsia" w:eastAsiaTheme="minorEastAsia" w:cstheme="minorEastAsia"/>
                <w:i w:val="0"/>
                <w:caps w:val="0"/>
                <w:color w:val="333333"/>
                <w:spacing w:val="0"/>
                <w:kern w:val="0"/>
                <w:sz w:val="18"/>
                <w:szCs w:val="18"/>
                <w:shd w:val="clear" w:fill="FFFFFF"/>
                <w:lang w:val="en-US" w:eastAsia="zh-CN" w:bidi="ar"/>
              </w:rPr>
              <w:t>第十八条　失业保险金的标准，按照低于当地最低工资标准、高于城市居民最低生活保障标准的水平，由省、自治区、直辖市人民政府确定。</w:t>
            </w:r>
          </w:p>
        </w:tc>
        <w:tc>
          <w:tcPr>
            <w:tcW w:w="2260" w:type="dxa"/>
            <w:tcBorders>
              <w:top w:val="single" w:color="auto" w:sz="4" w:space="0"/>
              <w:left w:val="nil"/>
              <w:bottom w:val="single" w:color="auto" w:sz="4" w:space="0"/>
              <w:right w:val="single" w:color="auto" w:sz="4" w:space="0"/>
            </w:tcBorders>
            <w:shd w:val="clear" w:color="auto" w:fill="auto"/>
            <w:vAlign w:val="center"/>
          </w:tcPr>
          <w:p w14:paraId="2D02D40F">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left"/>
              <w:textAlignment w:val="center"/>
              <w:outlineLvl w:val="9"/>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1.受理责任:一次性告知补正材料</w:t>
            </w:r>
            <w:r>
              <w:rPr>
                <w:rFonts w:hint="eastAsia" w:asciiTheme="minorEastAsia" w:hAnsiTheme="minorEastAsia" w:eastAsiaTheme="minorEastAsia" w:cstheme="minorEastAsia"/>
                <w:sz w:val="18"/>
                <w:szCs w:val="18"/>
                <w:lang w:eastAsia="zh-CN"/>
              </w:rPr>
              <w:t>；依法受理或不予受理。</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2.审查责任:审核</w:t>
            </w:r>
            <w:r>
              <w:rPr>
                <w:rFonts w:hint="eastAsia" w:asciiTheme="minorEastAsia" w:hAnsiTheme="minorEastAsia" w:eastAsiaTheme="minorEastAsia" w:cstheme="minorEastAsia"/>
                <w:sz w:val="18"/>
                <w:szCs w:val="18"/>
                <w:lang w:eastAsia="zh-CN"/>
              </w:rPr>
              <w:t>通过的依法予以参保登记</w:t>
            </w:r>
          </w:p>
          <w:p w14:paraId="2F14C07F">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cs="宋体" w:asciiTheme="minorEastAsia" w:hAnsiTheme="minorEastAsia" w:eastAsiaTheme="minorEastAsia"/>
                <w:sz w:val="18"/>
                <w:szCs w:val="18"/>
                <w:lang w:eastAsia="zh-CN"/>
              </w:rPr>
            </w:pPr>
            <w:r>
              <w:rPr>
                <w:rFonts w:hint="eastAsia" w:asciiTheme="minorEastAsia" w:hAnsiTheme="minorEastAsia" w:eastAsiaTheme="minorEastAsia" w:cstheme="minorEastAsia"/>
                <w:sz w:val="18"/>
                <w:szCs w:val="18"/>
              </w:rPr>
              <w:t>3.决定责任:符合条件的，做出予以确认的决定；不符合条件的，要求正确填报或补充材料。</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rPr>
              <w:t>事后监管责任:加强对机关事业单位退休待遇申报的指导，及时纠正违规行为。</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rPr>
              <w:t>其他法律法规规章文件规定应履行的责任。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746C06C0">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cs="宋体" w:asciiTheme="minorEastAsia" w:hAnsiTheme="minorEastAsia" w:eastAsiaTheme="minorEastAsia"/>
                <w:sz w:val="18"/>
                <w:szCs w:val="18"/>
              </w:rPr>
            </w:pPr>
            <w:r>
              <w:rPr>
                <w:rFonts w:hint="eastAsia" w:asciiTheme="minorEastAsia" w:hAnsiTheme="minorEastAsia" w:eastAsiaTheme="minorEastAsia" w:cstheme="minorEastAsia"/>
                <w:b w:val="0"/>
                <w:i w:val="0"/>
                <w:snapToGrid/>
                <w:color w:val="000000"/>
                <w:sz w:val="18"/>
                <w:szCs w:val="18"/>
                <w:u w:val="none"/>
                <w:lang w:val="en-US" w:eastAsia="zh-CN"/>
              </w:rPr>
              <w:t>社会保险经办机构及其工作人员有下列行为之一的，由社会保险行政部门责令改正；给社会保险基金、用人单位或者个人造成损失的，依法承担赔偿责任；对直接负责的主管人员和其他直接责任人员依法给予处分：（一）未履行社会保险法定职责的；（二）未将社会保险基金存入财政专户的；（三）克扣或者拒不按时支付社会保险待遇的；（四）丢失或者篡改缴费记录、享受社会保险待遇记录等社会保险数据、个人权益记录的；（五）有违反社会保险法律、法规的其他行为的。</w:t>
            </w:r>
          </w:p>
        </w:tc>
        <w:tc>
          <w:tcPr>
            <w:tcW w:w="680" w:type="dxa"/>
            <w:tcBorders>
              <w:top w:val="single" w:color="auto" w:sz="4" w:space="0"/>
              <w:left w:val="nil"/>
              <w:bottom w:val="single" w:color="auto" w:sz="4" w:space="0"/>
              <w:right w:val="single" w:color="auto" w:sz="4" w:space="0"/>
            </w:tcBorders>
            <w:shd w:val="clear" w:color="auto" w:fill="auto"/>
            <w:vAlign w:val="center"/>
          </w:tcPr>
          <w:p w14:paraId="21C2C467">
            <w:pPr>
              <w:adjustRightInd/>
              <w:snapToGrid/>
              <w:spacing w:after="0" w:line="240" w:lineRule="exact"/>
              <w:rPr>
                <w:rFonts w:hint="eastAsia" w:cs="宋体" w:asciiTheme="minorEastAsia" w:hAnsiTheme="minorEastAsia" w:eastAsiaTheme="minorEastAsia"/>
                <w:sz w:val="18"/>
                <w:szCs w:val="18"/>
              </w:rPr>
            </w:pPr>
          </w:p>
        </w:tc>
      </w:tr>
      <w:tr w14:paraId="68E7F64E">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7CFC856F">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22</w:t>
            </w:r>
          </w:p>
        </w:tc>
        <w:tc>
          <w:tcPr>
            <w:tcW w:w="1080" w:type="dxa"/>
            <w:tcBorders>
              <w:top w:val="single" w:color="auto" w:sz="4" w:space="0"/>
              <w:left w:val="nil"/>
              <w:bottom w:val="single" w:color="auto" w:sz="4" w:space="0"/>
              <w:right w:val="single" w:color="auto" w:sz="4" w:space="0"/>
            </w:tcBorders>
            <w:shd w:val="clear" w:color="auto" w:fill="auto"/>
            <w:vAlign w:val="center"/>
          </w:tcPr>
          <w:p w14:paraId="0AB6F04B">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cs="宋体" w:asciiTheme="minorEastAsia" w:hAnsiTheme="minorEastAsia" w:eastAsiaTheme="minorEastAsia"/>
                <w:sz w:val="18"/>
                <w:szCs w:val="18"/>
                <w:lang w:eastAsia="zh-CN"/>
              </w:rPr>
            </w:pPr>
            <w:r>
              <w:rPr>
                <w:rFonts w:hint="eastAsia" w:asciiTheme="minorEastAsia" w:hAnsiTheme="minorEastAsia" w:eastAsiaTheme="minorEastAsia" w:cstheme="minorEastAsia"/>
                <w:i w:val="0"/>
                <w:color w:val="000000"/>
                <w:kern w:val="0"/>
                <w:sz w:val="18"/>
                <w:szCs w:val="18"/>
                <w:u w:val="none"/>
                <w:lang w:val="en-US" w:eastAsia="zh-CN" w:bidi="ar"/>
              </w:rPr>
              <w:t>行政给付</w:t>
            </w:r>
          </w:p>
        </w:tc>
        <w:tc>
          <w:tcPr>
            <w:tcW w:w="2460" w:type="dxa"/>
            <w:tcBorders>
              <w:top w:val="single" w:color="auto" w:sz="4" w:space="0"/>
              <w:left w:val="nil"/>
              <w:bottom w:val="single" w:color="auto" w:sz="4" w:space="0"/>
              <w:right w:val="single" w:color="auto" w:sz="4" w:space="0"/>
            </w:tcBorders>
            <w:shd w:val="clear" w:color="auto" w:fill="auto"/>
            <w:vAlign w:val="center"/>
          </w:tcPr>
          <w:p w14:paraId="5100B3F4">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cs="宋体" w:asciiTheme="minorEastAsia" w:hAnsiTheme="minorEastAsia" w:eastAsiaTheme="minorEastAsia"/>
                <w:sz w:val="18"/>
                <w:szCs w:val="18"/>
              </w:rPr>
            </w:pPr>
            <w:r>
              <w:rPr>
                <w:rFonts w:hint="eastAsia" w:asciiTheme="minorEastAsia" w:hAnsiTheme="minorEastAsia" w:eastAsiaTheme="minorEastAsia" w:cstheme="minorEastAsia"/>
                <w:b w:val="0"/>
                <w:i w:val="0"/>
                <w:snapToGrid/>
                <w:color w:val="000000"/>
                <w:sz w:val="18"/>
                <w:szCs w:val="18"/>
                <w:u w:val="none"/>
                <w:lang w:val="en-US" w:eastAsia="zh-CN"/>
              </w:rPr>
              <w:t>失业保险待遇给付</w:t>
            </w:r>
          </w:p>
        </w:tc>
        <w:tc>
          <w:tcPr>
            <w:tcW w:w="1180" w:type="dxa"/>
            <w:tcBorders>
              <w:top w:val="single" w:color="auto" w:sz="4" w:space="0"/>
              <w:left w:val="nil"/>
              <w:bottom w:val="single" w:color="auto" w:sz="4" w:space="0"/>
              <w:right w:val="single" w:color="auto" w:sz="4" w:space="0"/>
            </w:tcBorders>
            <w:shd w:val="clear" w:color="auto" w:fill="auto"/>
            <w:vAlign w:val="center"/>
          </w:tcPr>
          <w:p w14:paraId="5BD7074D">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2E89F92D">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Theme="minorEastAsia" w:hAnsiTheme="minorEastAsia" w:eastAsiaTheme="minorEastAsia" w:cstheme="minorEastAsia"/>
                <w:b w:val="0"/>
                <w:i w:val="0"/>
                <w:snapToGrid/>
                <w:color w:val="000000"/>
                <w:sz w:val="18"/>
                <w:szCs w:val="18"/>
                <w:u w:val="none"/>
                <w:lang w:val="en-US" w:eastAsia="zh-CN"/>
              </w:rPr>
            </w:pPr>
            <w:r>
              <w:rPr>
                <w:rFonts w:hint="eastAsia" w:asciiTheme="minorEastAsia" w:hAnsiTheme="minorEastAsia" w:eastAsiaTheme="minorEastAsia" w:cstheme="minorEastAsia"/>
                <w:b w:val="0"/>
                <w:i w:val="0"/>
                <w:snapToGrid/>
                <w:color w:val="000000"/>
                <w:sz w:val="18"/>
                <w:szCs w:val="18"/>
                <w:u w:val="none"/>
                <w:lang w:val="en-US" w:eastAsia="zh-CN"/>
              </w:rPr>
              <w:t>1.</w:t>
            </w:r>
            <w:r>
              <w:rPr>
                <w:rFonts w:hint="eastAsia" w:asciiTheme="minorEastAsia" w:hAnsiTheme="minorEastAsia" w:eastAsiaTheme="minorEastAsia" w:cstheme="minorEastAsia"/>
                <w:b w:val="0"/>
                <w:i w:val="0"/>
                <w:snapToGrid/>
                <w:color w:val="000000"/>
                <w:sz w:val="18"/>
                <w:szCs w:val="18"/>
                <w:u w:val="none"/>
                <w:lang w:eastAsia="zh-CN"/>
              </w:rPr>
              <w:t>《中华人民共和国社会保险法》（主席令第</w:t>
            </w:r>
            <w:r>
              <w:rPr>
                <w:rFonts w:hint="eastAsia" w:asciiTheme="minorEastAsia" w:hAnsiTheme="minorEastAsia" w:eastAsiaTheme="minorEastAsia" w:cstheme="minorEastAsia"/>
                <w:b w:val="0"/>
                <w:i w:val="0"/>
                <w:snapToGrid/>
                <w:color w:val="000000"/>
                <w:sz w:val="18"/>
                <w:szCs w:val="18"/>
                <w:u w:val="none"/>
                <w:lang w:val="en-US" w:eastAsia="zh-CN"/>
              </w:rPr>
              <w:t>35号</w:t>
            </w:r>
            <w:r>
              <w:rPr>
                <w:rFonts w:hint="eastAsia" w:asciiTheme="minorEastAsia" w:hAnsiTheme="minorEastAsia" w:eastAsiaTheme="minorEastAsia" w:cstheme="minorEastAsia"/>
                <w:b w:val="0"/>
                <w:i w:val="0"/>
                <w:snapToGrid/>
                <w:color w:val="000000"/>
                <w:sz w:val="18"/>
                <w:szCs w:val="18"/>
                <w:u w:val="none"/>
                <w:lang w:eastAsia="zh-CN"/>
              </w:rPr>
              <w:t>）第九章第七十三条“社会保险经办机构应当按时足额支付社会保险待遇”；</w:t>
            </w:r>
          </w:p>
          <w:p w14:paraId="3E06F3A0">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cs="宋体" w:asciiTheme="minorEastAsia" w:hAnsiTheme="minorEastAsia" w:eastAsiaTheme="minorEastAsia"/>
                <w:sz w:val="18"/>
                <w:szCs w:val="18"/>
                <w:lang w:eastAsia="zh-CN"/>
              </w:rPr>
            </w:pPr>
            <w:r>
              <w:rPr>
                <w:rFonts w:hint="eastAsia" w:asciiTheme="minorEastAsia" w:hAnsiTheme="minorEastAsia" w:eastAsiaTheme="minorEastAsia" w:cstheme="minorEastAsia"/>
                <w:b w:val="0"/>
                <w:i w:val="0"/>
                <w:snapToGrid/>
                <w:color w:val="000000"/>
                <w:sz w:val="18"/>
                <w:szCs w:val="18"/>
                <w:u w:val="none"/>
                <w:lang w:val="en-US" w:eastAsia="zh-CN"/>
              </w:rPr>
              <w:t>2.《失业保险条例》（国务院令第258号）第三章第十六条“失业保险金由社会保险经办机构按月发放。社会保险经办机构为失业人员开具领取失业保险金的单证，失业人员凭单证到指定银行领取失业保险金”；3.《失业保险金申领发放办法》（2000年劳动和社会保障部令第8号）第三条 “劳动保障行政部门设立的经办失业保险业务的社会保险经办机构按照本办法规定受理失业人员领取失业保险金的申请，审核确认领取资格，核定领取失业保险金、享受其他失业保险待遇的期限及标准，负责发放失业保险金并提供其他失业保险待遇”。</w:t>
            </w:r>
          </w:p>
        </w:tc>
        <w:tc>
          <w:tcPr>
            <w:tcW w:w="2260" w:type="dxa"/>
            <w:tcBorders>
              <w:top w:val="single" w:color="auto" w:sz="4" w:space="0"/>
              <w:left w:val="nil"/>
              <w:bottom w:val="single" w:color="auto" w:sz="4" w:space="0"/>
              <w:right w:val="single" w:color="auto" w:sz="4" w:space="0"/>
            </w:tcBorders>
            <w:shd w:val="clear" w:color="auto" w:fill="auto"/>
            <w:vAlign w:val="center"/>
          </w:tcPr>
          <w:p w14:paraId="60514F22">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left"/>
              <w:textAlignment w:val="center"/>
              <w:outlineLvl w:val="9"/>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1.受理责任:一次性告知补正材料</w:t>
            </w:r>
            <w:r>
              <w:rPr>
                <w:rFonts w:hint="eastAsia" w:asciiTheme="minorEastAsia" w:hAnsiTheme="minorEastAsia" w:eastAsiaTheme="minorEastAsia" w:cstheme="minorEastAsia"/>
                <w:sz w:val="18"/>
                <w:szCs w:val="18"/>
                <w:lang w:eastAsia="zh-CN"/>
              </w:rPr>
              <w:t>；依法受理或不予受理。</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2.审查责任:审核</w:t>
            </w:r>
            <w:r>
              <w:rPr>
                <w:rFonts w:hint="eastAsia" w:asciiTheme="minorEastAsia" w:hAnsiTheme="minorEastAsia" w:eastAsiaTheme="minorEastAsia" w:cstheme="minorEastAsia"/>
                <w:sz w:val="18"/>
                <w:szCs w:val="18"/>
                <w:lang w:eastAsia="zh-CN"/>
              </w:rPr>
              <w:t>通过的依法予以参保登记</w:t>
            </w:r>
          </w:p>
          <w:p w14:paraId="73D7A4CE">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cs="宋体" w:asciiTheme="minorEastAsia" w:hAnsiTheme="minorEastAsia" w:eastAsiaTheme="minorEastAsia"/>
                <w:sz w:val="18"/>
                <w:szCs w:val="18"/>
                <w:lang w:eastAsia="zh-CN"/>
              </w:rPr>
            </w:pPr>
            <w:r>
              <w:rPr>
                <w:rFonts w:hint="eastAsia" w:asciiTheme="minorEastAsia" w:hAnsiTheme="minorEastAsia" w:eastAsiaTheme="minorEastAsia" w:cstheme="minorEastAsia"/>
                <w:sz w:val="18"/>
                <w:szCs w:val="18"/>
              </w:rPr>
              <w:t>3.决定责任:符合条件的，做出予以确认的决定；不符合条件的，要求正确填报或补充材料。</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rPr>
              <w:t>.事后监管责任:加强对机关事业单位退休待遇申报的指导，及时纠正违规行为。</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rPr>
              <w:t>.其他法律法规规章文件规定应履行的责任。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606A93C4">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cs="宋体" w:asciiTheme="minorEastAsia" w:hAnsiTheme="minorEastAsia" w:eastAsiaTheme="minorEastAsia"/>
                <w:sz w:val="18"/>
                <w:szCs w:val="18"/>
              </w:rPr>
            </w:pPr>
            <w:r>
              <w:rPr>
                <w:rFonts w:hint="eastAsia" w:asciiTheme="minorEastAsia" w:hAnsiTheme="minorEastAsia" w:eastAsiaTheme="minorEastAsia" w:cstheme="minorEastAsia"/>
                <w:b w:val="0"/>
                <w:i w:val="0"/>
                <w:snapToGrid/>
                <w:color w:val="000000"/>
                <w:sz w:val="18"/>
                <w:szCs w:val="18"/>
                <w:u w:val="none"/>
                <w:lang w:val="en-US" w:eastAsia="zh-CN"/>
              </w:rPr>
              <w:t>社会保险经办机构及其工作人员有下列行为之一的，由社会保险行政部门责令改正；给社会保险基金、用人单位或者个人造成损失的，依法承担赔偿责任；对直接负责的主管人员和其他直接责任人员依法给予处分：（一）未履行社会保险法定职责的；（二）未将社会保险基金存入财政专户的；（三）克扣或者拒不按时支付社会保险待遇的；（四）丢失或者篡改缴费记录、享受社会保险待遇记录等社会保险数据、个人权益记录的；（五）有违反社会保险法律、法规的其他行为的。</w:t>
            </w:r>
          </w:p>
        </w:tc>
        <w:tc>
          <w:tcPr>
            <w:tcW w:w="680" w:type="dxa"/>
            <w:tcBorders>
              <w:top w:val="single" w:color="auto" w:sz="4" w:space="0"/>
              <w:left w:val="nil"/>
              <w:bottom w:val="single" w:color="auto" w:sz="4" w:space="0"/>
              <w:right w:val="single" w:color="auto" w:sz="4" w:space="0"/>
            </w:tcBorders>
            <w:shd w:val="clear" w:color="auto" w:fill="auto"/>
            <w:vAlign w:val="center"/>
          </w:tcPr>
          <w:p w14:paraId="20000666">
            <w:pPr>
              <w:adjustRightInd/>
              <w:snapToGrid/>
              <w:spacing w:after="0" w:line="240" w:lineRule="exact"/>
              <w:rPr>
                <w:rFonts w:hint="eastAsia" w:cs="宋体" w:asciiTheme="minorEastAsia" w:hAnsiTheme="minorEastAsia" w:eastAsiaTheme="minorEastAsia"/>
                <w:sz w:val="18"/>
                <w:szCs w:val="18"/>
              </w:rPr>
            </w:pPr>
          </w:p>
        </w:tc>
      </w:tr>
      <w:tr w14:paraId="7F319829">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6E58D4AB">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23</w:t>
            </w:r>
          </w:p>
        </w:tc>
        <w:tc>
          <w:tcPr>
            <w:tcW w:w="1080" w:type="dxa"/>
            <w:tcBorders>
              <w:top w:val="single" w:color="auto" w:sz="4" w:space="0"/>
              <w:left w:val="nil"/>
              <w:bottom w:val="single" w:color="auto" w:sz="4" w:space="0"/>
              <w:right w:val="single" w:color="auto" w:sz="4" w:space="0"/>
            </w:tcBorders>
            <w:shd w:val="clear" w:color="auto" w:fill="auto"/>
            <w:vAlign w:val="center"/>
          </w:tcPr>
          <w:p w14:paraId="6ACF63CE">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Theme="minorEastAsia" w:hAnsiTheme="minorEastAsia" w:eastAsiaTheme="minorEastAsia" w:cstheme="minorEastAsia"/>
                <w:i w:val="0"/>
                <w:color w:val="000000"/>
                <w:kern w:val="0"/>
                <w:sz w:val="18"/>
                <w:szCs w:val="18"/>
                <w:u w:val="none"/>
                <w:lang w:val="en-US" w:eastAsia="zh-CN" w:bidi="ar"/>
              </w:rPr>
            </w:pPr>
            <w:r>
              <w:rPr>
                <w:rFonts w:hint="eastAsia" w:asciiTheme="minorEastAsia" w:hAnsiTheme="minorEastAsia" w:eastAsiaTheme="minorEastAsia" w:cstheme="minorEastAsia"/>
                <w:i w:val="0"/>
                <w:color w:val="000000"/>
                <w:kern w:val="0"/>
                <w:sz w:val="18"/>
                <w:szCs w:val="18"/>
                <w:u w:val="none"/>
                <w:lang w:val="en-US" w:eastAsia="zh-CN" w:bidi="ar"/>
              </w:rPr>
              <w:t>行政确认</w:t>
            </w:r>
          </w:p>
        </w:tc>
        <w:tc>
          <w:tcPr>
            <w:tcW w:w="2460" w:type="dxa"/>
            <w:tcBorders>
              <w:top w:val="single" w:color="auto" w:sz="4" w:space="0"/>
              <w:left w:val="nil"/>
              <w:bottom w:val="single" w:color="auto" w:sz="4" w:space="0"/>
              <w:right w:val="single" w:color="auto" w:sz="4" w:space="0"/>
            </w:tcBorders>
            <w:shd w:val="clear" w:color="auto" w:fill="auto"/>
            <w:vAlign w:val="center"/>
          </w:tcPr>
          <w:p w14:paraId="168F57FF">
            <w:pPr>
              <w:keepNext w:val="0"/>
              <w:keepLines w:val="0"/>
              <w:widowControl/>
              <w:suppressLineNumbers w:val="0"/>
              <w:jc w:val="left"/>
              <w:textAlignment w:val="center"/>
              <w:rPr>
                <w:rFonts w:hint="eastAsia" w:asciiTheme="minorEastAsia" w:hAnsiTheme="minorEastAsia" w:eastAsiaTheme="minorEastAsia" w:cstheme="minorEastAsia"/>
                <w:b w:val="0"/>
                <w:i w:val="0"/>
                <w:snapToGrid/>
                <w:color w:val="000000"/>
                <w:sz w:val="18"/>
                <w:szCs w:val="18"/>
                <w:u w:val="none"/>
                <w:lang w:val="en-US" w:eastAsia="zh-CN"/>
              </w:rPr>
            </w:pPr>
            <w:r>
              <w:rPr>
                <w:rFonts w:hint="eastAsia" w:asciiTheme="minorEastAsia" w:hAnsiTheme="minorEastAsia" w:eastAsiaTheme="minorEastAsia" w:cstheme="minorEastAsia"/>
                <w:i w:val="0"/>
                <w:iCs w:val="0"/>
                <w:color w:val="auto"/>
                <w:kern w:val="0"/>
                <w:sz w:val="18"/>
                <w:szCs w:val="18"/>
                <w:u w:val="none"/>
                <w:lang w:val="en-US" w:eastAsia="zh-CN" w:bidi="ar"/>
              </w:rPr>
              <w:t>社会保险参保登记</w:t>
            </w:r>
          </w:p>
        </w:tc>
        <w:tc>
          <w:tcPr>
            <w:tcW w:w="1180" w:type="dxa"/>
            <w:tcBorders>
              <w:top w:val="single" w:color="auto" w:sz="4" w:space="0"/>
              <w:left w:val="nil"/>
              <w:bottom w:val="single" w:color="auto" w:sz="4" w:space="0"/>
              <w:right w:val="single" w:color="auto" w:sz="4" w:space="0"/>
            </w:tcBorders>
            <w:shd w:val="clear" w:color="auto" w:fill="auto"/>
            <w:vAlign w:val="center"/>
          </w:tcPr>
          <w:p w14:paraId="356C59EE">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Theme="minorEastAsia" w:hAnsiTheme="minorEastAsia" w:eastAsiaTheme="minorEastAsia" w:cstheme="minorEastAsia"/>
                <w:sz w:val="18"/>
                <w:szCs w:val="18"/>
                <w:lang w:eastAsia="zh-CN"/>
              </w:rPr>
            </w:pPr>
            <w:r>
              <w:rPr>
                <w:rFonts w:hint="eastAsia" w:cs="宋体" w:asciiTheme="minorEastAsia" w:hAnsiTheme="minorEastAsia" w:eastAsiaTheme="minorEastAsia"/>
                <w:sz w:val="18"/>
                <w:szCs w:val="18"/>
                <w:lang w:eastAsia="zh-CN"/>
              </w:rPr>
              <w:t>县</w:t>
            </w:r>
            <w:r>
              <w:rPr>
                <w:rFonts w:hint="eastAsia" w:cs="宋体" w:asciiTheme="minorEastAsia" w:hAnsiTheme="minorEastAsia" w:eastAsia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1BC3A37F">
            <w:pPr>
              <w:keepNext w:val="0"/>
              <w:keepLines w:val="0"/>
              <w:widowControl/>
              <w:suppressLineNumbers w:val="0"/>
              <w:shd w:val="clear" w:fill="FFFFFF"/>
              <w:spacing w:after="225" w:afterAutospacing="0" w:line="360" w:lineRule="atLeast"/>
              <w:ind w:left="0" w:leftChars="0" w:firstLine="420" w:firstLineChars="0"/>
              <w:jc w:val="left"/>
              <w:rPr>
                <w:rFonts w:hint="eastAsia" w:asciiTheme="minorEastAsia" w:hAnsiTheme="minorEastAsia" w:eastAsiaTheme="minorEastAsia" w:cstheme="minorEastAsia"/>
                <w:b w:val="0"/>
                <w:i w:val="0"/>
                <w:snapToGrid/>
                <w:color w:val="000000"/>
                <w:sz w:val="18"/>
                <w:szCs w:val="18"/>
                <w:u w:val="none"/>
                <w:lang w:val="en-US" w:eastAsia="zh-CN"/>
              </w:rPr>
            </w:pPr>
            <w:r>
              <w:rPr>
                <w:rFonts w:hint="eastAsia" w:asciiTheme="minorEastAsia" w:hAnsiTheme="minorEastAsia" w:eastAsiaTheme="minorEastAsia" w:cstheme="minorEastAsia"/>
                <w:b w:val="0"/>
                <w:i w:val="0"/>
                <w:snapToGrid/>
                <w:color w:val="000000"/>
                <w:sz w:val="18"/>
                <w:szCs w:val="18"/>
                <w:u w:val="none"/>
                <w:lang w:val="en-US" w:eastAsia="zh-CN"/>
              </w:rPr>
              <w:t>1.《社会保险费征缴暂行条例》(1999 年 1 月 22 日中华人民共和国国务院令第 259 号，根据 2019 年 3 月 24 日中华人民共和国国务院令第710 号《国务院关于修改部分行政法规的决定)第七条；2.《中华人民共和国社会保险法》（2010 年 10 月 28 日第十一届全国人民代表大会常务委员会第十七次会议通过，根据 2018 年 12 月 29 日第十三届全国人民代表大会常务委员会第七次会议《关于修改〈中华人民共和国社会保险法〉的决定》修正）第五十七条。</w:t>
            </w:r>
          </w:p>
        </w:tc>
        <w:tc>
          <w:tcPr>
            <w:tcW w:w="2260" w:type="dxa"/>
            <w:tcBorders>
              <w:top w:val="single" w:color="auto" w:sz="4" w:space="0"/>
              <w:left w:val="nil"/>
              <w:bottom w:val="single" w:color="auto" w:sz="4" w:space="0"/>
              <w:right w:val="single" w:color="auto" w:sz="4" w:space="0"/>
            </w:tcBorders>
            <w:shd w:val="clear" w:color="auto" w:fill="auto"/>
            <w:vAlign w:val="center"/>
          </w:tcPr>
          <w:p w14:paraId="4A0AD3AD">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left"/>
              <w:textAlignment w:val="center"/>
              <w:outlineLvl w:val="9"/>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1.受理责任:一次性告知补正材料</w:t>
            </w:r>
            <w:r>
              <w:rPr>
                <w:rFonts w:hint="eastAsia" w:asciiTheme="minorEastAsia" w:hAnsiTheme="minorEastAsia" w:eastAsiaTheme="minorEastAsia" w:cstheme="minorEastAsia"/>
                <w:sz w:val="18"/>
                <w:szCs w:val="18"/>
                <w:lang w:eastAsia="zh-CN"/>
              </w:rPr>
              <w:t>；依法受理或不予受理。</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2.审查责任:审核</w:t>
            </w:r>
            <w:r>
              <w:rPr>
                <w:rFonts w:hint="eastAsia" w:asciiTheme="minorEastAsia" w:hAnsiTheme="minorEastAsia" w:eastAsiaTheme="minorEastAsia" w:cstheme="minorEastAsia"/>
                <w:sz w:val="18"/>
                <w:szCs w:val="18"/>
                <w:lang w:eastAsia="zh-CN"/>
              </w:rPr>
              <w:t>通过的依法予以参保登记</w:t>
            </w:r>
          </w:p>
          <w:p w14:paraId="47E5E7A7">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i w:val="0"/>
                <w:snapToGrid/>
                <w:color w:val="000000"/>
                <w:sz w:val="18"/>
                <w:szCs w:val="18"/>
                <w:u w:val="none"/>
                <w:lang w:val="en-US" w:eastAsia="zh-CN"/>
              </w:rPr>
            </w:pPr>
            <w:r>
              <w:rPr>
                <w:rFonts w:hint="eastAsia" w:asciiTheme="minorEastAsia" w:hAnsiTheme="minorEastAsia" w:eastAsiaTheme="minorEastAsia" w:cstheme="minorEastAsia"/>
                <w:sz w:val="18"/>
                <w:szCs w:val="18"/>
              </w:rPr>
              <w:t>3.决定责任:符合条件的，做出予以确认的决定；不符合条件的，要求正确填报或补充材料。</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4.送达责任:根据办理方式现场或线上告知。</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5.事后监管责任:加强对机关事业单位退休待遇申报的指导，及时纠正违规行为。</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6.其他法律法规规章文件规定应履行的责任。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73C4DD44">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i w:val="0"/>
                <w:snapToGrid/>
                <w:color w:val="000000"/>
                <w:sz w:val="18"/>
                <w:szCs w:val="18"/>
                <w:u w:val="none"/>
                <w:lang w:val="en-US" w:eastAsia="zh-CN"/>
              </w:rPr>
            </w:pPr>
            <w:r>
              <w:rPr>
                <w:rFonts w:hint="eastAsia" w:asciiTheme="minorEastAsia" w:hAnsiTheme="minorEastAsia" w:eastAsiaTheme="minorEastAsia" w:cstheme="minorEastAsia"/>
                <w:sz w:val="18"/>
                <w:szCs w:val="18"/>
              </w:rPr>
              <w:t>因不履行或不正确履行行政职责，有下列情形的，行政机关及相关工作人员应承担相应责任：</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1.对符合受理条件的行政认定申请不予受理的；</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2.未严格按照相关政策、法律、法规履行审查义务，对应当予以认定的不予认定，或者对不应认定的予以认定；</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3.泄露用人单位和个人信息的，给用人单位或者个人造成损失的；</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4.</w:t>
            </w:r>
            <w:r>
              <w:rPr>
                <w:rFonts w:hint="eastAsia" w:asciiTheme="minorEastAsia" w:hAnsiTheme="minorEastAsia" w:eastAsiaTheme="minorEastAsia" w:cstheme="minorEastAsia"/>
                <w:sz w:val="18"/>
                <w:szCs w:val="18"/>
                <w:lang w:eastAsia="zh-CN"/>
              </w:rPr>
              <w:t>工作人员</w:t>
            </w:r>
            <w:r>
              <w:rPr>
                <w:rFonts w:hint="eastAsia" w:asciiTheme="minorEastAsia" w:hAnsiTheme="minorEastAsia" w:eastAsiaTheme="minorEastAsia" w:cstheme="minorEastAsia"/>
                <w:sz w:val="18"/>
                <w:szCs w:val="18"/>
              </w:rPr>
              <w:t>滥用职权、玩忽职守、徇私舞弊的；</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5.其他违反法律法规规章文件规定的行为。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3E9E5C86">
            <w:pPr>
              <w:adjustRightInd/>
              <w:snapToGrid/>
              <w:spacing w:after="0" w:line="240" w:lineRule="exact"/>
              <w:rPr>
                <w:rFonts w:hint="eastAsia" w:cs="宋体" w:asciiTheme="minorEastAsia" w:hAnsiTheme="minorEastAsia" w:eastAsiaTheme="minorEastAsia"/>
                <w:sz w:val="18"/>
                <w:szCs w:val="18"/>
              </w:rPr>
            </w:pPr>
          </w:p>
        </w:tc>
      </w:tr>
      <w:tr w14:paraId="6DE8C24A">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0BD4652B">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24</w:t>
            </w:r>
          </w:p>
        </w:tc>
        <w:tc>
          <w:tcPr>
            <w:tcW w:w="1080" w:type="dxa"/>
            <w:tcBorders>
              <w:top w:val="single" w:color="auto" w:sz="4" w:space="0"/>
              <w:left w:val="nil"/>
              <w:bottom w:val="single" w:color="auto" w:sz="4" w:space="0"/>
              <w:right w:val="single" w:color="auto" w:sz="4" w:space="0"/>
            </w:tcBorders>
            <w:shd w:val="clear" w:color="auto" w:fill="auto"/>
            <w:vAlign w:val="center"/>
          </w:tcPr>
          <w:p w14:paraId="58DF3FB2">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i w:val="0"/>
                <w:color w:val="000000"/>
                <w:kern w:val="0"/>
                <w:sz w:val="18"/>
                <w:szCs w:val="18"/>
                <w:u w:val="none"/>
                <w:lang w:val="en-US" w:eastAsia="zh-CN" w:bidi="ar"/>
              </w:rPr>
              <w:t>行政确认</w:t>
            </w:r>
          </w:p>
        </w:tc>
        <w:tc>
          <w:tcPr>
            <w:tcW w:w="2460" w:type="dxa"/>
            <w:tcBorders>
              <w:top w:val="single" w:color="auto" w:sz="4" w:space="0"/>
              <w:left w:val="nil"/>
              <w:bottom w:val="single" w:color="auto" w:sz="4" w:space="0"/>
              <w:right w:val="single" w:color="auto" w:sz="4" w:space="0"/>
            </w:tcBorders>
            <w:shd w:val="clear" w:color="auto" w:fill="auto"/>
            <w:vAlign w:val="center"/>
          </w:tcPr>
          <w:p w14:paraId="057E1E78">
            <w:pPr>
              <w:keepNext w:val="0"/>
              <w:keepLines w:val="0"/>
              <w:widowControl/>
              <w:suppressLineNumbers w:val="0"/>
              <w:jc w:val="left"/>
              <w:textAlignment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i w:val="0"/>
                <w:iCs w:val="0"/>
                <w:color w:val="auto"/>
                <w:kern w:val="0"/>
                <w:sz w:val="18"/>
                <w:szCs w:val="18"/>
                <w:u w:val="none"/>
                <w:lang w:val="en-US" w:eastAsia="zh-CN" w:bidi="ar"/>
              </w:rPr>
              <w:t>职工基本养老保险待遇核准</w:t>
            </w:r>
          </w:p>
        </w:tc>
        <w:tc>
          <w:tcPr>
            <w:tcW w:w="1180" w:type="dxa"/>
            <w:tcBorders>
              <w:top w:val="single" w:color="auto" w:sz="4" w:space="0"/>
              <w:left w:val="nil"/>
              <w:bottom w:val="single" w:color="auto" w:sz="4" w:space="0"/>
              <w:right w:val="single" w:color="auto" w:sz="4" w:space="0"/>
            </w:tcBorders>
            <w:shd w:val="clear" w:color="auto" w:fill="auto"/>
            <w:vAlign w:val="center"/>
          </w:tcPr>
          <w:p w14:paraId="338EF1FF">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eastAsia="zh-CN"/>
              </w:rPr>
              <w:t>县</w:t>
            </w:r>
            <w:r>
              <w:rPr>
                <w:rFonts w:hint="eastAsia" w:asciiTheme="minorEastAsia" w:hAnsiTheme="minorEastAsia" w:eastAsiaTheme="minorEastAsia" w:cs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38B0FAF1">
            <w:pPr>
              <w:numPr>
                <w:ilvl w:val="0"/>
                <w:numId w:val="1"/>
              </w:numPr>
              <w:adjustRightInd/>
              <w:snapToGrid/>
              <w:spacing w:after="0" w:line="240" w:lineRule="exact"/>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国务院关于工人退休、退职的暂行办法</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（国发（1978）104号）</w:t>
            </w:r>
            <w:r>
              <w:rPr>
                <w:rFonts w:hint="eastAsia" w:asciiTheme="minorEastAsia" w:hAnsiTheme="minorEastAsia" w:eastAsiaTheme="minorEastAsia" w:cstheme="minorEastAsia"/>
                <w:sz w:val="18"/>
                <w:szCs w:val="18"/>
                <w:lang w:eastAsia="zh-CN"/>
              </w:rPr>
              <w:t>第一条：“全民所有制企业、事业单位和党政机关、群众团体的工人，符合下列条件之一的，应该退休。</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w:t>
            </w:r>
          </w:p>
          <w:p w14:paraId="107CB883">
            <w:pPr>
              <w:numPr>
                <w:ilvl w:val="0"/>
                <w:numId w:val="1"/>
              </w:numPr>
              <w:adjustRightInd/>
              <w:snapToGrid/>
              <w:spacing w:after="0" w:line="240" w:lineRule="exact"/>
              <w:ind w:left="0" w:leftChars="0" w:firstLine="0" w:firstLineChars="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《国务院办公厅关于进一步做好国有企业下岗职工基本生活保障和企业离退休人员养老金发放工作有关问题的通知》（国办发〔1999〕10号）第四条（二）</w:t>
            </w:r>
            <w:r>
              <w:rPr>
                <w:rFonts w:hint="eastAsia" w:asciiTheme="minorEastAsia" w:hAnsiTheme="minorEastAsia" w:eastAsiaTheme="minorEastAsia" w:cstheme="minorEastAsia"/>
                <w:sz w:val="18"/>
                <w:szCs w:val="18"/>
                <w:lang w:eastAsia="zh-CN"/>
              </w:rPr>
              <w:t>：“加强企业职工退休审批工作的管理</w:t>
            </w:r>
            <w:r>
              <w:rPr>
                <w:rFonts w:hint="eastAsia" w:asciiTheme="minorEastAsia" w:hAnsiTheme="minorEastAsia" w:eastAsiaTheme="minorEastAsia" w:cstheme="minorEastAsia"/>
                <w:sz w:val="18"/>
                <w:szCs w:val="18"/>
                <w:lang w:val="en-US" w:eastAsia="zh-CN"/>
              </w:rPr>
              <w:t>...各地区、各部门及各企业必须严格执行国家关于企业职工退休条件的规定。</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 xml:space="preserve"> </w:t>
            </w:r>
          </w:p>
          <w:p w14:paraId="06D666D5">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left"/>
              <w:textAlignment w:val="center"/>
              <w:outlineLvl w:val="9"/>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3.河北省人民政府办公厅关于印发《河北省企业职工基金养老金计发办法》的通知（办字〔2006〕77号）</w:t>
            </w:r>
            <w:r>
              <w:rPr>
                <w:rFonts w:hint="eastAsia" w:asciiTheme="minorEastAsia" w:hAnsiTheme="minorEastAsia" w:eastAsiaTheme="minorEastAsia" w:cstheme="minorEastAsia"/>
                <w:sz w:val="18"/>
                <w:szCs w:val="18"/>
                <w:lang w:eastAsia="zh-CN"/>
              </w:rPr>
              <w:t>第</w:t>
            </w:r>
            <w:r>
              <w:rPr>
                <w:rFonts w:hint="eastAsia" w:asciiTheme="minorEastAsia" w:hAnsiTheme="minorEastAsia" w:eastAsiaTheme="minorEastAsia" w:cstheme="minorEastAsia"/>
                <w:sz w:val="18"/>
                <w:szCs w:val="18"/>
              </w:rPr>
              <w:t>二</w:t>
            </w:r>
            <w:r>
              <w:rPr>
                <w:rFonts w:hint="eastAsia" w:asciiTheme="minorEastAsia" w:hAnsiTheme="minorEastAsia" w:eastAsiaTheme="minorEastAsia" w:cstheme="minorEastAsia"/>
                <w:sz w:val="18"/>
                <w:szCs w:val="18"/>
                <w:lang w:eastAsia="zh-CN"/>
              </w:rPr>
              <w:t>条：“本办法适用于我省行政区域内参加企业职工基本养老保险的所有人员</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w:t>
            </w:r>
          </w:p>
        </w:tc>
        <w:tc>
          <w:tcPr>
            <w:tcW w:w="2260" w:type="dxa"/>
            <w:tcBorders>
              <w:top w:val="single" w:color="auto" w:sz="4" w:space="0"/>
              <w:left w:val="nil"/>
              <w:bottom w:val="single" w:color="auto" w:sz="4" w:space="0"/>
              <w:right w:val="single" w:color="auto" w:sz="4" w:space="0"/>
            </w:tcBorders>
            <w:shd w:val="clear" w:color="auto" w:fill="auto"/>
            <w:vAlign w:val="center"/>
          </w:tcPr>
          <w:p w14:paraId="07C4B585">
            <w:pPr>
              <w:adjustRightInd/>
              <w:snapToGrid/>
              <w:spacing w:after="0" w:line="240" w:lineRule="exact"/>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1.受理责任:公示依法应当提交的材料;一次性告知补正材料</w:t>
            </w:r>
            <w:r>
              <w:rPr>
                <w:rFonts w:hint="eastAsia" w:asciiTheme="minorEastAsia" w:hAnsiTheme="minorEastAsia" w:eastAsiaTheme="minorEastAsia" w:cstheme="minorEastAsia"/>
                <w:sz w:val="18"/>
                <w:szCs w:val="18"/>
                <w:lang w:eastAsia="zh-CN"/>
              </w:rPr>
              <w:t>；依法受理或不予受理。</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2.审查责任:审核个人档案信息确认表、退休核准表，符合条件的，审核通过；不符合条件的不予通过；</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3.决定责任:符合条件的，做出核准的决定；不符合条件的，不予核准。</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4.送达责任:根据办理方式现场或线上告知。</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5.事后监管责任:加强对企业退休核准的指导，及时纠正违规行为。</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6.其他法律法规规章文件规定应履行的责任。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2E1A530E">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left"/>
              <w:textAlignment w:val="center"/>
              <w:outlineLvl w:val="9"/>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因不履行或不正确履行行政职责，有下列情形的，行政机关及相关工作人员应承担相应责任：</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1.对符合受理条件的行政认定申请不予受理的；</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2.未严格按照相关政策、法律、法规履行审查义务，对应当予以认定的不予认定，或者对不应认定的予以认定；</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3.泄露用人单位和个人信息的，给用人单位或者个人造成损失的；</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4.</w:t>
            </w:r>
            <w:r>
              <w:rPr>
                <w:rFonts w:hint="eastAsia" w:asciiTheme="minorEastAsia" w:hAnsiTheme="minorEastAsia" w:eastAsiaTheme="minorEastAsia" w:cstheme="minorEastAsia"/>
                <w:sz w:val="18"/>
                <w:szCs w:val="18"/>
                <w:lang w:eastAsia="zh-CN"/>
              </w:rPr>
              <w:t>工作人员</w:t>
            </w:r>
            <w:r>
              <w:rPr>
                <w:rFonts w:hint="eastAsia" w:asciiTheme="minorEastAsia" w:hAnsiTheme="minorEastAsia" w:eastAsiaTheme="minorEastAsia" w:cstheme="minorEastAsia"/>
                <w:sz w:val="18"/>
                <w:szCs w:val="18"/>
              </w:rPr>
              <w:t>滥用职权、玩忽职守、徇私舞弊的；</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5.其他违反法律法规规章文件规定的行为。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1D7DE7CF">
            <w:pPr>
              <w:adjustRightInd/>
              <w:snapToGrid/>
              <w:spacing w:after="0" w:line="240" w:lineRule="exact"/>
              <w:rPr>
                <w:rFonts w:hint="eastAsia" w:cs="宋体" w:asciiTheme="minorEastAsia" w:hAnsiTheme="minorEastAsia" w:eastAsiaTheme="minorEastAsia"/>
                <w:sz w:val="18"/>
                <w:szCs w:val="18"/>
              </w:rPr>
            </w:pPr>
          </w:p>
        </w:tc>
      </w:tr>
      <w:tr w14:paraId="3DCC2238">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5C87BAED">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25</w:t>
            </w:r>
          </w:p>
        </w:tc>
        <w:tc>
          <w:tcPr>
            <w:tcW w:w="1080" w:type="dxa"/>
            <w:tcBorders>
              <w:top w:val="single" w:color="auto" w:sz="4" w:space="0"/>
              <w:left w:val="nil"/>
              <w:bottom w:val="single" w:color="auto" w:sz="4" w:space="0"/>
              <w:right w:val="single" w:color="auto" w:sz="4" w:space="0"/>
            </w:tcBorders>
            <w:shd w:val="clear" w:color="auto" w:fill="auto"/>
            <w:vAlign w:val="center"/>
          </w:tcPr>
          <w:p w14:paraId="7D159592">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i w:val="0"/>
                <w:color w:val="000000"/>
                <w:kern w:val="0"/>
                <w:sz w:val="18"/>
                <w:szCs w:val="18"/>
                <w:u w:val="none"/>
                <w:lang w:val="en-US" w:eastAsia="zh-CN" w:bidi="ar"/>
              </w:rPr>
              <w:t>行政确认</w:t>
            </w:r>
          </w:p>
        </w:tc>
        <w:tc>
          <w:tcPr>
            <w:tcW w:w="2460" w:type="dxa"/>
            <w:tcBorders>
              <w:top w:val="single" w:color="auto" w:sz="4" w:space="0"/>
              <w:left w:val="nil"/>
              <w:bottom w:val="single" w:color="auto" w:sz="4" w:space="0"/>
              <w:right w:val="single" w:color="auto" w:sz="4" w:space="0"/>
            </w:tcBorders>
            <w:shd w:val="clear" w:color="auto" w:fill="auto"/>
            <w:vAlign w:val="center"/>
          </w:tcPr>
          <w:p w14:paraId="38946484">
            <w:pPr>
              <w:keepNext w:val="0"/>
              <w:keepLines w:val="0"/>
              <w:widowControl/>
              <w:suppressLineNumbers w:val="0"/>
              <w:jc w:val="left"/>
              <w:textAlignment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i w:val="0"/>
                <w:iCs w:val="0"/>
                <w:color w:val="auto"/>
                <w:kern w:val="0"/>
                <w:sz w:val="18"/>
                <w:szCs w:val="18"/>
                <w:u w:val="none"/>
                <w:lang w:val="en-US" w:eastAsia="zh-CN" w:bidi="ar"/>
              </w:rPr>
              <w:t>县本级机关事业单位养老保险待遇核定</w:t>
            </w:r>
          </w:p>
        </w:tc>
        <w:tc>
          <w:tcPr>
            <w:tcW w:w="1180" w:type="dxa"/>
            <w:tcBorders>
              <w:top w:val="single" w:color="auto" w:sz="4" w:space="0"/>
              <w:left w:val="nil"/>
              <w:bottom w:val="single" w:color="auto" w:sz="4" w:space="0"/>
              <w:right w:val="single" w:color="auto" w:sz="4" w:space="0"/>
            </w:tcBorders>
            <w:shd w:val="clear" w:color="auto" w:fill="auto"/>
            <w:vAlign w:val="center"/>
          </w:tcPr>
          <w:p w14:paraId="6D14F99A">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eastAsia="zh-CN"/>
              </w:rPr>
              <w:t>县</w:t>
            </w:r>
            <w:r>
              <w:rPr>
                <w:rFonts w:hint="eastAsia" w:asciiTheme="minorEastAsia" w:hAnsiTheme="minorEastAsia" w:eastAsiaTheme="minorEastAsia" w:cs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6C4E6E84">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left"/>
              <w:textAlignment w:val="center"/>
              <w:outlineLvl w:val="9"/>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1.《国务院关于安置老弱病残干部的暂行办法》（国发〔1978〕104号）第四条</w:t>
            </w:r>
            <w:r>
              <w:rPr>
                <w:rFonts w:hint="eastAsia" w:asciiTheme="minorEastAsia" w:hAnsiTheme="minorEastAsia" w:eastAsiaTheme="minorEastAsia" w:cstheme="minorEastAsia"/>
                <w:sz w:val="18"/>
                <w:szCs w:val="18"/>
                <w:lang w:eastAsia="zh-CN"/>
              </w:rPr>
              <w:t>：“党政机关、群众团体、企业、事业单位的干部，符合下列条件之一的，都可以退休。</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一</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2.关于印发《河北省机关事业单位工作人员基本养老金计发办法》的通知（冀人社发〔2016〕49号） 第十六条“机关事业单位编制内工作人员按干部管理权限批准退休；其他参保人员由统筹地人力资源社会保障行政部门核准退休。人力资源社会保障行政部门复核待遇条件，特殊工种提前退休按规定程序批准、核准。”</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3.局三定规定。</w:t>
            </w:r>
          </w:p>
        </w:tc>
        <w:tc>
          <w:tcPr>
            <w:tcW w:w="2260" w:type="dxa"/>
            <w:tcBorders>
              <w:top w:val="single" w:color="auto" w:sz="4" w:space="0"/>
              <w:left w:val="nil"/>
              <w:bottom w:val="single" w:color="auto" w:sz="4" w:space="0"/>
              <w:right w:val="single" w:color="auto" w:sz="4" w:space="0"/>
            </w:tcBorders>
            <w:shd w:val="clear" w:color="auto" w:fill="auto"/>
            <w:vAlign w:val="center"/>
          </w:tcPr>
          <w:p w14:paraId="1FD49D94">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left"/>
              <w:textAlignment w:val="center"/>
              <w:outlineLvl w:val="9"/>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1.受理责任:公示依法应当提交的材料;一次性告知补正材料</w:t>
            </w:r>
            <w:r>
              <w:rPr>
                <w:rFonts w:hint="eastAsia" w:asciiTheme="minorEastAsia" w:hAnsiTheme="minorEastAsia" w:eastAsiaTheme="minorEastAsia" w:cstheme="minorEastAsia"/>
                <w:sz w:val="18"/>
                <w:szCs w:val="18"/>
                <w:lang w:eastAsia="zh-CN"/>
              </w:rPr>
              <w:t>；依法受理或不予受理。</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2.审查责任:审核个人档案等材料，正确填写待遇条件确认表的，审核通过；待遇确认表填写不正确或举证材料不足的，不予通过；</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3.决定责任:符合条件的，做出予以确认的决定；不符合条件的，要求正确填报或补充材料。</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4.送达责任:根据办理方式现场或线上告知。</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5.事后监管责任:加强对机关事业单位退休待遇申报的指导，及时纠正违规行为。</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6.其他法律法规规章文件规定应履行的责任。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7EF3D4BE">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left"/>
              <w:textAlignment w:val="center"/>
              <w:outlineLvl w:val="9"/>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因不履行或不正确履行行政职责，有下列情形的，行政机关及相关工作人员应承担相应责任：</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1.对符合受理条件的行政认定申请不予受理的；</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2.未严格按照相关政策、法律、法规履行审查义务，对应当予以认定的不予认定，或者对不应认定的予以认定；</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3.泄露用人单位和个人信息的，给用人单位或者个人造成损失的；</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4.</w:t>
            </w:r>
            <w:r>
              <w:rPr>
                <w:rFonts w:hint="eastAsia" w:asciiTheme="minorEastAsia" w:hAnsiTheme="minorEastAsia" w:eastAsiaTheme="minorEastAsia" w:cstheme="minorEastAsia"/>
                <w:sz w:val="18"/>
                <w:szCs w:val="18"/>
                <w:lang w:eastAsia="zh-CN"/>
              </w:rPr>
              <w:t>工作人员</w:t>
            </w:r>
            <w:r>
              <w:rPr>
                <w:rFonts w:hint="eastAsia" w:asciiTheme="minorEastAsia" w:hAnsiTheme="minorEastAsia" w:eastAsiaTheme="minorEastAsia" w:cstheme="minorEastAsia"/>
                <w:sz w:val="18"/>
                <w:szCs w:val="18"/>
              </w:rPr>
              <w:t>滥用职权、玩忽职守、徇私舞弊的；</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5.其他违反法律法规规章文件规定的行为。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5DC58871">
            <w:pPr>
              <w:adjustRightInd/>
              <w:snapToGrid/>
              <w:spacing w:after="0" w:line="240" w:lineRule="exact"/>
              <w:rPr>
                <w:rFonts w:hint="eastAsia" w:cs="宋体" w:asciiTheme="minorEastAsia" w:hAnsiTheme="minorEastAsia" w:eastAsiaTheme="minorEastAsia"/>
                <w:sz w:val="18"/>
                <w:szCs w:val="18"/>
              </w:rPr>
            </w:pPr>
          </w:p>
        </w:tc>
      </w:tr>
      <w:tr w14:paraId="7CED918C">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3B8BC5E9">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26</w:t>
            </w:r>
          </w:p>
        </w:tc>
        <w:tc>
          <w:tcPr>
            <w:tcW w:w="1080" w:type="dxa"/>
            <w:tcBorders>
              <w:top w:val="single" w:color="auto" w:sz="4" w:space="0"/>
              <w:left w:val="nil"/>
              <w:bottom w:val="single" w:color="auto" w:sz="4" w:space="0"/>
              <w:right w:val="single" w:color="auto" w:sz="4" w:space="0"/>
            </w:tcBorders>
            <w:shd w:val="clear" w:color="auto" w:fill="auto"/>
            <w:vAlign w:val="center"/>
          </w:tcPr>
          <w:p w14:paraId="53A9156C">
            <w:pPr>
              <w:autoSpaceDN w:val="0"/>
              <w:ind w:firstLine="90" w:firstLineChars="50"/>
              <w:textAlignment w:val="center"/>
              <w:rPr>
                <w:rFonts w:hint="eastAsia" w:cs="宋体" w:asciiTheme="minorEastAsia" w:hAnsiTheme="minorEastAsia" w:eastAsiaTheme="minorEastAsia"/>
                <w:sz w:val="18"/>
                <w:szCs w:val="18"/>
                <w:lang w:eastAsia="zh-CN"/>
              </w:rPr>
            </w:pPr>
            <w:r>
              <w:rPr>
                <w:rFonts w:hint="eastAsia" w:ascii="宋体" w:hAnsi="宋体" w:eastAsia="宋体" w:cs="仿宋"/>
                <w:color w:val="000000"/>
                <w:sz w:val="18"/>
                <w:szCs w:val="18"/>
              </w:rPr>
              <w:t>行政确认</w:t>
            </w:r>
          </w:p>
        </w:tc>
        <w:tc>
          <w:tcPr>
            <w:tcW w:w="2460" w:type="dxa"/>
            <w:tcBorders>
              <w:top w:val="single" w:color="auto" w:sz="4" w:space="0"/>
              <w:left w:val="nil"/>
              <w:bottom w:val="single" w:color="auto" w:sz="4" w:space="0"/>
              <w:right w:val="single" w:color="auto" w:sz="4" w:space="0"/>
            </w:tcBorders>
            <w:shd w:val="clear" w:color="auto" w:fill="auto"/>
            <w:vAlign w:val="center"/>
          </w:tcPr>
          <w:p w14:paraId="645CE82F">
            <w:pPr>
              <w:autoSpaceDN w:val="0"/>
              <w:ind w:firstLine="90" w:firstLineChars="50"/>
              <w:jc w:val="center"/>
              <w:textAlignment w:val="center"/>
              <w:rPr>
                <w:rFonts w:hint="eastAsia" w:cs="宋体" w:asciiTheme="minorEastAsia" w:hAnsiTheme="minorEastAsia" w:eastAsiaTheme="minorEastAsia"/>
                <w:sz w:val="18"/>
                <w:szCs w:val="18"/>
              </w:rPr>
            </w:pPr>
            <w:r>
              <w:rPr>
                <w:rFonts w:hint="eastAsia" w:ascii="宋体" w:hAnsi="宋体" w:eastAsia="宋体" w:cs="仿宋"/>
                <w:color w:val="000000"/>
                <w:sz w:val="18"/>
                <w:szCs w:val="18"/>
              </w:rPr>
              <w:t>遗属待遇</w:t>
            </w:r>
          </w:p>
        </w:tc>
        <w:tc>
          <w:tcPr>
            <w:tcW w:w="1180" w:type="dxa"/>
            <w:tcBorders>
              <w:top w:val="single" w:color="auto" w:sz="4" w:space="0"/>
              <w:left w:val="nil"/>
              <w:bottom w:val="single" w:color="auto" w:sz="4" w:space="0"/>
              <w:right w:val="single" w:color="auto" w:sz="4" w:space="0"/>
            </w:tcBorders>
            <w:shd w:val="clear" w:color="auto" w:fill="auto"/>
            <w:vAlign w:val="center"/>
          </w:tcPr>
          <w:p w14:paraId="26A1B84C">
            <w:pPr>
              <w:autoSpaceDN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仿宋"/>
                <w:color w:val="000000"/>
                <w:sz w:val="18"/>
                <w:szCs w:val="18"/>
              </w:rPr>
              <w:t>县人社局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4E28EF1B">
            <w:pPr>
              <w:jc w:val="center"/>
              <w:rPr>
                <w:rFonts w:hint="eastAsia" w:cs="宋体" w:asciiTheme="minorEastAsia" w:hAnsiTheme="minorEastAsia" w:eastAsiaTheme="minorEastAsia"/>
                <w:sz w:val="18"/>
                <w:szCs w:val="18"/>
                <w:lang w:eastAsia="zh-CN"/>
              </w:rPr>
            </w:pPr>
            <w:r>
              <w:rPr>
                <w:rFonts w:hint="eastAsia" w:ascii="宋体" w:hAnsi="宋体" w:eastAsia="宋体" w:cs="仿宋"/>
                <w:color w:val="000000"/>
                <w:sz w:val="18"/>
                <w:szCs w:val="18"/>
              </w:rPr>
              <w:t>法律法规名称《中华人民共和国社会保险法》；依据文号：主席令第三十五号；条款号：第三十七条</w:t>
            </w:r>
          </w:p>
        </w:tc>
        <w:tc>
          <w:tcPr>
            <w:tcW w:w="2260" w:type="dxa"/>
            <w:tcBorders>
              <w:top w:val="single" w:color="auto" w:sz="4" w:space="0"/>
              <w:left w:val="nil"/>
              <w:bottom w:val="single" w:color="auto" w:sz="4" w:space="0"/>
              <w:right w:val="single" w:color="auto" w:sz="4" w:space="0"/>
            </w:tcBorders>
            <w:shd w:val="clear" w:color="auto" w:fill="auto"/>
            <w:vAlign w:val="center"/>
          </w:tcPr>
          <w:p w14:paraId="70723173">
            <w:pPr>
              <w:autoSpaceDN w:val="0"/>
              <w:spacing w:line="300" w:lineRule="exact"/>
              <w:jc w:val="left"/>
              <w:textAlignment w:val="center"/>
              <w:rPr>
                <w:rFonts w:ascii="宋体" w:hAnsi="宋体" w:eastAsia="宋体" w:cs="宋体"/>
                <w:sz w:val="18"/>
                <w:szCs w:val="18"/>
              </w:rPr>
            </w:pPr>
            <w:r>
              <w:rPr>
                <w:rFonts w:hint="eastAsia" w:ascii="宋体" w:hAnsi="宋体" w:eastAsia="宋体" w:cs="宋体"/>
                <w:sz w:val="18"/>
                <w:szCs w:val="18"/>
              </w:rPr>
              <w:t>1.受理责任:一次性告知补正材料；依法受理或不予受理。</w:t>
            </w:r>
            <w:r>
              <w:rPr>
                <w:rFonts w:hint="eastAsia" w:ascii="宋体" w:hAnsi="宋体" w:eastAsia="宋体" w:cs="宋体"/>
                <w:sz w:val="18"/>
                <w:szCs w:val="18"/>
              </w:rPr>
              <w:br w:type="textWrapping"/>
            </w:r>
            <w:r>
              <w:rPr>
                <w:rFonts w:hint="eastAsia" w:ascii="宋体" w:hAnsi="宋体" w:eastAsia="宋体" w:cs="宋体"/>
                <w:sz w:val="18"/>
                <w:szCs w:val="18"/>
              </w:rPr>
              <w:t>2.审查责任:审核</w:t>
            </w:r>
            <w:r>
              <w:rPr>
                <w:rFonts w:hint="eastAsia" w:ascii="宋体" w:hAnsi="宋体" w:eastAsia="宋体" w:cs="宋体"/>
                <w:sz w:val="18"/>
                <w:szCs w:val="18"/>
                <w:lang w:eastAsia="zh-CN"/>
              </w:rPr>
              <w:t>通过</w:t>
            </w:r>
            <w:r>
              <w:rPr>
                <w:rFonts w:hint="eastAsia" w:ascii="宋体" w:hAnsi="宋体" w:eastAsia="宋体" w:cs="宋体"/>
                <w:sz w:val="18"/>
                <w:szCs w:val="18"/>
              </w:rPr>
              <w:t>的依法予以参保登记</w:t>
            </w:r>
          </w:p>
          <w:p w14:paraId="49354D76">
            <w:pPr>
              <w:rPr>
                <w:rFonts w:hint="eastAsia" w:cs="宋体" w:asciiTheme="minorEastAsia" w:hAnsiTheme="minorEastAsia" w:eastAsiaTheme="minorEastAsia"/>
                <w:sz w:val="18"/>
                <w:szCs w:val="18"/>
                <w:lang w:eastAsia="zh-CN"/>
              </w:rPr>
            </w:pPr>
            <w:r>
              <w:rPr>
                <w:rFonts w:hint="eastAsia" w:ascii="宋体" w:hAnsi="宋体" w:eastAsia="宋体" w:cs="宋体"/>
                <w:sz w:val="18"/>
                <w:szCs w:val="18"/>
              </w:rPr>
              <w:t>3.决定责任:符合条件的，做出予以确认的决定；不符合条件的，要求正确填报或补充材料。</w:t>
            </w:r>
            <w:r>
              <w:rPr>
                <w:rFonts w:hint="eastAsia" w:ascii="宋体" w:hAnsi="宋体" w:eastAsia="宋体" w:cs="宋体"/>
                <w:sz w:val="18"/>
                <w:szCs w:val="18"/>
              </w:rPr>
              <w:br w:type="textWrapping"/>
            </w:r>
            <w:r>
              <w:rPr>
                <w:rFonts w:hint="eastAsia" w:ascii="宋体" w:hAnsi="宋体" w:eastAsia="宋体" w:cs="宋体"/>
                <w:sz w:val="18"/>
                <w:szCs w:val="18"/>
              </w:rPr>
              <w:t>4.送达责任:根据办理方式现场或线上告知。</w:t>
            </w:r>
            <w:r>
              <w:rPr>
                <w:rFonts w:hint="eastAsia" w:ascii="宋体" w:hAnsi="宋体" w:eastAsia="宋体" w:cs="宋体"/>
                <w:sz w:val="18"/>
                <w:szCs w:val="18"/>
              </w:rPr>
              <w:br w:type="textWrapping"/>
            </w:r>
            <w:r>
              <w:rPr>
                <w:rFonts w:hint="eastAsia" w:ascii="宋体" w:hAnsi="宋体" w:eastAsia="宋体" w:cs="宋体"/>
                <w:sz w:val="18"/>
                <w:szCs w:val="18"/>
              </w:rPr>
              <w:t>5.事后监管责任:加强对机关事业单位退休待遇申报的指导，及时纠正违规行为。</w:t>
            </w:r>
            <w:r>
              <w:rPr>
                <w:rFonts w:hint="eastAsia" w:ascii="宋体" w:hAnsi="宋体" w:eastAsia="宋体" w:cs="宋体"/>
                <w:sz w:val="18"/>
                <w:szCs w:val="18"/>
              </w:rPr>
              <w:br w:type="textWrapping"/>
            </w:r>
            <w:r>
              <w:rPr>
                <w:rFonts w:hint="eastAsia" w:ascii="宋体" w:hAnsi="宋体" w:eastAsia="宋体" w:cs="宋体"/>
                <w:sz w:val="18"/>
                <w:szCs w:val="18"/>
              </w:rPr>
              <w:t>6.其他法律法规规章文件规定应履行的责任。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2AD47833">
            <w:pPr>
              <w:rPr>
                <w:rFonts w:hint="eastAsia" w:cs="宋体" w:asciiTheme="minorEastAsia" w:hAnsiTheme="minorEastAsia" w:eastAsiaTheme="minorEastAsia"/>
                <w:sz w:val="18"/>
                <w:szCs w:val="18"/>
              </w:rPr>
            </w:pPr>
            <w:r>
              <w:rPr>
                <w:rFonts w:hint="eastAsia" w:ascii="宋体" w:hAnsi="宋体" w:eastAsia="宋体" w:cs="宋体"/>
                <w:sz w:val="18"/>
                <w:szCs w:val="18"/>
              </w:rPr>
              <w:t>因不履行或不正确履行行政职责，有下列情形的，行政机关及相关工作人员应承担相应责任：</w:t>
            </w:r>
            <w:r>
              <w:rPr>
                <w:rFonts w:hint="eastAsia" w:ascii="宋体" w:hAnsi="宋体" w:eastAsia="宋体" w:cs="宋体"/>
                <w:sz w:val="18"/>
                <w:szCs w:val="18"/>
              </w:rPr>
              <w:br w:type="textWrapping"/>
            </w:r>
            <w:r>
              <w:rPr>
                <w:rFonts w:hint="eastAsia" w:ascii="宋体" w:hAnsi="宋体" w:eastAsia="宋体" w:cs="宋体"/>
                <w:sz w:val="18"/>
                <w:szCs w:val="18"/>
              </w:rPr>
              <w:t>1.对符合受理条件的行政认定申请不予受理的；</w:t>
            </w:r>
            <w:r>
              <w:rPr>
                <w:rFonts w:hint="eastAsia" w:ascii="宋体" w:hAnsi="宋体" w:eastAsia="宋体" w:cs="宋体"/>
                <w:sz w:val="18"/>
                <w:szCs w:val="18"/>
              </w:rPr>
              <w:br w:type="textWrapping"/>
            </w:r>
            <w:r>
              <w:rPr>
                <w:rFonts w:hint="eastAsia" w:ascii="宋体" w:hAnsi="宋体" w:eastAsia="宋体" w:cs="宋体"/>
                <w:sz w:val="18"/>
                <w:szCs w:val="18"/>
              </w:rPr>
              <w:t>2.未严格按照相关政策、法律、法规履行审查义务，对应当予以认定的不予认定，或者对不应认定的予以认定；</w:t>
            </w:r>
            <w:r>
              <w:rPr>
                <w:rFonts w:hint="eastAsia" w:ascii="宋体" w:hAnsi="宋体" w:eastAsia="宋体" w:cs="宋体"/>
                <w:sz w:val="18"/>
                <w:szCs w:val="18"/>
              </w:rPr>
              <w:br w:type="textWrapping"/>
            </w:r>
            <w:r>
              <w:rPr>
                <w:rFonts w:hint="eastAsia" w:ascii="宋体" w:hAnsi="宋体" w:eastAsia="宋体" w:cs="宋体"/>
                <w:sz w:val="18"/>
                <w:szCs w:val="18"/>
              </w:rPr>
              <w:t>3.泄露用人单位和个人信息的，给用人单位或者个人造成损失的；</w:t>
            </w:r>
            <w:r>
              <w:rPr>
                <w:rFonts w:hint="eastAsia" w:ascii="宋体" w:hAnsi="宋体" w:eastAsia="宋体" w:cs="宋体"/>
                <w:sz w:val="18"/>
                <w:szCs w:val="18"/>
              </w:rPr>
              <w:br w:type="textWrapping"/>
            </w:r>
            <w:r>
              <w:rPr>
                <w:rFonts w:hint="eastAsia" w:ascii="宋体" w:hAnsi="宋体" w:eastAsia="宋体" w:cs="宋体"/>
                <w:sz w:val="18"/>
                <w:szCs w:val="18"/>
              </w:rPr>
              <w:t>4.工作人员滥用职权、玩忽职守、徇私舞弊的；</w:t>
            </w:r>
            <w:r>
              <w:rPr>
                <w:rFonts w:hint="eastAsia" w:ascii="宋体" w:hAnsi="宋体" w:eastAsia="宋体" w:cs="宋体"/>
                <w:sz w:val="18"/>
                <w:szCs w:val="18"/>
              </w:rPr>
              <w:br w:type="textWrapping"/>
            </w:r>
            <w:r>
              <w:rPr>
                <w:rFonts w:hint="eastAsia" w:ascii="宋体" w:hAnsi="宋体" w:eastAsia="宋体" w:cs="宋体"/>
                <w:sz w:val="18"/>
                <w:szCs w:val="18"/>
              </w:rPr>
              <w:t>5.其他违反法律法规规章文件规定的行为。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2FEFBAFE">
            <w:pPr>
              <w:adjustRightInd/>
              <w:snapToGrid/>
              <w:spacing w:after="0" w:line="240" w:lineRule="exact"/>
              <w:rPr>
                <w:rFonts w:hint="eastAsia" w:cs="宋体" w:asciiTheme="minorEastAsia" w:hAnsiTheme="minorEastAsia" w:eastAsiaTheme="minorEastAsia"/>
                <w:sz w:val="18"/>
                <w:szCs w:val="18"/>
              </w:rPr>
            </w:pPr>
          </w:p>
        </w:tc>
      </w:tr>
      <w:tr w14:paraId="3943FBA9">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31DB662F">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27</w:t>
            </w:r>
          </w:p>
        </w:tc>
        <w:tc>
          <w:tcPr>
            <w:tcW w:w="1080" w:type="dxa"/>
            <w:tcBorders>
              <w:top w:val="single" w:color="auto" w:sz="4" w:space="0"/>
              <w:left w:val="nil"/>
              <w:bottom w:val="single" w:color="auto" w:sz="4" w:space="0"/>
              <w:right w:val="single" w:color="auto" w:sz="4" w:space="0"/>
            </w:tcBorders>
            <w:shd w:val="clear" w:color="auto" w:fill="auto"/>
            <w:vAlign w:val="center"/>
          </w:tcPr>
          <w:p w14:paraId="4BA81894">
            <w:pPr>
              <w:autoSpaceDN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仿宋"/>
                <w:color w:val="000000"/>
                <w:sz w:val="18"/>
                <w:szCs w:val="18"/>
              </w:rPr>
              <w:t>行政确认</w:t>
            </w:r>
          </w:p>
        </w:tc>
        <w:tc>
          <w:tcPr>
            <w:tcW w:w="2460" w:type="dxa"/>
            <w:tcBorders>
              <w:top w:val="single" w:color="auto" w:sz="4" w:space="0"/>
              <w:left w:val="nil"/>
              <w:bottom w:val="single" w:color="auto" w:sz="4" w:space="0"/>
              <w:right w:val="single" w:color="auto" w:sz="4" w:space="0"/>
            </w:tcBorders>
            <w:shd w:val="clear" w:color="auto" w:fill="auto"/>
            <w:vAlign w:val="center"/>
          </w:tcPr>
          <w:p w14:paraId="41D3D8C4">
            <w:pPr>
              <w:autoSpaceDN w:val="0"/>
              <w:jc w:val="center"/>
              <w:textAlignment w:val="center"/>
              <w:rPr>
                <w:rFonts w:hint="eastAsia" w:cs="宋体" w:asciiTheme="minorEastAsia" w:hAnsiTheme="minorEastAsia" w:eastAsiaTheme="minorEastAsia"/>
                <w:sz w:val="18"/>
                <w:szCs w:val="18"/>
              </w:rPr>
            </w:pPr>
            <w:r>
              <w:rPr>
                <w:rFonts w:hint="eastAsia" w:ascii="宋体" w:hAnsi="宋体" w:eastAsia="宋体" w:cs="仿宋"/>
                <w:color w:val="000000"/>
                <w:sz w:val="18"/>
                <w:szCs w:val="18"/>
              </w:rPr>
              <w:t>企业职工退休核查核准</w:t>
            </w:r>
          </w:p>
        </w:tc>
        <w:tc>
          <w:tcPr>
            <w:tcW w:w="1180" w:type="dxa"/>
            <w:tcBorders>
              <w:top w:val="single" w:color="auto" w:sz="4" w:space="0"/>
              <w:left w:val="nil"/>
              <w:bottom w:val="single" w:color="auto" w:sz="4" w:space="0"/>
              <w:right w:val="single" w:color="auto" w:sz="4" w:space="0"/>
            </w:tcBorders>
            <w:shd w:val="clear" w:color="auto" w:fill="auto"/>
            <w:vAlign w:val="center"/>
          </w:tcPr>
          <w:p w14:paraId="65B431B7">
            <w:pPr>
              <w:autoSpaceDN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仿宋"/>
                <w:color w:val="000000"/>
                <w:sz w:val="18"/>
                <w:szCs w:val="18"/>
              </w:rPr>
              <w:t>县人社局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6FBFF697">
            <w:pPr>
              <w:autoSpaceDN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仿宋"/>
                <w:color w:val="000000"/>
                <w:sz w:val="18"/>
                <w:szCs w:val="18"/>
              </w:rPr>
              <w:t>法律法规名称：曲阳县人民政府办公局关于印发《曲阳县企业职工基金养老金计发办法》的通知（办字〔2006〕77号）；依据文号：办字〔2006〕77号。法律法规名称：《国务院办公</w:t>
            </w:r>
            <w:r>
              <w:rPr>
                <w:rFonts w:hint="eastAsia" w:ascii="宋体" w:hAnsi="宋体" w:eastAsia="宋体" w:cs="仿宋"/>
                <w:color w:val="000000"/>
                <w:sz w:val="18"/>
                <w:szCs w:val="18"/>
                <w:lang w:eastAsia="zh-CN"/>
              </w:rPr>
              <w:t>厅</w:t>
            </w:r>
            <w:r>
              <w:rPr>
                <w:rFonts w:hint="eastAsia" w:ascii="宋体" w:hAnsi="宋体" w:eastAsia="宋体" w:cs="仿宋"/>
                <w:color w:val="000000"/>
                <w:sz w:val="18"/>
                <w:szCs w:val="18"/>
              </w:rPr>
              <w:t>关于进一步做好国有企业下岗职工基本生活保障和企业离退休人员养老金发放工作有关问题的同方知》；依据文号：国办发〔1999〕10号；条款号：第四条（二）</w:t>
            </w:r>
          </w:p>
        </w:tc>
        <w:tc>
          <w:tcPr>
            <w:tcW w:w="2260" w:type="dxa"/>
            <w:tcBorders>
              <w:top w:val="single" w:color="auto" w:sz="4" w:space="0"/>
              <w:left w:val="nil"/>
              <w:bottom w:val="single" w:color="auto" w:sz="4" w:space="0"/>
              <w:right w:val="single" w:color="auto" w:sz="4" w:space="0"/>
            </w:tcBorders>
            <w:shd w:val="clear" w:color="auto" w:fill="auto"/>
            <w:vAlign w:val="center"/>
          </w:tcPr>
          <w:p w14:paraId="28990D1E">
            <w:pPr>
              <w:autoSpaceDN w:val="0"/>
              <w:spacing w:line="300" w:lineRule="exact"/>
              <w:jc w:val="left"/>
              <w:textAlignment w:val="center"/>
              <w:rPr>
                <w:rFonts w:ascii="宋体" w:hAnsi="宋体" w:eastAsia="宋体" w:cs="宋体"/>
                <w:sz w:val="18"/>
                <w:szCs w:val="18"/>
              </w:rPr>
            </w:pPr>
            <w:r>
              <w:rPr>
                <w:rFonts w:hint="eastAsia" w:ascii="宋体" w:hAnsi="宋体" w:eastAsia="宋体" w:cs="宋体"/>
                <w:sz w:val="18"/>
                <w:szCs w:val="18"/>
              </w:rPr>
              <w:t>1.受理责任:一次性告知补正材料；依法受理或不予受理。</w:t>
            </w:r>
            <w:r>
              <w:rPr>
                <w:rFonts w:hint="eastAsia" w:ascii="宋体" w:hAnsi="宋体" w:eastAsia="宋体" w:cs="宋体"/>
                <w:sz w:val="18"/>
                <w:szCs w:val="18"/>
              </w:rPr>
              <w:br w:type="textWrapping"/>
            </w:r>
            <w:r>
              <w:rPr>
                <w:rFonts w:hint="eastAsia" w:ascii="宋体" w:hAnsi="宋体" w:eastAsia="宋体" w:cs="宋体"/>
                <w:sz w:val="18"/>
                <w:szCs w:val="18"/>
              </w:rPr>
              <w:t>2.审查责任:审核</w:t>
            </w:r>
            <w:r>
              <w:rPr>
                <w:rFonts w:hint="eastAsia" w:ascii="宋体" w:hAnsi="宋体" w:eastAsia="宋体" w:cs="宋体"/>
                <w:sz w:val="18"/>
                <w:szCs w:val="18"/>
                <w:lang w:eastAsia="zh-CN"/>
              </w:rPr>
              <w:t>通过</w:t>
            </w:r>
            <w:r>
              <w:rPr>
                <w:rFonts w:hint="eastAsia" w:ascii="宋体" w:hAnsi="宋体" w:eastAsia="宋体" w:cs="宋体"/>
                <w:sz w:val="18"/>
                <w:szCs w:val="18"/>
              </w:rPr>
              <w:t>的依法予以参保登记</w:t>
            </w:r>
          </w:p>
          <w:p w14:paraId="0A98938D">
            <w:pPr>
              <w:autoSpaceDN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宋体"/>
                <w:sz w:val="18"/>
                <w:szCs w:val="18"/>
              </w:rPr>
              <w:t>3.决定责任:符合条件的，做出予以确认的决定；不符合条件的，要求正确填报或补充材料。</w:t>
            </w:r>
            <w:r>
              <w:rPr>
                <w:rFonts w:hint="eastAsia" w:ascii="宋体" w:hAnsi="宋体" w:eastAsia="宋体" w:cs="宋体"/>
                <w:sz w:val="18"/>
                <w:szCs w:val="18"/>
              </w:rPr>
              <w:br w:type="textWrapping"/>
            </w:r>
            <w:r>
              <w:rPr>
                <w:rFonts w:hint="eastAsia" w:ascii="宋体" w:hAnsi="宋体" w:eastAsia="宋体" w:cs="宋体"/>
                <w:sz w:val="18"/>
                <w:szCs w:val="18"/>
              </w:rPr>
              <w:t>4.送达责任:根据办理方式现场或线上告知。</w:t>
            </w:r>
            <w:r>
              <w:rPr>
                <w:rFonts w:hint="eastAsia" w:ascii="宋体" w:hAnsi="宋体" w:eastAsia="宋体" w:cs="宋体"/>
                <w:sz w:val="18"/>
                <w:szCs w:val="18"/>
              </w:rPr>
              <w:br w:type="textWrapping"/>
            </w:r>
            <w:r>
              <w:rPr>
                <w:rFonts w:hint="eastAsia" w:ascii="宋体" w:hAnsi="宋体" w:eastAsia="宋体" w:cs="宋体"/>
                <w:sz w:val="18"/>
                <w:szCs w:val="18"/>
              </w:rPr>
              <w:t>5.事后监管责任:加强对机关事业单位退休待遇申报的指导，及时纠正违规行为。</w:t>
            </w:r>
            <w:r>
              <w:rPr>
                <w:rFonts w:hint="eastAsia" w:ascii="宋体" w:hAnsi="宋体" w:eastAsia="宋体" w:cs="宋体"/>
                <w:sz w:val="18"/>
                <w:szCs w:val="18"/>
              </w:rPr>
              <w:br w:type="textWrapping"/>
            </w:r>
            <w:r>
              <w:rPr>
                <w:rFonts w:hint="eastAsia" w:ascii="宋体" w:hAnsi="宋体" w:eastAsia="宋体" w:cs="宋体"/>
                <w:sz w:val="18"/>
                <w:szCs w:val="18"/>
              </w:rPr>
              <w:t>6.其他法律法规规章文件规定应履行的责任。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13806AD3">
            <w:pPr>
              <w:autoSpaceDN w:val="0"/>
              <w:jc w:val="center"/>
              <w:textAlignment w:val="center"/>
              <w:rPr>
                <w:rFonts w:hint="eastAsia" w:cs="宋体" w:asciiTheme="minorEastAsia" w:hAnsiTheme="minorEastAsia" w:eastAsiaTheme="minorEastAsia"/>
                <w:sz w:val="18"/>
                <w:szCs w:val="18"/>
              </w:rPr>
            </w:pPr>
            <w:r>
              <w:rPr>
                <w:rFonts w:hint="eastAsia" w:ascii="宋体" w:hAnsi="宋体" w:eastAsia="宋体" w:cs="宋体"/>
                <w:sz w:val="18"/>
                <w:szCs w:val="18"/>
              </w:rPr>
              <w:t>因不履行或不正确履行行政职责，有下列情形的，行政机关及相关工作人员应承担相应责任：</w:t>
            </w:r>
            <w:r>
              <w:rPr>
                <w:rFonts w:hint="eastAsia" w:ascii="宋体" w:hAnsi="宋体" w:eastAsia="宋体" w:cs="宋体"/>
                <w:sz w:val="18"/>
                <w:szCs w:val="18"/>
              </w:rPr>
              <w:br w:type="textWrapping"/>
            </w:r>
            <w:r>
              <w:rPr>
                <w:rFonts w:hint="eastAsia" w:ascii="宋体" w:hAnsi="宋体" w:eastAsia="宋体" w:cs="宋体"/>
                <w:sz w:val="18"/>
                <w:szCs w:val="18"/>
              </w:rPr>
              <w:t>1.对符合受理条件的行政认定申请不予受理的；</w:t>
            </w:r>
            <w:r>
              <w:rPr>
                <w:rFonts w:hint="eastAsia" w:ascii="宋体" w:hAnsi="宋体" w:eastAsia="宋体" w:cs="宋体"/>
                <w:sz w:val="18"/>
                <w:szCs w:val="18"/>
              </w:rPr>
              <w:br w:type="textWrapping"/>
            </w:r>
            <w:r>
              <w:rPr>
                <w:rFonts w:hint="eastAsia" w:ascii="宋体" w:hAnsi="宋体" w:eastAsia="宋体" w:cs="宋体"/>
                <w:sz w:val="18"/>
                <w:szCs w:val="18"/>
              </w:rPr>
              <w:t>2.未严格按照相关政策、法律、法规履行审查义务，对应当予以认定的不予认定，或者对不应认定的予以认定；</w:t>
            </w:r>
            <w:r>
              <w:rPr>
                <w:rFonts w:hint="eastAsia" w:ascii="宋体" w:hAnsi="宋体" w:eastAsia="宋体" w:cs="宋体"/>
                <w:sz w:val="18"/>
                <w:szCs w:val="18"/>
              </w:rPr>
              <w:br w:type="textWrapping"/>
            </w:r>
            <w:r>
              <w:rPr>
                <w:rFonts w:hint="eastAsia" w:ascii="宋体" w:hAnsi="宋体" w:eastAsia="宋体" w:cs="宋体"/>
                <w:sz w:val="18"/>
                <w:szCs w:val="18"/>
              </w:rPr>
              <w:t>3.泄露用人单位和个人信息的，给用人单位或者个人造成损失的；</w:t>
            </w:r>
            <w:r>
              <w:rPr>
                <w:rFonts w:hint="eastAsia" w:ascii="宋体" w:hAnsi="宋体" w:eastAsia="宋体" w:cs="宋体"/>
                <w:sz w:val="18"/>
                <w:szCs w:val="18"/>
              </w:rPr>
              <w:br w:type="textWrapping"/>
            </w:r>
            <w:r>
              <w:rPr>
                <w:rFonts w:hint="eastAsia" w:ascii="宋体" w:hAnsi="宋体" w:eastAsia="宋体" w:cs="宋体"/>
                <w:sz w:val="18"/>
                <w:szCs w:val="18"/>
              </w:rPr>
              <w:t>4.工作人员滥用职权、玩忽职守、徇私舞弊的；</w:t>
            </w:r>
            <w:r>
              <w:rPr>
                <w:rFonts w:hint="eastAsia" w:ascii="宋体" w:hAnsi="宋体" w:eastAsia="宋体" w:cs="宋体"/>
                <w:sz w:val="18"/>
                <w:szCs w:val="18"/>
              </w:rPr>
              <w:br w:type="textWrapping"/>
            </w:r>
            <w:r>
              <w:rPr>
                <w:rFonts w:hint="eastAsia" w:ascii="宋体" w:hAnsi="宋体" w:eastAsia="宋体" w:cs="宋体"/>
                <w:sz w:val="18"/>
                <w:szCs w:val="18"/>
              </w:rPr>
              <w:t>5.其他违反法律法规规章文件规定的行为。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56EC3781">
            <w:pPr>
              <w:adjustRightInd/>
              <w:snapToGrid/>
              <w:spacing w:after="0" w:line="240" w:lineRule="exact"/>
              <w:rPr>
                <w:rFonts w:hint="eastAsia" w:cs="宋体" w:asciiTheme="minorEastAsia" w:hAnsiTheme="minorEastAsia" w:eastAsiaTheme="minorEastAsia"/>
                <w:sz w:val="18"/>
                <w:szCs w:val="18"/>
              </w:rPr>
            </w:pPr>
          </w:p>
        </w:tc>
      </w:tr>
      <w:tr w14:paraId="4BBCBF35">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438DB4C7">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28</w:t>
            </w:r>
          </w:p>
        </w:tc>
        <w:tc>
          <w:tcPr>
            <w:tcW w:w="1080" w:type="dxa"/>
            <w:tcBorders>
              <w:top w:val="single" w:color="auto" w:sz="4" w:space="0"/>
              <w:left w:val="nil"/>
              <w:bottom w:val="single" w:color="auto" w:sz="4" w:space="0"/>
              <w:right w:val="single" w:color="auto" w:sz="4" w:space="0"/>
            </w:tcBorders>
            <w:shd w:val="clear" w:color="auto" w:fill="auto"/>
            <w:vAlign w:val="center"/>
          </w:tcPr>
          <w:p w14:paraId="5D874E12">
            <w:pPr>
              <w:autoSpaceDN w:val="0"/>
              <w:jc w:val="center"/>
              <w:textAlignment w:val="center"/>
              <w:rPr>
                <w:rFonts w:ascii="宋体" w:hAnsi="宋体" w:eastAsia="宋体" w:cs="仿宋"/>
                <w:color w:val="000000"/>
                <w:sz w:val="18"/>
                <w:szCs w:val="18"/>
              </w:rPr>
            </w:pPr>
          </w:p>
          <w:p w14:paraId="6E423466">
            <w:pPr>
              <w:autoSpaceDN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仿宋"/>
                <w:color w:val="000000"/>
                <w:sz w:val="18"/>
                <w:szCs w:val="18"/>
              </w:rPr>
              <w:t>行政确认</w:t>
            </w:r>
          </w:p>
        </w:tc>
        <w:tc>
          <w:tcPr>
            <w:tcW w:w="2460" w:type="dxa"/>
            <w:tcBorders>
              <w:top w:val="single" w:color="auto" w:sz="4" w:space="0"/>
              <w:left w:val="nil"/>
              <w:bottom w:val="single" w:color="auto" w:sz="4" w:space="0"/>
              <w:right w:val="single" w:color="auto" w:sz="4" w:space="0"/>
            </w:tcBorders>
            <w:shd w:val="clear" w:color="auto" w:fill="auto"/>
            <w:vAlign w:val="center"/>
          </w:tcPr>
          <w:p w14:paraId="3E81FC39">
            <w:pPr>
              <w:autoSpaceDN w:val="0"/>
              <w:jc w:val="center"/>
              <w:textAlignment w:val="center"/>
              <w:rPr>
                <w:rFonts w:ascii="宋体" w:hAnsi="宋体" w:eastAsia="宋体" w:cs="仿宋"/>
                <w:color w:val="000000"/>
                <w:sz w:val="18"/>
                <w:szCs w:val="18"/>
              </w:rPr>
            </w:pPr>
          </w:p>
          <w:p w14:paraId="513E1C1A">
            <w:pPr>
              <w:autoSpaceDN w:val="0"/>
              <w:jc w:val="center"/>
              <w:textAlignment w:val="center"/>
              <w:rPr>
                <w:rFonts w:hint="eastAsia" w:cs="宋体" w:asciiTheme="minorEastAsia" w:hAnsiTheme="minorEastAsia" w:eastAsiaTheme="minorEastAsia"/>
                <w:sz w:val="18"/>
                <w:szCs w:val="18"/>
              </w:rPr>
            </w:pPr>
            <w:r>
              <w:rPr>
                <w:rFonts w:hint="eastAsia" w:ascii="宋体" w:hAnsi="宋体" w:eastAsia="宋体" w:cs="仿宋"/>
                <w:color w:val="000000"/>
                <w:sz w:val="18"/>
                <w:szCs w:val="18"/>
              </w:rPr>
              <w:t>参保人员提前退休（退职）核准</w:t>
            </w:r>
          </w:p>
        </w:tc>
        <w:tc>
          <w:tcPr>
            <w:tcW w:w="1180" w:type="dxa"/>
            <w:tcBorders>
              <w:top w:val="single" w:color="auto" w:sz="4" w:space="0"/>
              <w:left w:val="nil"/>
              <w:bottom w:val="single" w:color="auto" w:sz="4" w:space="0"/>
              <w:right w:val="single" w:color="auto" w:sz="4" w:space="0"/>
            </w:tcBorders>
            <w:shd w:val="clear" w:color="auto" w:fill="auto"/>
            <w:vAlign w:val="center"/>
          </w:tcPr>
          <w:p w14:paraId="58A44E22">
            <w:pPr>
              <w:autoSpaceDN w:val="0"/>
              <w:jc w:val="center"/>
              <w:textAlignment w:val="center"/>
              <w:rPr>
                <w:rFonts w:ascii="宋体" w:hAnsi="宋体" w:eastAsia="宋体" w:cs="仿宋"/>
                <w:color w:val="000000"/>
                <w:sz w:val="18"/>
                <w:szCs w:val="18"/>
              </w:rPr>
            </w:pPr>
          </w:p>
          <w:p w14:paraId="7E7CD1EF">
            <w:pPr>
              <w:autoSpaceDN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仿宋"/>
                <w:color w:val="000000"/>
                <w:sz w:val="18"/>
                <w:szCs w:val="18"/>
              </w:rPr>
              <w:t>县人社局</w:t>
            </w:r>
          </w:p>
        </w:tc>
        <w:tc>
          <w:tcPr>
            <w:tcW w:w="3340" w:type="dxa"/>
            <w:tcBorders>
              <w:top w:val="single" w:color="auto" w:sz="4" w:space="0"/>
              <w:left w:val="nil"/>
              <w:bottom w:val="single" w:color="auto" w:sz="4" w:space="0"/>
              <w:right w:val="single" w:color="auto" w:sz="4" w:space="0"/>
            </w:tcBorders>
            <w:shd w:val="clear" w:color="auto" w:fill="auto"/>
            <w:vAlign w:val="top"/>
          </w:tcPr>
          <w:p w14:paraId="2712EA72">
            <w:pPr>
              <w:autoSpaceDN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仿宋"/>
                <w:color w:val="000000"/>
                <w:sz w:val="18"/>
                <w:szCs w:val="18"/>
              </w:rPr>
              <w:t>1、国务院《关于工人退休、退职的暂行办法》（国发〔1978〕104号）：“第十二条要严格掌握退休、退职条件和招工条件。”2、劳动部《关于改由各主管部门审批提前退休工种的通知》（劳人护（1985）6号）：“根据经济体制改革和简政放权的精神，为了简化程序，提高工作效率，决定将目前由劳动人事部统一审批的提前退休工种，改为分别由国务院各有关主管部门审批。六、各有关主管部门在审批提前退休工种工作中，遇有部门之间互相类似的工种需要进行协调、平衡时，应征求劳动人事部的意见后再行审批。”3、劳动保障部《关于加强提前退休工种审批工作的通知》（劳部发〔1993〕120号）：“三、各地劳动部门在办理提前退休工作时应严格把关，凡不符合提前退休工种审批条件和审批程序的，一律不予办理提前退休手续。”4、国务院办公厅《关于进一步做好国有企业下岗职工基本生活保障和企业离退休人员养老金发放工作有关问题的通知》（国办发〔1999〕10号）：“按照国家有关规定提前退休的，改由省级人民政府劳动保障部门审批。原行业统筹企业的职工退休，由省级人民政府劳动保障部门审批</w:t>
            </w:r>
          </w:p>
        </w:tc>
        <w:tc>
          <w:tcPr>
            <w:tcW w:w="2260" w:type="dxa"/>
            <w:tcBorders>
              <w:top w:val="single" w:color="auto" w:sz="4" w:space="0"/>
              <w:left w:val="nil"/>
              <w:bottom w:val="single" w:color="auto" w:sz="4" w:space="0"/>
              <w:right w:val="single" w:color="auto" w:sz="4" w:space="0"/>
            </w:tcBorders>
            <w:shd w:val="clear" w:color="auto" w:fill="auto"/>
            <w:vAlign w:val="center"/>
          </w:tcPr>
          <w:p w14:paraId="2BBB8A44">
            <w:pPr>
              <w:autoSpaceDN w:val="0"/>
              <w:spacing w:line="300" w:lineRule="exact"/>
              <w:jc w:val="left"/>
              <w:textAlignment w:val="center"/>
              <w:rPr>
                <w:rFonts w:ascii="宋体" w:hAnsi="宋体" w:eastAsia="宋体" w:cs="宋体"/>
                <w:sz w:val="18"/>
                <w:szCs w:val="18"/>
              </w:rPr>
            </w:pPr>
            <w:r>
              <w:rPr>
                <w:rFonts w:hint="eastAsia" w:ascii="宋体" w:hAnsi="宋体" w:eastAsia="宋体" w:cs="宋体"/>
                <w:sz w:val="18"/>
                <w:szCs w:val="18"/>
              </w:rPr>
              <w:t>1.受理责任:一次性告知补正材料；依法受理或不予受理。</w:t>
            </w:r>
            <w:r>
              <w:rPr>
                <w:rFonts w:hint="eastAsia" w:ascii="宋体" w:hAnsi="宋体" w:eastAsia="宋体" w:cs="宋体"/>
                <w:sz w:val="18"/>
                <w:szCs w:val="18"/>
              </w:rPr>
              <w:br w:type="textWrapping"/>
            </w:r>
            <w:r>
              <w:rPr>
                <w:rFonts w:hint="eastAsia" w:ascii="宋体" w:hAnsi="宋体" w:eastAsia="宋体" w:cs="宋体"/>
                <w:sz w:val="18"/>
                <w:szCs w:val="18"/>
              </w:rPr>
              <w:t>2.审查责任:审核</w:t>
            </w:r>
            <w:r>
              <w:rPr>
                <w:rFonts w:hint="eastAsia" w:ascii="宋体" w:hAnsi="宋体" w:eastAsia="宋体" w:cs="宋体"/>
                <w:sz w:val="18"/>
                <w:szCs w:val="18"/>
                <w:lang w:eastAsia="zh-CN"/>
              </w:rPr>
              <w:t>通过</w:t>
            </w:r>
            <w:r>
              <w:rPr>
                <w:rFonts w:hint="eastAsia" w:ascii="宋体" w:hAnsi="宋体" w:eastAsia="宋体" w:cs="宋体"/>
                <w:sz w:val="18"/>
                <w:szCs w:val="18"/>
              </w:rPr>
              <w:t>的依法予以参保登记</w:t>
            </w:r>
          </w:p>
          <w:p w14:paraId="46C1181A">
            <w:pPr>
              <w:autoSpaceDN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宋体"/>
                <w:sz w:val="18"/>
                <w:szCs w:val="18"/>
              </w:rPr>
              <w:t>3.决定责任:符合条件的，做出予以确认的决定；不符合条件的，要求正确填报或补充材料。</w:t>
            </w:r>
            <w:r>
              <w:rPr>
                <w:rFonts w:hint="eastAsia" w:ascii="宋体" w:hAnsi="宋体" w:eastAsia="宋体" w:cs="宋体"/>
                <w:sz w:val="18"/>
                <w:szCs w:val="18"/>
              </w:rPr>
              <w:br w:type="textWrapping"/>
            </w:r>
            <w:r>
              <w:rPr>
                <w:rFonts w:hint="eastAsia" w:ascii="宋体" w:hAnsi="宋体" w:eastAsia="宋体" w:cs="宋体"/>
                <w:sz w:val="18"/>
                <w:szCs w:val="18"/>
              </w:rPr>
              <w:t>4.送达责任:根据办理方式现场或线上告知。</w:t>
            </w:r>
            <w:r>
              <w:rPr>
                <w:rFonts w:hint="eastAsia" w:ascii="宋体" w:hAnsi="宋体" w:eastAsia="宋体" w:cs="宋体"/>
                <w:sz w:val="18"/>
                <w:szCs w:val="18"/>
              </w:rPr>
              <w:br w:type="textWrapping"/>
            </w:r>
            <w:r>
              <w:rPr>
                <w:rFonts w:hint="eastAsia" w:ascii="宋体" w:hAnsi="宋体" w:eastAsia="宋体" w:cs="宋体"/>
                <w:sz w:val="18"/>
                <w:szCs w:val="18"/>
              </w:rPr>
              <w:t>5.事后监管责任:加强对机关事业单位退休待遇申报的指导，及时纠正违规行为。</w:t>
            </w:r>
            <w:r>
              <w:rPr>
                <w:rFonts w:hint="eastAsia" w:ascii="宋体" w:hAnsi="宋体" w:eastAsia="宋体" w:cs="宋体"/>
                <w:sz w:val="18"/>
                <w:szCs w:val="18"/>
              </w:rPr>
              <w:br w:type="textWrapping"/>
            </w:r>
            <w:r>
              <w:rPr>
                <w:rFonts w:hint="eastAsia" w:ascii="宋体" w:hAnsi="宋体" w:eastAsia="宋体" w:cs="宋体"/>
                <w:sz w:val="18"/>
                <w:szCs w:val="18"/>
              </w:rPr>
              <w:t>6.其他法律法规规章文件规定应履行的责任。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43069749">
            <w:pPr>
              <w:autoSpaceDN w:val="0"/>
              <w:jc w:val="center"/>
              <w:textAlignment w:val="center"/>
              <w:rPr>
                <w:rFonts w:hint="eastAsia" w:cs="宋体" w:asciiTheme="minorEastAsia" w:hAnsiTheme="minorEastAsia" w:eastAsiaTheme="minorEastAsia"/>
                <w:sz w:val="18"/>
                <w:szCs w:val="18"/>
              </w:rPr>
            </w:pPr>
            <w:r>
              <w:rPr>
                <w:rFonts w:hint="eastAsia" w:ascii="宋体" w:hAnsi="宋体" w:eastAsia="宋体" w:cs="宋体"/>
                <w:sz w:val="18"/>
                <w:szCs w:val="18"/>
              </w:rPr>
              <w:t>因不履行或不正确履行行政职责，有下列情形的，行政机关及相关工作人员应承担相应责任：</w:t>
            </w:r>
            <w:r>
              <w:rPr>
                <w:rFonts w:hint="eastAsia" w:ascii="宋体" w:hAnsi="宋体" w:eastAsia="宋体" w:cs="宋体"/>
                <w:sz w:val="18"/>
                <w:szCs w:val="18"/>
              </w:rPr>
              <w:br w:type="textWrapping"/>
            </w:r>
            <w:r>
              <w:rPr>
                <w:rFonts w:hint="eastAsia" w:ascii="宋体" w:hAnsi="宋体" w:eastAsia="宋体" w:cs="宋体"/>
                <w:sz w:val="18"/>
                <w:szCs w:val="18"/>
              </w:rPr>
              <w:t>1.对符合受理条件的行政认定申请不予受理的；</w:t>
            </w:r>
            <w:r>
              <w:rPr>
                <w:rFonts w:hint="eastAsia" w:ascii="宋体" w:hAnsi="宋体" w:eastAsia="宋体" w:cs="宋体"/>
                <w:sz w:val="18"/>
                <w:szCs w:val="18"/>
              </w:rPr>
              <w:br w:type="textWrapping"/>
            </w:r>
            <w:r>
              <w:rPr>
                <w:rFonts w:hint="eastAsia" w:ascii="宋体" w:hAnsi="宋体" w:eastAsia="宋体" w:cs="宋体"/>
                <w:sz w:val="18"/>
                <w:szCs w:val="18"/>
              </w:rPr>
              <w:t>2.未严格按照相关政策、法律、法规履行审查义务，对应当予以认定的不予认定，或者对不应认定的予以认定；</w:t>
            </w:r>
            <w:r>
              <w:rPr>
                <w:rFonts w:hint="eastAsia" w:ascii="宋体" w:hAnsi="宋体" w:eastAsia="宋体" w:cs="宋体"/>
                <w:sz w:val="18"/>
                <w:szCs w:val="18"/>
              </w:rPr>
              <w:br w:type="textWrapping"/>
            </w:r>
            <w:r>
              <w:rPr>
                <w:rFonts w:hint="eastAsia" w:ascii="宋体" w:hAnsi="宋体" w:eastAsia="宋体" w:cs="宋体"/>
                <w:sz w:val="18"/>
                <w:szCs w:val="18"/>
              </w:rPr>
              <w:t>3.泄露用人单位和个人信息的，给用人单位或者个人造成损失的；</w:t>
            </w:r>
            <w:r>
              <w:rPr>
                <w:rFonts w:hint="eastAsia" w:ascii="宋体" w:hAnsi="宋体" w:eastAsia="宋体" w:cs="宋体"/>
                <w:sz w:val="18"/>
                <w:szCs w:val="18"/>
              </w:rPr>
              <w:br w:type="textWrapping"/>
            </w:r>
            <w:r>
              <w:rPr>
                <w:rFonts w:hint="eastAsia" w:ascii="宋体" w:hAnsi="宋体" w:eastAsia="宋体" w:cs="宋体"/>
                <w:sz w:val="18"/>
                <w:szCs w:val="18"/>
              </w:rPr>
              <w:t>4.工作人员滥用职权、玩忽职守、徇私舞弊的；</w:t>
            </w:r>
            <w:r>
              <w:rPr>
                <w:rFonts w:hint="eastAsia" w:ascii="宋体" w:hAnsi="宋体" w:eastAsia="宋体" w:cs="宋体"/>
                <w:sz w:val="18"/>
                <w:szCs w:val="18"/>
              </w:rPr>
              <w:br w:type="textWrapping"/>
            </w:r>
            <w:r>
              <w:rPr>
                <w:rFonts w:hint="eastAsia" w:ascii="宋体" w:hAnsi="宋体" w:eastAsia="宋体" w:cs="宋体"/>
                <w:sz w:val="18"/>
                <w:szCs w:val="18"/>
              </w:rPr>
              <w:t>5.其他违反法律法规规章文件规定的行为。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1249CD60">
            <w:pPr>
              <w:adjustRightInd/>
              <w:snapToGrid/>
              <w:spacing w:after="0" w:line="240" w:lineRule="exact"/>
              <w:rPr>
                <w:rFonts w:hint="eastAsia" w:cs="宋体" w:asciiTheme="minorEastAsia" w:hAnsiTheme="minorEastAsia" w:eastAsiaTheme="minorEastAsia"/>
                <w:sz w:val="18"/>
                <w:szCs w:val="18"/>
              </w:rPr>
            </w:pPr>
          </w:p>
        </w:tc>
      </w:tr>
      <w:tr w14:paraId="103DF2A7">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2541AC57">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29</w:t>
            </w:r>
          </w:p>
        </w:tc>
        <w:tc>
          <w:tcPr>
            <w:tcW w:w="1080" w:type="dxa"/>
            <w:tcBorders>
              <w:top w:val="single" w:color="auto" w:sz="4" w:space="0"/>
              <w:left w:val="nil"/>
              <w:bottom w:val="single" w:color="auto" w:sz="4" w:space="0"/>
              <w:right w:val="single" w:color="auto" w:sz="4" w:space="0"/>
            </w:tcBorders>
            <w:shd w:val="clear" w:color="auto" w:fill="auto"/>
            <w:vAlign w:val="center"/>
          </w:tcPr>
          <w:p w14:paraId="25157BA2">
            <w:pPr>
              <w:widowControl/>
              <w:jc w:val="center"/>
              <w:rPr>
                <w:rFonts w:ascii="宋体" w:hAnsi="宋体" w:eastAsia="宋体" w:cs="仿宋"/>
                <w:color w:val="000000"/>
                <w:sz w:val="18"/>
                <w:szCs w:val="18"/>
              </w:rPr>
            </w:pPr>
          </w:p>
          <w:p w14:paraId="43D5632D">
            <w:pPr>
              <w:widowControl/>
              <w:jc w:val="center"/>
              <w:rPr>
                <w:rFonts w:hint="eastAsia" w:cs="宋体" w:asciiTheme="minorEastAsia" w:hAnsiTheme="minorEastAsia" w:eastAsiaTheme="minorEastAsia"/>
                <w:sz w:val="18"/>
                <w:szCs w:val="18"/>
                <w:lang w:eastAsia="zh-CN"/>
              </w:rPr>
            </w:pPr>
            <w:r>
              <w:rPr>
                <w:rFonts w:hint="eastAsia" w:ascii="宋体" w:hAnsi="宋体" w:eastAsia="宋体" w:cs="仿宋"/>
                <w:color w:val="000000"/>
                <w:sz w:val="18"/>
                <w:szCs w:val="18"/>
              </w:rPr>
              <w:t>行政确认</w:t>
            </w:r>
          </w:p>
        </w:tc>
        <w:tc>
          <w:tcPr>
            <w:tcW w:w="2460" w:type="dxa"/>
            <w:tcBorders>
              <w:top w:val="single" w:color="auto" w:sz="4" w:space="0"/>
              <w:left w:val="nil"/>
              <w:bottom w:val="single" w:color="auto" w:sz="4" w:space="0"/>
              <w:right w:val="single" w:color="auto" w:sz="4" w:space="0"/>
            </w:tcBorders>
            <w:shd w:val="clear" w:color="auto" w:fill="auto"/>
            <w:vAlign w:val="center"/>
          </w:tcPr>
          <w:p w14:paraId="6026A4E5">
            <w:pPr>
              <w:widowControl/>
              <w:jc w:val="center"/>
              <w:rPr>
                <w:rFonts w:ascii="宋体" w:hAnsi="宋体" w:eastAsia="宋体" w:cs="仿宋"/>
                <w:color w:val="000000"/>
                <w:sz w:val="18"/>
                <w:szCs w:val="18"/>
              </w:rPr>
            </w:pPr>
          </w:p>
          <w:p w14:paraId="38D135B9">
            <w:pPr>
              <w:widowControl/>
              <w:jc w:val="center"/>
              <w:rPr>
                <w:rFonts w:hint="eastAsia" w:cs="宋体" w:asciiTheme="minorEastAsia" w:hAnsiTheme="minorEastAsia" w:eastAsiaTheme="minorEastAsia"/>
                <w:sz w:val="18"/>
                <w:szCs w:val="18"/>
              </w:rPr>
            </w:pPr>
            <w:r>
              <w:rPr>
                <w:rFonts w:hint="eastAsia" w:ascii="宋体" w:hAnsi="宋体" w:eastAsia="宋体" w:cs="仿宋"/>
                <w:color w:val="000000"/>
                <w:sz w:val="18"/>
                <w:szCs w:val="18"/>
              </w:rPr>
              <w:t>事业单位工作人员因病（非因工）丧失劳动能力提前退休（退职）</w:t>
            </w:r>
            <w:r>
              <w:rPr>
                <w:rFonts w:hint="eastAsia" w:ascii="宋体" w:hAnsi="宋体" w:eastAsia="宋体" w:cs="仿宋"/>
                <w:color w:val="000000"/>
                <w:sz w:val="18"/>
                <w:szCs w:val="18"/>
                <w:lang w:eastAsia="zh-CN"/>
              </w:rPr>
              <w:t>及待遇审核</w:t>
            </w:r>
          </w:p>
        </w:tc>
        <w:tc>
          <w:tcPr>
            <w:tcW w:w="1180" w:type="dxa"/>
            <w:tcBorders>
              <w:top w:val="single" w:color="auto" w:sz="4" w:space="0"/>
              <w:left w:val="nil"/>
              <w:bottom w:val="single" w:color="auto" w:sz="4" w:space="0"/>
              <w:right w:val="single" w:color="auto" w:sz="4" w:space="0"/>
            </w:tcBorders>
            <w:shd w:val="clear" w:color="auto" w:fill="auto"/>
            <w:vAlign w:val="center"/>
          </w:tcPr>
          <w:p w14:paraId="715D9D6E">
            <w:pPr>
              <w:widowControl/>
              <w:jc w:val="center"/>
              <w:rPr>
                <w:rFonts w:ascii="宋体" w:hAnsi="宋体" w:eastAsia="宋体" w:cs="仿宋"/>
                <w:color w:val="000000"/>
                <w:sz w:val="18"/>
                <w:szCs w:val="18"/>
              </w:rPr>
            </w:pPr>
          </w:p>
          <w:p w14:paraId="7E13ECD5">
            <w:pPr>
              <w:widowControl/>
              <w:jc w:val="center"/>
              <w:rPr>
                <w:rFonts w:hint="eastAsia" w:cs="宋体" w:asciiTheme="minorEastAsia" w:hAnsiTheme="minorEastAsia" w:eastAsiaTheme="minorEastAsia"/>
                <w:sz w:val="18"/>
                <w:szCs w:val="18"/>
                <w:lang w:eastAsia="zh-CN"/>
              </w:rPr>
            </w:pPr>
            <w:r>
              <w:rPr>
                <w:rFonts w:hint="eastAsia" w:ascii="宋体" w:hAnsi="宋体" w:eastAsia="宋体" w:cs="仿宋"/>
                <w:color w:val="000000"/>
                <w:sz w:val="18"/>
                <w:szCs w:val="18"/>
              </w:rPr>
              <w:t>县人社局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0CE187CA">
            <w:pPr>
              <w:widowControl/>
              <w:jc w:val="center"/>
              <w:rPr>
                <w:rFonts w:ascii="宋体" w:hAnsi="宋体" w:eastAsia="宋体"/>
                <w:color w:val="000000"/>
                <w:sz w:val="18"/>
                <w:szCs w:val="18"/>
              </w:rPr>
            </w:pPr>
          </w:p>
          <w:p w14:paraId="3220693E">
            <w:pPr>
              <w:widowControl/>
              <w:jc w:val="center"/>
              <w:rPr>
                <w:rFonts w:hint="eastAsia" w:cs="宋体" w:asciiTheme="minorEastAsia" w:hAnsiTheme="minorEastAsia" w:eastAsiaTheme="minorEastAsia"/>
                <w:sz w:val="18"/>
                <w:szCs w:val="18"/>
                <w:lang w:eastAsia="zh-CN"/>
              </w:rPr>
            </w:pPr>
            <w:r>
              <w:rPr>
                <w:rFonts w:hint="eastAsia" w:ascii="宋体" w:hAnsi="宋体" w:eastAsia="宋体"/>
                <w:color w:val="000000"/>
                <w:sz w:val="18"/>
                <w:szCs w:val="18"/>
              </w:rPr>
              <w:t>法律法规名称：国务院关于安置老弱病残干部的暂行办法》；依据文号国发〔1978〕104号；条款号：第四条（三）、第十五条</w:t>
            </w:r>
          </w:p>
        </w:tc>
        <w:tc>
          <w:tcPr>
            <w:tcW w:w="2260" w:type="dxa"/>
            <w:tcBorders>
              <w:top w:val="single" w:color="auto" w:sz="4" w:space="0"/>
              <w:left w:val="nil"/>
              <w:bottom w:val="single" w:color="auto" w:sz="4" w:space="0"/>
              <w:right w:val="single" w:color="auto" w:sz="4" w:space="0"/>
            </w:tcBorders>
            <w:shd w:val="clear" w:color="auto" w:fill="auto"/>
            <w:vAlign w:val="center"/>
          </w:tcPr>
          <w:p w14:paraId="357257F9">
            <w:pPr>
              <w:autoSpaceDN w:val="0"/>
              <w:spacing w:line="300" w:lineRule="exact"/>
              <w:jc w:val="left"/>
              <w:textAlignment w:val="center"/>
              <w:rPr>
                <w:rFonts w:ascii="宋体" w:hAnsi="宋体" w:eastAsia="宋体" w:cs="宋体"/>
                <w:sz w:val="18"/>
                <w:szCs w:val="18"/>
              </w:rPr>
            </w:pPr>
            <w:r>
              <w:rPr>
                <w:rFonts w:hint="eastAsia" w:ascii="宋体" w:hAnsi="宋体" w:eastAsia="宋体" w:cs="宋体"/>
                <w:sz w:val="18"/>
                <w:szCs w:val="18"/>
              </w:rPr>
              <w:t>1.受理责任:一次性告知补正材料；依法受理或不予受理。</w:t>
            </w:r>
            <w:r>
              <w:rPr>
                <w:rFonts w:hint="eastAsia" w:ascii="宋体" w:hAnsi="宋体" w:eastAsia="宋体" w:cs="宋体"/>
                <w:sz w:val="18"/>
                <w:szCs w:val="18"/>
              </w:rPr>
              <w:br w:type="textWrapping"/>
            </w:r>
            <w:r>
              <w:rPr>
                <w:rFonts w:hint="eastAsia" w:ascii="宋体" w:hAnsi="宋体" w:eastAsia="宋体" w:cs="宋体"/>
                <w:sz w:val="18"/>
                <w:szCs w:val="18"/>
              </w:rPr>
              <w:t>2.审查责任:审核</w:t>
            </w:r>
            <w:r>
              <w:rPr>
                <w:rFonts w:hint="eastAsia" w:ascii="宋体" w:hAnsi="宋体" w:eastAsia="宋体" w:cs="宋体"/>
                <w:sz w:val="18"/>
                <w:szCs w:val="18"/>
                <w:lang w:eastAsia="zh-CN"/>
              </w:rPr>
              <w:t>通过</w:t>
            </w:r>
            <w:r>
              <w:rPr>
                <w:rFonts w:hint="eastAsia" w:ascii="宋体" w:hAnsi="宋体" w:eastAsia="宋体" w:cs="宋体"/>
                <w:sz w:val="18"/>
                <w:szCs w:val="18"/>
              </w:rPr>
              <w:t>的依法予以参保登记</w:t>
            </w:r>
          </w:p>
          <w:p w14:paraId="4855D6D4">
            <w:pPr>
              <w:widowControl/>
              <w:jc w:val="center"/>
              <w:rPr>
                <w:rFonts w:ascii="楷体_GB2312" w:hAnsi="楷体_GB2312" w:eastAsia="楷体_GB2312"/>
                <w:color w:val="000000"/>
                <w:sz w:val="18"/>
                <w:szCs w:val="18"/>
              </w:rPr>
            </w:pPr>
            <w:r>
              <w:rPr>
                <w:rFonts w:hint="eastAsia" w:ascii="宋体" w:hAnsi="宋体" w:eastAsia="宋体" w:cs="宋体"/>
                <w:sz w:val="18"/>
                <w:szCs w:val="18"/>
              </w:rPr>
              <w:t>3.决定责任:符合条件的，做出予以确认的决定；不符合条件的，要求正确填报或补充材料。</w:t>
            </w:r>
            <w:r>
              <w:rPr>
                <w:rFonts w:hint="eastAsia" w:ascii="宋体" w:hAnsi="宋体" w:eastAsia="宋体" w:cs="宋体"/>
                <w:sz w:val="18"/>
                <w:szCs w:val="18"/>
              </w:rPr>
              <w:br w:type="textWrapping"/>
            </w:r>
            <w:r>
              <w:rPr>
                <w:rFonts w:hint="eastAsia" w:ascii="宋体" w:hAnsi="宋体" w:eastAsia="宋体" w:cs="宋体"/>
                <w:sz w:val="18"/>
                <w:szCs w:val="18"/>
              </w:rPr>
              <w:t>4.送达责任:根据办理方式现场或线上告知。</w:t>
            </w:r>
            <w:r>
              <w:rPr>
                <w:rFonts w:hint="eastAsia" w:ascii="宋体" w:hAnsi="宋体" w:eastAsia="宋体" w:cs="宋体"/>
                <w:sz w:val="18"/>
                <w:szCs w:val="18"/>
              </w:rPr>
              <w:br w:type="textWrapping"/>
            </w:r>
            <w:r>
              <w:rPr>
                <w:rFonts w:hint="eastAsia" w:ascii="宋体" w:hAnsi="宋体" w:eastAsia="宋体" w:cs="宋体"/>
                <w:sz w:val="18"/>
                <w:szCs w:val="18"/>
              </w:rPr>
              <w:t>5.事后监管责任:加强对机关事业单位退休待遇申报的指导，及时纠正违规行为。</w:t>
            </w:r>
            <w:r>
              <w:rPr>
                <w:rFonts w:hint="eastAsia" w:ascii="宋体" w:hAnsi="宋体" w:eastAsia="宋体" w:cs="宋体"/>
                <w:sz w:val="18"/>
                <w:szCs w:val="18"/>
              </w:rPr>
              <w:br w:type="textWrapping"/>
            </w:r>
            <w:r>
              <w:rPr>
                <w:rFonts w:hint="eastAsia" w:ascii="宋体" w:hAnsi="宋体" w:eastAsia="宋体" w:cs="宋体"/>
                <w:sz w:val="18"/>
                <w:szCs w:val="18"/>
              </w:rPr>
              <w:t>6.其他法律法规规章文件规定应履行的责任。</w:t>
            </w:r>
          </w:p>
          <w:p w14:paraId="10A213CC">
            <w:pPr>
              <w:widowControl/>
              <w:jc w:val="center"/>
              <w:rPr>
                <w:rFonts w:hint="eastAsia" w:cs="宋体" w:asciiTheme="minorEastAsia" w:hAnsiTheme="minorEastAsia" w:eastAsiaTheme="minorEastAsia"/>
                <w:sz w:val="18"/>
                <w:szCs w:val="18"/>
                <w:lang w:eastAsia="zh-CN"/>
              </w:rPr>
            </w:pPr>
          </w:p>
        </w:tc>
        <w:tc>
          <w:tcPr>
            <w:tcW w:w="2800" w:type="dxa"/>
            <w:tcBorders>
              <w:top w:val="single" w:color="auto" w:sz="4" w:space="0"/>
              <w:left w:val="nil"/>
              <w:bottom w:val="single" w:color="auto" w:sz="4" w:space="0"/>
              <w:right w:val="single" w:color="auto" w:sz="4" w:space="0"/>
            </w:tcBorders>
            <w:shd w:val="clear" w:color="auto" w:fill="auto"/>
            <w:vAlign w:val="center"/>
          </w:tcPr>
          <w:p w14:paraId="7C92E20C">
            <w:pPr>
              <w:spacing w:line="400" w:lineRule="exact"/>
              <w:jc w:val="center"/>
              <w:rPr>
                <w:rFonts w:hint="eastAsia" w:cs="宋体" w:asciiTheme="minorEastAsia" w:hAnsiTheme="minorEastAsia" w:eastAsiaTheme="minorEastAsia"/>
                <w:sz w:val="18"/>
                <w:szCs w:val="18"/>
              </w:rPr>
            </w:pPr>
            <w:r>
              <w:rPr>
                <w:rFonts w:hint="eastAsia" w:ascii="宋体" w:hAnsi="宋体" w:eastAsia="宋体" w:cs="宋体"/>
                <w:sz w:val="18"/>
                <w:szCs w:val="18"/>
              </w:rPr>
              <w:t>因不履行或不正确履行行政职责，有下列情形的，行政机关及相关工作人员应承担相应责任：</w:t>
            </w:r>
            <w:r>
              <w:rPr>
                <w:rFonts w:hint="eastAsia" w:ascii="宋体" w:hAnsi="宋体" w:eastAsia="宋体" w:cs="宋体"/>
                <w:sz w:val="18"/>
                <w:szCs w:val="18"/>
              </w:rPr>
              <w:br w:type="textWrapping"/>
            </w:r>
            <w:r>
              <w:rPr>
                <w:rFonts w:hint="eastAsia" w:ascii="宋体" w:hAnsi="宋体" w:eastAsia="宋体" w:cs="宋体"/>
                <w:sz w:val="18"/>
                <w:szCs w:val="18"/>
              </w:rPr>
              <w:t>1.对符合受理条件的行政认定申请不予受理的；</w:t>
            </w:r>
            <w:r>
              <w:rPr>
                <w:rFonts w:hint="eastAsia" w:ascii="宋体" w:hAnsi="宋体" w:eastAsia="宋体" w:cs="宋体"/>
                <w:sz w:val="18"/>
                <w:szCs w:val="18"/>
              </w:rPr>
              <w:br w:type="textWrapping"/>
            </w:r>
            <w:r>
              <w:rPr>
                <w:rFonts w:hint="eastAsia" w:ascii="宋体" w:hAnsi="宋体" w:eastAsia="宋体" w:cs="宋体"/>
                <w:sz w:val="18"/>
                <w:szCs w:val="18"/>
              </w:rPr>
              <w:t>2.未严格按照相关政策、法律、法规履行审查义务，对应当予以认定的不予认定，或者对不应认定的予以认定；</w:t>
            </w:r>
            <w:r>
              <w:rPr>
                <w:rFonts w:hint="eastAsia" w:ascii="宋体" w:hAnsi="宋体" w:eastAsia="宋体" w:cs="宋体"/>
                <w:sz w:val="18"/>
                <w:szCs w:val="18"/>
              </w:rPr>
              <w:br w:type="textWrapping"/>
            </w:r>
            <w:r>
              <w:rPr>
                <w:rFonts w:hint="eastAsia" w:ascii="宋体" w:hAnsi="宋体" w:eastAsia="宋体" w:cs="宋体"/>
                <w:sz w:val="18"/>
                <w:szCs w:val="18"/>
              </w:rPr>
              <w:t>3.泄露用人单位和个人信息的，给用人单位或者个人造成损失的；</w:t>
            </w:r>
            <w:r>
              <w:rPr>
                <w:rFonts w:hint="eastAsia" w:ascii="宋体" w:hAnsi="宋体" w:eastAsia="宋体" w:cs="宋体"/>
                <w:sz w:val="18"/>
                <w:szCs w:val="18"/>
              </w:rPr>
              <w:br w:type="textWrapping"/>
            </w:r>
            <w:r>
              <w:rPr>
                <w:rFonts w:hint="eastAsia" w:ascii="宋体" w:hAnsi="宋体" w:eastAsia="宋体" w:cs="宋体"/>
                <w:sz w:val="18"/>
                <w:szCs w:val="18"/>
              </w:rPr>
              <w:t>4.工作人员滥用职权、玩忽职守、徇私舞弊的；</w:t>
            </w:r>
            <w:r>
              <w:rPr>
                <w:rFonts w:hint="eastAsia" w:ascii="宋体" w:hAnsi="宋体" w:eastAsia="宋体" w:cs="宋体"/>
                <w:sz w:val="18"/>
                <w:szCs w:val="18"/>
              </w:rPr>
              <w:br w:type="textWrapping"/>
            </w:r>
            <w:r>
              <w:rPr>
                <w:rFonts w:hint="eastAsia" w:ascii="宋体" w:hAnsi="宋体" w:eastAsia="宋体" w:cs="宋体"/>
                <w:sz w:val="18"/>
                <w:szCs w:val="18"/>
              </w:rPr>
              <w:t>5.其他违反法律法规规章文件规定的行为。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0063B4C5">
            <w:pPr>
              <w:adjustRightInd/>
              <w:snapToGrid/>
              <w:spacing w:after="0" w:line="240" w:lineRule="exact"/>
              <w:rPr>
                <w:rFonts w:hint="eastAsia" w:cs="宋体" w:asciiTheme="minorEastAsia" w:hAnsiTheme="minorEastAsia" w:eastAsiaTheme="minorEastAsia"/>
                <w:sz w:val="18"/>
                <w:szCs w:val="18"/>
              </w:rPr>
            </w:pPr>
          </w:p>
        </w:tc>
      </w:tr>
      <w:tr w14:paraId="4252A2B3">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297EECCF">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30</w:t>
            </w:r>
          </w:p>
        </w:tc>
        <w:tc>
          <w:tcPr>
            <w:tcW w:w="1080" w:type="dxa"/>
            <w:tcBorders>
              <w:top w:val="single" w:color="auto" w:sz="4" w:space="0"/>
              <w:left w:val="nil"/>
              <w:bottom w:val="single" w:color="auto" w:sz="4" w:space="0"/>
              <w:right w:val="single" w:color="auto" w:sz="4" w:space="0"/>
            </w:tcBorders>
            <w:shd w:val="clear" w:color="auto" w:fill="auto"/>
            <w:vAlign w:val="center"/>
          </w:tcPr>
          <w:p w14:paraId="6738A0AB">
            <w:pPr>
              <w:autoSpaceDN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仿宋"/>
                <w:color w:val="000000"/>
                <w:sz w:val="18"/>
                <w:szCs w:val="18"/>
              </w:rPr>
              <w:t>行政确认</w:t>
            </w:r>
          </w:p>
        </w:tc>
        <w:tc>
          <w:tcPr>
            <w:tcW w:w="2460" w:type="dxa"/>
            <w:tcBorders>
              <w:top w:val="single" w:color="auto" w:sz="4" w:space="0"/>
              <w:left w:val="nil"/>
              <w:bottom w:val="single" w:color="auto" w:sz="4" w:space="0"/>
              <w:right w:val="single" w:color="auto" w:sz="4" w:space="0"/>
            </w:tcBorders>
            <w:shd w:val="clear" w:color="auto" w:fill="auto"/>
            <w:vAlign w:val="center"/>
          </w:tcPr>
          <w:p w14:paraId="57556D3D">
            <w:pPr>
              <w:autoSpaceDN w:val="0"/>
              <w:jc w:val="center"/>
              <w:textAlignment w:val="center"/>
              <w:rPr>
                <w:rFonts w:hint="eastAsia" w:cs="宋体" w:asciiTheme="minorEastAsia" w:hAnsiTheme="minorEastAsia" w:eastAsiaTheme="minorEastAsia"/>
                <w:sz w:val="18"/>
                <w:szCs w:val="18"/>
              </w:rPr>
            </w:pPr>
            <w:r>
              <w:rPr>
                <w:rFonts w:hint="eastAsia" w:ascii="宋体" w:hAnsi="宋体" w:eastAsia="宋体" w:cs="仿宋"/>
                <w:bCs/>
                <w:sz w:val="18"/>
                <w:szCs w:val="18"/>
              </w:rPr>
              <w:t>机关事业单位参保人员视同缴费年限认定</w:t>
            </w:r>
          </w:p>
        </w:tc>
        <w:tc>
          <w:tcPr>
            <w:tcW w:w="1180" w:type="dxa"/>
            <w:tcBorders>
              <w:top w:val="single" w:color="auto" w:sz="4" w:space="0"/>
              <w:left w:val="nil"/>
              <w:bottom w:val="single" w:color="auto" w:sz="4" w:space="0"/>
              <w:right w:val="single" w:color="auto" w:sz="4" w:space="0"/>
            </w:tcBorders>
            <w:shd w:val="clear" w:color="auto" w:fill="auto"/>
            <w:vAlign w:val="center"/>
          </w:tcPr>
          <w:p w14:paraId="28DB7A23">
            <w:pPr>
              <w:autoSpaceDN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仿宋"/>
                <w:color w:val="000000"/>
                <w:sz w:val="18"/>
                <w:szCs w:val="18"/>
              </w:rPr>
              <w:t>县人社局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7E4CB97C">
            <w:pPr>
              <w:rPr>
                <w:rFonts w:ascii="宋体" w:hAnsi="宋体" w:eastAsia="宋体"/>
                <w:sz w:val="18"/>
                <w:szCs w:val="18"/>
              </w:rPr>
            </w:pPr>
            <w:r>
              <w:rPr>
                <w:rFonts w:hint="eastAsia" w:ascii="宋体" w:hAnsi="宋体" w:eastAsia="宋体"/>
                <w:sz w:val="18"/>
                <w:szCs w:val="18"/>
              </w:rPr>
              <w:t>法律法规名称：冀人社发</w:t>
            </w:r>
            <w:r>
              <w:rPr>
                <w:rFonts w:ascii="宋体" w:hAnsi="宋体" w:eastAsia="宋体"/>
                <w:sz w:val="18"/>
                <w:szCs w:val="18"/>
              </w:rPr>
              <w:t>[2018]67</w:t>
            </w:r>
            <w:r>
              <w:rPr>
                <w:rFonts w:hint="eastAsia" w:ascii="宋体" w:hAnsi="宋体" w:eastAsia="宋体"/>
                <w:sz w:val="18"/>
                <w:szCs w:val="18"/>
              </w:rPr>
              <w:t>号</w:t>
            </w:r>
          </w:p>
          <w:p w14:paraId="2DABC54D">
            <w:pPr>
              <w:rPr>
                <w:rFonts w:ascii="宋体" w:hAnsi="宋体" w:eastAsia="宋体"/>
                <w:sz w:val="18"/>
                <w:szCs w:val="18"/>
              </w:rPr>
            </w:pPr>
            <w:r>
              <w:rPr>
                <w:rFonts w:hint="eastAsia" w:ascii="宋体" w:hAnsi="宋体" w:eastAsia="宋体"/>
                <w:sz w:val="18"/>
                <w:szCs w:val="18"/>
              </w:rPr>
              <w:t>依据文号：冀人社发</w:t>
            </w:r>
            <w:r>
              <w:rPr>
                <w:rFonts w:ascii="宋体" w:hAnsi="宋体" w:eastAsia="宋体"/>
                <w:sz w:val="18"/>
                <w:szCs w:val="18"/>
              </w:rPr>
              <w:t>[2018]67</w:t>
            </w:r>
            <w:r>
              <w:rPr>
                <w:rFonts w:hint="eastAsia" w:ascii="宋体" w:hAnsi="宋体" w:eastAsia="宋体"/>
                <w:sz w:val="18"/>
                <w:szCs w:val="18"/>
              </w:rPr>
              <w:t>号</w:t>
            </w:r>
          </w:p>
          <w:p w14:paraId="373FD5B7">
            <w:pPr>
              <w:jc w:val="center"/>
              <w:rPr>
                <w:rFonts w:hint="eastAsia" w:cs="宋体" w:asciiTheme="minorEastAsia" w:hAnsiTheme="minorEastAsia" w:eastAsiaTheme="minorEastAsia"/>
                <w:sz w:val="18"/>
                <w:szCs w:val="18"/>
                <w:lang w:eastAsia="zh-CN"/>
              </w:rPr>
            </w:pPr>
            <w:r>
              <w:rPr>
                <w:rFonts w:hint="eastAsia" w:ascii="宋体" w:hAnsi="宋体" w:eastAsia="宋体"/>
                <w:sz w:val="18"/>
                <w:szCs w:val="18"/>
              </w:rPr>
              <w:t>　　　　　　　　　　　　　　</w:t>
            </w:r>
            <w:r>
              <w:rPr>
                <w:rFonts w:hint="eastAsia" w:ascii="宋体" w:hAnsi="宋体" w:eastAsia="宋体" w:cs="宋体"/>
                <w:color w:val="000000"/>
                <w:sz w:val="18"/>
                <w:szCs w:val="18"/>
              </w:rPr>
              <w:t>　</w:t>
            </w:r>
          </w:p>
        </w:tc>
        <w:tc>
          <w:tcPr>
            <w:tcW w:w="2260" w:type="dxa"/>
            <w:tcBorders>
              <w:top w:val="single" w:color="auto" w:sz="4" w:space="0"/>
              <w:left w:val="nil"/>
              <w:bottom w:val="single" w:color="auto" w:sz="4" w:space="0"/>
              <w:right w:val="single" w:color="auto" w:sz="4" w:space="0"/>
            </w:tcBorders>
            <w:shd w:val="clear" w:color="auto" w:fill="auto"/>
            <w:vAlign w:val="center"/>
          </w:tcPr>
          <w:p w14:paraId="0DCD5EBB">
            <w:pPr>
              <w:autoSpaceDN w:val="0"/>
              <w:spacing w:line="300" w:lineRule="exact"/>
              <w:jc w:val="left"/>
              <w:textAlignment w:val="center"/>
              <w:rPr>
                <w:rFonts w:ascii="宋体" w:hAnsi="宋体" w:eastAsia="宋体" w:cs="宋体"/>
                <w:sz w:val="18"/>
                <w:szCs w:val="18"/>
              </w:rPr>
            </w:pPr>
            <w:r>
              <w:rPr>
                <w:rFonts w:hint="eastAsia" w:ascii="宋体" w:hAnsi="宋体" w:eastAsia="宋体" w:cs="宋体"/>
                <w:sz w:val="18"/>
                <w:szCs w:val="18"/>
              </w:rPr>
              <w:t>1.受理责任:一次性告知补正材料；依法受理或不予受理。</w:t>
            </w:r>
            <w:r>
              <w:rPr>
                <w:rFonts w:hint="eastAsia" w:ascii="宋体" w:hAnsi="宋体" w:eastAsia="宋体" w:cs="宋体"/>
                <w:sz w:val="18"/>
                <w:szCs w:val="18"/>
              </w:rPr>
              <w:br w:type="textWrapping"/>
            </w:r>
            <w:r>
              <w:rPr>
                <w:rFonts w:hint="eastAsia" w:ascii="宋体" w:hAnsi="宋体" w:eastAsia="宋体" w:cs="宋体"/>
                <w:sz w:val="18"/>
                <w:szCs w:val="18"/>
              </w:rPr>
              <w:t>2.审查责任:审核</w:t>
            </w:r>
            <w:r>
              <w:rPr>
                <w:rFonts w:hint="eastAsia" w:ascii="宋体" w:hAnsi="宋体" w:eastAsia="宋体" w:cs="宋体"/>
                <w:sz w:val="18"/>
                <w:szCs w:val="18"/>
                <w:lang w:eastAsia="zh-CN"/>
              </w:rPr>
              <w:t>通过</w:t>
            </w:r>
            <w:r>
              <w:rPr>
                <w:rFonts w:hint="eastAsia" w:ascii="宋体" w:hAnsi="宋体" w:eastAsia="宋体" w:cs="宋体"/>
                <w:sz w:val="18"/>
                <w:szCs w:val="18"/>
              </w:rPr>
              <w:t>的依法予以参保登记</w:t>
            </w:r>
          </w:p>
          <w:p w14:paraId="4B84A98B">
            <w:pPr>
              <w:autoSpaceDN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宋体"/>
                <w:sz w:val="18"/>
                <w:szCs w:val="18"/>
              </w:rPr>
              <w:t>3.决定责任:符合条件的，做出予以确认的决定；不符合条件的，要求正确填报或补充材料。</w:t>
            </w:r>
            <w:r>
              <w:rPr>
                <w:rFonts w:hint="eastAsia" w:ascii="宋体" w:hAnsi="宋体" w:eastAsia="宋体" w:cs="宋体"/>
                <w:sz w:val="18"/>
                <w:szCs w:val="18"/>
              </w:rPr>
              <w:br w:type="textWrapping"/>
            </w:r>
            <w:r>
              <w:rPr>
                <w:rFonts w:hint="eastAsia" w:ascii="宋体" w:hAnsi="宋体" w:eastAsia="宋体" w:cs="宋体"/>
                <w:sz w:val="18"/>
                <w:szCs w:val="18"/>
              </w:rPr>
              <w:t>4.送达责任:根据办理方式现场或线上告知。</w:t>
            </w:r>
            <w:r>
              <w:rPr>
                <w:rFonts w:hint="eastAsia" w:ascii="宋体" w:hAnsi="宋体" w:eastAsia="宋体" w:cs="宋体"/>
                <w:sz w:val="18"/>
                <w:szCs w:val="18"/>
              </w:rPr>
              <w:br w:type="textWrapping"/>
            </w:r>
            <w:r>
              <w:rPr>
                <w:rFonts w:hint="eastAsia" w:ascii="宋体" w:hAnsi="宋体" w:eastAsia="宋体" w:cs="宋体"/>
                <w:sz w:val="18"/>
                <w:szCs w:val="18"/>
              </w:rPr>
              <w:t>5.事后监管责任:加强对机关事业单位退休待遇申报的指导，及时纠正违规行为。</w:t>
            </w:r>
            <w:r>
              <w:rPr>
                <w:rFonts w:hint="eastAsia" w:ascii="宋体" w:hAnsi="宋体" w:eastAsia="宋体" w:cs="宋体"/>
                <w:sz w:val="18"/>
                <w:szCs w:val="18"/>
              </w:rPr>
              <w:br w:type="textWrapping"/>
            </w:r>
            <w:r>
              <w:rPr>
                <w:rFonts w:hint="eastAsia" w:ascii="宋体" w:hAnsi="宋体" w:eastAsia="宋体" w:cs="宋体"/>
                <w:sz w:val="18"/>
                <w:szCs w:val="18"/>
              </w:rPr>
              <w:t>6.其他法律法规规章文件规定应履行的责任。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7C356CD2">
            <w:pPr>
              <w:rPr>
                <w:rFonts w:hint="eastAsia" w:cs="宋体" w:asciiTheme="minorEastAsia" w:hAnsiTheme="minorEastAsia" w:eastAsiaTheme="minorEastAsia"/>
                <w:sz w:val="18"/>
                <w:szCs w:val="18"/>
              </w:rPr>
            </w:pPr>
            <w:r>
              <w:rPr>
                <w:rFonts w:hint="eastAsia" w:ascii="宋体" w:hAnsi="宋体" w:eastAsia="宋体" w:cs="宋体"/>
                <w:sz w:val="18"/>
                <w:szCs w:val="18"/>
              </w:rPr>
              <w:t>因不履行或不正确履行行政职责，有下列情形的，行政机关及相关工作人员应承担相应责任：</w:t>
            </w:r>
            <w:r>
              <w:rPr>
                <w:rFonts w:hint="eastAsia" w:ascii="宋体" w:hAnsi="宋体" w:eastAsia="宋体" w:cs="宋体"/>
                <w:sz w:val="18"/>
                <w:szCs w:val="18"/>
              </w:rPr>
              <w:br w:type="textWrapping"/>
            </w:r>
            <w:r>
              <w:rPr>
                <w:rFonts w:hint="eastAsia" w:ascii="宋体" w:hAnsi="宋体" w:eastAsia="宋体" w:cs="宋体"/>
                <w:sz w:val="18"/>
                <w:szCs w:val="18"/>
              </w:rPr>
              <w:t>1.对符合受理条件的行政认定申请不予受理的；</w:t>
            </w:r>
            <w:r>
              <w:rPr>
                <w:rFonts w:hint="eastAsia" w:ascii="宋体" w:hAnsi="宋体" w:eastAsia="宋体" w:cs="宋体"/>
                <w:sz w:val="18"/>
                <w:szCs w:val="18"/>
              </w:rPr>
              <w:br w:type="textWrapping"/>
            </w:r>
            <w:r>
              <w:rPr>
                <w:rFonts w:hint="eastAsia" w:ascii="宋体" w:hAnsi="宋体" w:eastAsia="宋体" w:cs="宋体"/>
                <w:sz w:val="18"/>
                <w:szCs w:val="18"/>
              </w:rPr>
              <w:t>2.未严格按照相关政策、法律、法规履行审查义务，对应当予以认定的不予认定，或者对不应认定的予以认定；</w:t>
            </w:r>
            <w:r>
              <w:rPr>
                <w:rFonts w:hint="eastAsia" w:ascii="宋体" w:hAnsi="宋体" w:eastAsia="宋体" w:cs="宋体"/>
                <w:sz w:val="18"/>
                <w:szCs w:val="18"/>
              </w:rPr>
              <w:br w:type="textWrapping"/>
            </w:r>
            <w:r>
              <w:rPr>
                <w:rFonts w:hint="eastAsia" w:ascii="宋体" w:hAnsi="宋体" w:eastAsia="宋体" w:cs="宋体"/>
                <w:sz w:val="18"/>
                <w:szCs w:val="18"/>
              </w:rPr>
              <w:t>3.泄露用人单位和个人信息的，给用人单位或者个人造成损失的；</w:t>
            </w:r>
            <w:r>
              <w:rPr>
                <w:rFonts w:hint="eastAsia" w:ascii="宋体" w:hAnsi="宋体" w:eastAsia="宋体" w:cs="宋体"/>
                <w:sz w:val="18"/>
                <w:szCs w:val="18"/>
              </w:rPr>
              <w:br w:type="textWrapping"/>
            </w:r>
            <w:r>
              <w:rPr>
                <w:rFonts w:hint="eastAsia" w:ascii="宋体" w:hAnsi="宋体" w:eastAsia="宋体" w:cs="宋体"/>
                <w:sz w:val="18"/>
                <w:szCs w:val="18"/>
              </w:rPr>
              <w:t>4.工作人员滥用职权、玩忽职守、徇私舞弊的；</w:t>
            </w:r>
            <w:r>
              <w:rPr>
                <w:rFonts w:hint="eastAsia" w:ascii="宋体" w:hAnsi="宋体" w:eastAsia="宋体" w:cs="宋体"/>
                <w:sz w:val="18"/>
                <w:szCs w:val="18"/>
              </w:rPr>
              <w:br w:type="textWrapping"/>
            </w:r>
            <w:r>
              <w:rPr>
                <w:rFonts w:hint="eastAsia" w:ascii="宋体" w:hAnsi="宋体" w:eastAsia="宋体" w:cs="宋体"/>
                <w:sz w:val="18"/>
                <w:szCs w:val="18"/>
              </w:rPr>
              <w:t>5.其他违反法律法规规章文件规定的行为。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406E987D">
            <w:pPr>
              <w:adjustRightInd/>
              <w:snapToGrid/>
              <w:spacing w:after="0" w:line="240" w:lineRule="exact"/>
              <w:rPr>
                <w:rFonts w:hint="eastAsia" w:cs="宋体" w:asciiTheme="minorEastAsia" w:hAnsiTheme="minorEastAsia" w:eastAsiaTheme="minorEastAsia"/>
                <w:sz w:val="18"/>
                <w:szCs w:val="18"/>
              </w:rPr>
            </w:pPr>
          </w:p>
        </w:tc>
      </w:tr>
      <w:tr w14:paraId="4909D781">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2127F340">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31</w:t>
            </w:r>
          </w:p>
        </w:tc>
        <w:tc>
          <w:tcPr>
            <w:tcW w:w="1080" w:type="dxa"/>
            <w:tcBorders>
              <w:top w:val="single" w:color="auto" w:sz="4" w:space="0"/>
              <w:left w:val="nil"/>
              <w:bottom w:val="single" w:color="auto" w:sz="4" w:space="0"/>
              <w:right w:val="single" w:color="auto" w:sz="4" w:space="0"/>
            </w:tcBorders>
            <w:shd w:val="clear" w:color="auto" w:fill="auto"/>
            <w:vAlign w:val="center"/>
          </w:tcPr>
          <w:p w14:paraId="5DC718AD">
            <w:pPr>
              <w:autoSpaceDN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仿宋"/>
                <w:color w:val="000000"/>
                <w:sz w:val="18"/>
                <w:szCs w:val="18"/>
              </w:rPr>
              <w:t>行政确认</w:t>
            </w:r>
          </w:p>
        </w:tc>
        <w:tc>
          <w:tcPr>
            <w:tcW w:w="2460" w:type="dxa"/>
            <w:tcBorders>
              <w:top w:val="single" w:color="auto" w:sz="4" w:space="0"/>
              <w:left w:val="nil"/>
              <w:bottom w:val="single" w:color="auto" w:sz="4" w:space="0"/>
              <w:right w:val="single" w:color="auto" w:sz="4" w:space="0"/>
            </w:tcBorders>
            <w:shd w:val="clear" w:color="auto" w:fill="auto"/>
            <w:vAlign w:val="center"/>
          </w:tcPr>
          <w:p w14:paraId="23B1DF85">
            <w:pPr>
              <w:autoSpaceDN w:val="0"/>
              <w:jc w:val="center"/>
              <w:textAlignment w:val="center"/>
              <w:rPr>
                <w:rFonts w:hint="eastAsia" w:cs="宋体" w:asciiTheme="minorEastAsia" w:hAnsiTheme="minorEastAsia" w:eastAsiaTheme="minorEastAsia"/>
                <w:sz w:val="18"/>
                <w:szCs w:val="18"/>
              </w:rPr>
            </w:pPr>
            <w:r>
              <w:rPr>
                <w:rFonts w:hint="eastAsia" w:ascii="宋体" w:hAnsi="宋体" w:eastAsia="宋体" w:cs="仿宋"/>
                <w:bCs/>
                <w:sz w:val="18"/>
                <w:szCs w:val="18"/>
              </w:rPr>
              <w:t>职工基本养老保险</w:t>
            </w:r>
            <w:r>
              <w:rPr>
                <w:rFonts w:ascii="宋体" w:hAnsi="宋体" w:eastAsia="宋体" w:cs="仿宋"/>
                <w:bCs/>
                <w:sz w:val="18"/>
                <w:szCs w:val="18"/>
              </w:rPr>
              <w:t>—</w:t>
            </w:r>
            <w:r>
              <w:rPr>
                <w:rFonts w:hint="eastAsia" w:ascii="宋体" w:hAnsi="宋体" w:eastAsia="宋体" w:cs="仿宋"/>
                <w:bCs/>
                <w:sz w:val="18"/>
                <w:szCs w:val="18"/>
              </w:rPr>
              <w:t>参保人员正常退休核准</w:t>
            </w:r>
          </w:p>
        </w:tc>
        <w:tc>
          <w:tcPr>
            <w:tcW w:w="1180" w:type="dxa"/>
            <w:tcBorders>
              <w:top w:val="single" w:color="auto" w:sz="4" w:space="0"/>
              <w:left w:val="nil"/>
              <w:bottom w:val="single" w:color="auto" w:sz="4" w:space="0"/>
              <w:right w:val="single" w:color="auto" w:sz="4" w:space="0"/>
            </w:tcBorders>
            <w:shd w:val="clear" w:color="auto" w:fill="auto"/>
            <w:vAlign w:val="center"/>
          </w:tcPr>
          <w:p w14:paraId="7A3E9BE1">
            <w:pPr>
              <w:autoSpaceDN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仿宋"/>
                <w:color w:val="000000"/>
                <w:sz w:val="18"/>
                <w:szCs w:val="18"/>
              </w:rPr>
              <w:t>县人社局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61F2C56D">
            <w:pPr>
              <w:shd w:val="clear" w:color="auto" w:fill="FFFFFF"/>
              <w:rPr>
                <w:rFonts w:ascii="宋体" w:hAnsi="宋体" w:eastAsia="宋体" w:cs="Tahoma"/>
                <w:kern w:val="0"/>
                <w:sz w:val="18"/>
                <w:szCs w:val="18"/>
              </w:rPr>
            </w:pPr>
            <w:r>
              <w:rPr>
                <w:rFonts w:hint="eastAsia" w:ascii="宋体" w:hAnsi="宋体" w:eastAsia="宋体" w:cs="Tahoma"/>
                <w:kern w:val="0"/>
                <w:sz w:val="18"/>
                <w:szCs w:val="18"/>
              </w:rPr>
              <w:t>法律法规名称：</w:t>
            </w:r>
          </w:p>
          <w:p w14:paraId="79E6AD5C">
            <w:pPr>
              <w:widowControl/>
              <w:shd w:val="clear" w:color="auto" w:fill="FFFFFF"/>
              <w:jc w:val="left"/>
              <w:rPr>
                <w:rFonts w:ascii="宋体" w:hAnsi="宋体" w:eastAsia="宋体" w:cs="Tahoma"/>
                <w:kern w:val="0"/>
                <w:sz w:val="18"/>
                <w:szCs w:val="18"/>
              </w:rPr>
            </w:pPr>
            <w:r>
              <w:rPr>
                <w:rFonts w:hint="eastAsia" w:ascii="宋体" w:hAnsi="宋体" w:eastAsia="宋体" w:cs="Tahoma"/>
                <w:kern w:val="0"/>
                <w:sz w:val="18"/>
                <w:szCs w:val="18"/>
              </w:rPr>
              <w:t>国务院关于颁发《国务院关于安置老弱病残干部的暂行办法》和《国务院关于工人退休、退职的暂行办法》的通知依据文号：国发〔</w:t>
            </w:r>
            <w:r>
              <w:rPr>
                <w:rFonts w:ascii="宋体" w:hAnsi="宋体" w:eastAsia="宋体" w:cs="Tahoma"/>
                <w:kern w:val="0"/>
                <w:sz w:val="18"/>
                <w:szCs w:val="18"/>
              </w:rPr>
              <w:t>1978</w:t>
            </w:r>
            <w:r>
              <w:rPr>
                <w:rFonts w:hint="eastAsia" w:ascii="宋体" w:hAnsi="宋体" w:eastAsia="宋体" w:cs="Tahoma"/>
                <w:kern w:val="0"/>
                <w:sz w:val="18"/>
                <w:szCs w:val="18"/>
              </w:rPr>
              <w:t>〕</w:t>
            </w:r>
            <w:r>
              <w:rPr>
                <w:rFonts w:ascii="宋体" w:hAnsi="宋体" w:eastAsia="宋体" w:cs="Tahoma"/>
                <w:kern w:val="0"/>
                <w:sz w:val="18"/>
                <w:szCs w:val="18"/>
              </w:rPr>
              <w:t>104</w:t>
            </w:r>
            <w:r>
              <w:rPr>
                <w:rFonts w:hint="eastAsia" w:ascii="宋体" w:hAnsi="宋体" w:eastAsia="宋体" w:cs="Tahoma"/>
                <w:kern w:val="0"/>
                <w:sz w:val="18"/>
                <w:szCs w:val="18"/>
              </w:rPr>
              <w:t>号</w:t>
            </w:r>
          </w:p>
          <w:p w14:paraId="52BBC567">
            <w:pPr>
              <w:widowControl/>
              <w:shd w:val="clear" w:color="auto" w:fill="FFFFFF"/>
              <w:jc w:val="left"/>
              <w:rPr>
                <w:rFonts w:ascii="宋体" w:hAnsi="宋体" w:eastAsia="宋体" w:cs="Tahoma"/>
                <w:kern w:val="0"/>
                <w:sz w:val="18"/>
                <w:szCs w:val="18"/>
              </w:rPr>
            </w:pPr>
            <w:r>
              <w:rPr>
                <w:rFonts w:hint="eastAsia" w:ascii="宋体" w:hAnsi="宋体" w:eastAsia="宋体" w:cs="Tahoma"/>
                <w:kern w:val="0"/>
                <w:sz w:val="18"/>
                <w:szCs w:val="18"/>
              </w:rPr>
              <w:t>法律法规名称：</w:t>
            </w:r>
          </w:p>
          <w:p w14:paraId="4A9D5984">
            <w:pPr>
              <w:widowControl/>
              <w:shd w:val="clear" w:color="auto" w:fill="FFFFFF"/>
              <w:jc w:val="left"/>
              <w:rPr>
                <w:rFonts w:ascii="宋体" w:hAnsi="宋体" w:eastAsia="宋体" w:cs="Tahoma"/>
                <w:kern w:val="0"/>
                <w:sz w:val="18"/>
                <w:szCs w:val="18"/>
              </w:rPr>
            </w:pPr>
            <w:r>
              <w:rPr>
                <w:rFonts w:hint="eastAsia" w:ascii="宋体" w:hAnsi="宋体" w:eastAsia="宋体" w:cs="Tahoma"/>
                <w:kern w:val="0"/>
                <w:sz w:val="18"/>
                <w:szCs w:val="18"/>
              </w:rPr>
              <w:t>《河北省统一企业职工基本养老保险制度实施办法实施细则》</w:t>
            </w:r>
          </w:p>
          <w:p w14:paraId="773B4632">
            <w:pPr>
              <w:widowControl/>
              <w:shd w:val="clear" w:color="auto" w:fill="FFFFFF"/>
              <w:jc w:val="left"/>
              <w:rPr>
                <w:rFonts w:ascii="宋体" w:hAnsi="宋体" w:eastAsia="宋体" w:cs="Tahoma"/>
                <w:kern w:val="0"/>
                <w:sz w:val="18"/>
                <w:szCs w:val="18"/>
              </w:rPr>
            </w:pPr>
            <w:r>
              <w:rPr>
                <w:rFonts w:hint="eastAsia" w:ascii="宋体" w:hAnsi="宋体" w:eastAsia="宋体" w:cs="Tahoma"/>
                <w:kern w:val="0"/>
                <w:sz w:val="18"/>
                <w:szCs w:val="18"/>
              </w:rPr>
              <w:t>依据文号：冀劳〔</w:t>
            </w:r>
            <w:r>
              <w:rPr>
                <w:rFonts w:ascii="宋体" w:hAnsi="宋体" w:eastAsia="宋体" w:cs="Tahoma"/>
                <w:kern w:val="0"/>
                <w:sz w:val="18"/>
                <w:szCs w:val="18"/>
              </w:rPr>
              <w:t>1998</w:t>
            </w:r>
            <w:r>
              <w:rPr>
                <w:rFonts w:hint="eastAsia" w:ascii="宋体" w:hAnsi="宋体" w:eastAsia="宋体" w:cs="Tahoma"/>
                <w:kern w:val="0"/>
                <w:sz w:val="18"/>
                <w:szCs w:val="18"/>
              </w:rPr>
              <w:t>〕</w:t>
            </w:r>
            <w:r>
              <w:rPr>
                <w:rFonts w:ascii="宋体" w:hAnsi="宋体" w:eastAsia="宋体" w:cs="Tahoma"/>
                <w:kern w:val="0"/>
                <w:sz w:val="18"/>
                <w:szCs w:val="18"/>
              </w:rPr>
              <w:t>47</w:t>
            </w:r>
            <w:r>
              <w:rPr>
                <w:rFonts w:hint="eastAsia" w:ascii="宋体" w:hAnsi="宋体" w:eastAsia="宋体" w:cs="Tahoma"/>
                <w:kern w:val="0"/>
                <w:sz w:val="18"/>
                <w:szCs w:val="18"/>
              </w:rPr>
              <w:t>号</w:t>
            </w:r>
          </w:p>
          <w:p w14:paraId="6D0E2CBB">
            <w:pPr>
              <w:jc w:val="center"/>
              <w:rPr>
                <w:rFonts w:hint="eastAsia" w:cs="宋体" w:asciiTheme="minorEastAsia" w:hAnsiTheme="minorEastAsia" w:eastAsiaTheme="minorEastAsia"/>
                <w:sz w:val="18"/>
                <w:szCs w:val="18"/>
                <w:lang w:eastAsia="zh-CN"/>
              </w:rPr>
            </w:pPr>
          </w:p>
        </w:tc>
        <w:tc>
          <w:tcPr>
            <w:tcW w:w="2260" w:type="dxa"/>
            <w:tcBorders>
              <w:top w:val="single" w:color="auto" w:sz="4" w:space="0"/>
              <w:left w:val="nil"/>
              <w:bottom w:val="single" w:color="auto" w:sz="4" w:space="0"/>
              <w:right w:val="single" w:color="auto" w:sz="4" w:space="0"/>
            </w:tcBorders>
            <w:shd w:val="clear" w:color="auto" w:fill="auto"/>
            <w:vAlign w:val="center"/>
          </w:tcPr>
          <w:p w14:paraId="38CA41A9">
            <w:pPr>
              <w:autoSpaceDN w:val="0"/>
              <w:spacing w:line="300" w:lineRule="exact"/>
              <w:jc w:val="left"/>
              <w:textAlignment w:val="center"/>
              <w:rPr>
                <w:rFonts w:ascii="宋体" w:hAnsi="宋体" w:eastAsia="宋体" w:cs="宋体"/>
                <w:sz w:val="18"/>
                <w:szCs w:val="18"/>
              </w:rPr>
            </w:pPr>
            <w:r>
              <w:rPr>
                <w:rFonts w:hint="eastAsia" w:ascii="宋体" w:hAnsi="宋体" w:eastAsia="宋体" w:cs="宋体"/>
                <w:sz w:val="18"/>
                <w:szCs w:val="18"/>
              </w:rPr>
              <w:t>1.受理责任:一次性告知补正材料；依法受理或不予受理。</w:t>
            </w:r>
            <w:r>
              <w:rPr>
                <w:rFonts w:hint="eastAsia" w:ascii="宋体" w:hAnsi="宋体" w:eastAsia="宋体" w:cs="宋体"/>
                <w:sz w:val="18"/>
                <w:szCs w:val="18"/>
              </w:rPr>
              <w:br w:type="textWrapping"/>
            </w:r>
            <w:r>
              <w:rPr>
                <w:rFonts w:hint="eastAsia" w:ascii="宋体" w:hAnsi="宋体" w:eastAsia="宋体" w:cs="宋体"/>
                <w:sz w:val="18"/>
                <w:szCs w:val="18"/>
              </w:rPr>
              <w:t>2.审查责任:审核</w:t>
            </w:r>
            <w:r>
              <w:rPr>
                <w:rFonts w:hint="eastAsia" w:ascii="宋体" w:hAnsi="宋体" w:eastAsia="宋体" w:cs="宋体"/>
                <w:sz w:val="18"/>
                <w:szCs w:val="18"/>
                <w:lang w:eastAsia="zh-CN"/>
              </w:rPr>
              <w:t>通过</w:t>
            </w:r>
            <w:r>
              <w:rPr>
                <w:rFonts w:hint="eastAsia" w:ascii="宋体" w:hAnsi="宋体" w:eastAsia="宋体" w:cs="宋体"/>
                <w:sz w:val="18"/>
                <w:szCs w:val="18"/>
              </w:rPr>
              <w:t>的依法予以参保登记</w:t>
            </w:r>
          </w:p>
          <w:p w14:paraId="1E62B0A1">
            <w:pPr>
              <w:autoSpaceDN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宋体"/>
                <w:sz w:val="18"/>
                <w:szCs w:val="18"/>
              </w:rPr>
              <w:t>3.决定责任:符合条件的，做出予以确认的决定；不符合条件的，要求正确填报或补充材料。</w:t>
            </w:r>
            <w:r>
              <w:rPr>
                <w:rFonts w:hint="eastAsia" w:ascii="宋体" w:hAnsi="宋体" w:eastAsia="宋体" w:cs="宋体"/>
                <w:sz w:val="18"/>
                <w:szCs w:val="18"/>
              </w:rPr>
              <w:br w:type="textWrapping"/>
            </w:r>
            <w:r>
              <w:rPr>
                <w:rFonts w:hint="eastAsia" w:ascii="宋体" w:hAnsi="宋体" w:eastAsia="宋体" w:cs="宋体"/>
                <w:sz w:val="18"/>
                <w:szCs w:val="18"/>
              </w:rPr>
              <w:t>4.送达责任:根据办理方式现场或线上告知。</w:t>
            </w:r>
            <w:r>
              <w:rPr>
                <w:rFonts w:hint="eastAsia" w:ascii="宋体" w:hAnsi="宋体" w:eastAsia="宋体" w:cs="宋体"/>
                <w:sz w:val="18"/>
                <w:szCs w:val="18"/>
              </w:rPr>
              <w:br w:type="textWrapping"/>
            </w:r>
            <w:r>
              <w:rPr>
                <w:rFonts w:hint="eastAsia" w:ascii="宋体" w:hAnsi="宋体" w:eastAsia="宋体" w:cs="宋体"/>
                <w:sz w:val="18"/>
                <w:szCs w:val="18"/>
              </w:rPr>
              <w:t>5.事后监管责任:加强对机关事业单位退休待遇申报的指导，及时纠正违规行为。</w:t>
            </w:r>
            <w:r>
              <w:rPr>
                <w:rFonts w:hint="eastAsia" w:ascii="宋体" w:hAnsi="宋体" w:eastAsia="宋体" w:cs="宋体"/>
                <w:sz w:val="18"/>
                <w:szCs w:val="18"/>
              </w:rPr>
              <w:br w:type="textWrapping"/>
            </w:r>
            <w:r>
              <w:rPr>
                <w:rFonts w:hint="eastAsia" w:ascii="宋体" w:hAnsi="宋体" w:eastAsia="宋体" w:cs="宋体"/>
                <w:sz w:val="18"/>
                <w:szCs w:val="18"/>
              </w:rPr>
              <w:t>6.其他法律法规规章文件规定应履行的责任。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755EB349">
            <w:pPr>
              <w:widowControl/>
              <w:shd w:val="clear" w:color="auto" w:fill="FFFFFF"/>
              <w:jc w:val="left"/>
              <w:rPr>
                <w:rFonts w:hint="eastAsia" w:cs="宋体" w:asciiTheme="minorEastAsia" w:hAnsiTheme="minorEastAsia" w:eastAsiaTheme="minorEastAsia"/>
                <w:sz w:val="18"/>
                <w:szCs w:val="18"/>
              </w:rPr>
            </w:pPr>
            <w:r>
              <w:rPr>
                <w:rFonts w:hint="eastAsia" w:ascii="宋体" w:hAnsi="宋体" w:eastAsia="宋体" w:cs="宋体"/>
                <w:sz w:val="18"/>
                <w:szCs w:val="18"/>
              </w:rPr>
              <w:t>因不履行或不正确履行行政职责，有下列情形的，行政机关及相关工作人员应承担相应责任：</w:t>
            </w:r>
            <w:r>
              <w:rPr>
                <w:rFonts w:hint="eastAsia" w:ascii="宋体" w:hAnsi="宋体" w:eastAsia="宋体" w:cs="宋体"/>
                <w:sz w:val="18"/>
                <w:szCs w:val="18"/>
              </w:rPr>
              <w:br w:type="textWrapping"/>
            </w:r>
            <w:r>
              <w:rPr>
                <w:rFonts w:hint="eastAsia" w:ascii="宋体" w:hAnsi="宋体" w:eastAsia="宋体" w:cs="宋体"/>
                <w:sz w:val="18"/>
                <w:szCs w:val="18"/>
              </w:rPr>
              <w:t>1.对符合受理条件的行政认定申请不予受理的；</w:t>
            </w:r>
            <w:r>
              <w:rPr>
                <w:rFonts w:hint="eastAsia" w:ascii="宋体" w:hAnsi="宋体" w:eastAsia="宋体" w:cs="宋体"/>
                <w:sz w:val="18"/>
                <w:szCs w:val="18"/>
              </w:rPr>
              <w:br w:type="textWrapping"/>
            </w:r>
            <w:r>
              <w:rPr>
                <w:rFonts w:hint="eastAsia" w:ascii="宋体" w:hAnsi="宋体" w:eastAsia="宋体" w:cs="宋体"/>
                <w:sz w:val="18"/>
                <w:szCs w:val="18"/>
              </w:rPr>
              <w:t>2.未严格按照相关政策、法律、法规履行审查义务，对应当予以认定的不予认定，或者对不应认定的予以认定；</w:t>
            </w:r>
            <w:r>
              <w:rPr>
                <w:rFonts w:hint="eastAsia" w:ascii="宋体" w:hAnsi="宋体" w:eastAsia="宋体" w:cs="宋体"/>
                <w:sz w:val="18"/>
                <w:szCs w:val="18"/>
              </w:rPr>
              <w:br w:type="textWrapping"/>
            </w:r>
            <w:r>
              <w:rPr>
                <w:rFonts w:hint="eastAsia" w:ascii="宋体" w:hAnsi="宋体" w:eastAsia="宋体" w:cs="宋体"/>
                <w:sz w:val="18"/>
                <w:szCs w:val="18"/>
              </w:rPr>
              <w:t>3.泄露用人单位和个人信息的，给用人单位或者个人造成损失的；</w:t>
            </w:r>
            <w:r>
              <w:rPr>
                <w:rFonts w:hint="eastAsia" w:ascii="宋体" w:hAnsi="宋体" w:eastAsia="宋体" w:cs="宋体"/>
                <w:sz w:val="18"/>
                <w:szCs w:val="18"/>
              </w:rPr>
              <w:br w:type="textWrapping"/>
            </w:r>
            <w:r>
              <w:rPr>
                <w:rFonts w:hint="eastAsia" w:ascii="宋体" w:hAnsi="宋体" w:eastAsia="宋体" w:cs="宋体"/>
                <w:sz w:val="18"/>
                <w:szCs w:val="18"/>
              </w:rPr>
              <w:t>4.工作人员滥用职权、玩忽职守、徇私舞弊的；</w:t>
            </w:r>
            <w:r>
              <w:rPr>
                <w:rFonts w:hint="eastAsia" w:ascii="宋体" w:hAnsi="宋体" w:eastAsia="宋体" w:cs="宋体"/>
                <w:sz w:val="18"/>
                <w:szCs w:val="18"/>
              </w:rPr>
              <w:br w:type="textWrapping"/>
            </w:r>
            <w:r>
              <w:rPr>
                <w:rFonts w:hint="eastAsia" w:ascii="宋体" w:hAnsi="宋体" w:eastAsia="宋体" w:cs="宋体"/>
                <w:sz w:val="18"/>
                <w:szCs w:val="18"/>
              </w:rPr>
              <w:t>5.其他违反法律法规规章文件规定的行为。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5053D1EF">
            <w:pPr>
              <w:adjustRightInd/>
              <w:snapToGrid/>
              <w:spacing w:after="0" w:line="240" w:lineRule="exact"/>
              <w:rPr>
                <w:rFonts w:hint="eastAsia" w:cs="宋体" w:asciiTheme="minorEastAsia" w:hAnsiTheme="minorEastAsia" w:eastAsiaTheme="minorEastAsia"/>
                <w:sz w:val="18"/>
                <w:szCs w:val="18"/>
              </w:rPr>
            </w:pPr>
          </w:p>
        </w:tc>
      </w:tr>
      <w:tr w14:paraId="3750AF7C">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6ED26206">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32</w:t>
            </w:r>
          </w:p>
        </w:tc>
        <w:tc>
          <w:tcPr>
            <w:tcW w:w="1080" w:type="dxa"/>
            <w:tcBorders>
              <w:top w:val="single" w:color="auto" w:sz="4" w:space="0"/>
              <w:left w:val="nil"/>
              <w:bottom w:val="single" w:color="auto" w:sz="4" w:space="0"/>
              <w:right w:val="single" w:color="auto" w:sz="4" w:space="0"/>
            </w:tcBorders>
            <w:shd w:val="clear" w:color="auto" w:fill="auto"/>
            <w:vAlign w:val="center"/>
          </w:tcPr>
          <w:p w14:paraId="521CA326">
            <w:pPr>
              <w:keepNext w:val="0"/>
              <w:keepLines w:val="0"/>
              <w:widowControl/>
              <w:suppressLineNumbers w:val="0"/>
              <w:jc w:val="center"/>
              <w:textAlignment w:val="center"/>
              <w:rPr>
                <w:rFonts w:hint="eastAsia" w:ascii="宋体" w:hAnsi="宋体" w:eastAsia="宋体" w:cs="仿宋"/>
                <w:color w:val="000000"/>
                <w:sz w:val="18"/>
                <w:szCs w:val="18"/>
              </w:rPr>
            </w:pPr>
            <w:r>
              <w:rPr>
                <w:rFonts w:hint="eastAsia" w:asciiTheme="majorEastAsia" w:hAnsiTheme="majorEastAsia" w:eastAsiaTheme="majorEastAsia" w:cstheme="majorEastAsia"/>
                <w:i w:val="0"/>
                <w:color w:val="000000"/>
                <w:kern w:val="0"/>
                <w:sz w:val="18"/>
                <w:szCs w:val="18"/>
                <w:u w:val="none"/>
                <w:lang w:val="en-US" w:eastAsia="zh-CN" w:bidi="ar"/>
              </w:rPr>
              <w:t>行政确认</w:t>
            </w:r>
          </w:p>
        </w:tc>
        <w:tc>
          <w:tcPr>
            <w:tcW w:w="2460" w:type="dxa"/>
            <w:tcBorders>
              <w:top w:val="single" w:color="auto" w:sz="4" w:space="0"/>
              <w:left w:val="nil"/>
              <w:bottom w:val="single" w:color="auto" w:sz="4" w:space="0"/>
              <w:right w:val="single" w:color="auto" w:sz="4" w:space="0"/>
            </w:tcBorders>
            <w:shd w:val="clear" w:color="auto" w:fill="auto"/>
            <w:vAlign w:val="center"/>
          </w:tcPr>
          <w:p w14:paraId="53A27D10">
            <w:pPr>
              <w:keepNext w:val="0"/>
              <w:keepLines w:val="0"/>
              <w:widowControl/>
              <w:suppressLineNumbers w:val="0"/>
              <w:jc w:val="left"/>
              <w:textAlignment w:val="center"/>
              <w:rPr>
                <w:rFonts w:hint="eastAsia" w:ascii="宋体" w:hAnsi="宋体" w:eastAsia="宋体" w:cs="仿宋"/>
                <w:bCs/>
                <w:sz w:val="18"/>
                <w:szCs w:val="18"/>
              </w:rPr>
            </w:pPr>
            <w:r>
              <w:rPr>
                <w:rFonts w:hint="eastAsia" w:asciiTheme="majorEastAsia" w:hAnsiTheme="majorEastAsia" w:eastAsiaTheme="majorEastAsia" w:cstheme="majorEastAsia"/>
                <w:i w:val="0"/>
                <w:color w:val="000000"/>
                <w:kern w:val="0"/>
                <w:sz w:val="18"/>
                <w:szCs w:val="18"/>
                <w:u w:val="none"/>
                <w:lang w:val="en-US" w:eastAsia="zh-CN" w:bidi="ar"/>
              </w:rPr>
              <w:t>被征地农民社会保障措施和费用落实审核</w:t>
            </w:r>
          </w:p>
        </w:tc>
        <w:tc>
          <w:tcPr>
            <w:tcW w:w="1180" w:type="dxa"/>
            <w:tcBorders>
              <w:top w:val="single" w:color="auto" w:sz="4" w:space="0"/>
              <w:left w:val="nil"/>
              <w:bottom w:val="single" w:color="auto" w:sz="4" w:space="0"/>
              <w:right w:val="single" w:color="auto" w:sz="4" w:space="0"/>
            </w:tcBorders>
            <w:shd w:val="clear" w:color="auto" w:fill="auto"/>
            <w:vAlign w:val="center"/>
          </w:tcPr>
          <w:p w14:paraId="0C9D1039">
            <w:pPr>
              <w:keepNext w:val="0"/>
              <w:keepLines w:val="0"/>
              <w:widowControl/>
              <w:suppressLineNumbers w:val="0"/>
              <w:jc w:val="center"/>
              <w:textAlignment w:val="center"/>
              <w:rPr>
                <w:rFonts w:hint="eastAsia" w:ascii="宋体" w:hAnsi="宋体" w:eastAsia="宋体" w:cs="仿宋"/>
                <w:color w:val="000000"/>
                <w:sz w:val="18"/>
                <w:szCs w:val="18"/>
              </w:rPr>
            </w:pPr>
            <w:r>
              <w:rPr>
                <w:rFonts w:hint="eastAsia" w:ascii="宋体" w:hAnsi="宋体" w:eastAsia="宋体" w:cs="仿宋"/>
                <w:color w:val="000000"/>
                <w:sz w:val="18"/>
                <w:szCs w:val="18"/>
              </w:rPr>
              <w:t>县人社局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2CBB7923">
            <w:pPr>
              <w:keepNext w:val="0"/>
              <w:keepLines w:val="0"/>
              <w:widowControl/>
              <w:suppressLineNumbers w:val="0"/>
              <w:jc w:val="left"/>
              <w:textAlignment w:val="center"/>
              <w:rPr>
                <w:rFonts w:hint="eastAsia" w:cs="宋体" w:asciiTheme="minorEastAsia" w:hAnsiTheme="minorEastAsia" w:eastAsiaTheme="minorEastAsia"/>
                <w:sz w:val="18"/>
                <w:szCs w:val="18"/>
                <w:lang w:eastAsia="zh-CN"/>
              </w:rPr>
            </w:pPr>
            <w:r>
              <w:rPr>
                <w:rFonts w:hint="eastAsia" w:asciiTheme="majorEastAsia" w:hAnsiTheme="majorEastAsia" w:eastAsiaTheme="majorEastAsia" w:cstheme="majorEastAsia"/>
                <w:i w:val="0"/>
                <w:color w:val="000000"/>
                <w:kern w:val="0"/>
                <w:sz w:val="18"/>
                <w:szCs w:val="18"/>
                <w:u w:val="none"/>
                <w:lang w:val="en-US" w:eastAsia="zh-CN" w:bidi="ar"/>
              </w:rPr>
              <w:t>1、《河北省人民政府关于实行征地区片价的通知》（冀政【2008】132号）： 2、《曲阳县人民政府关于被征地农民参加基本养老保险工作的实施方案》（【2020】曲府36号）。</w:t>
            </w:r>
          </w:p>
        </w:tc>
        <w:tc>
          <w:tcPr>
            <w:tcW w:w="2260" w:type="dxa"/>
            <w:tcBorders>
              <w:top w:val="single" w:color="auto" w:sz="4" w:space="0"/>
              <w:left w:val="nil"/>
              <w:bottom w:val="single" w:color="auto" w:sz="4" w:space="0"/>
              <w:right w:val="single" w:color="auto" w:sz="4" w:space="0"/>
            </w:tcBorders>
            <w:shd w:val="clear" w:color="auto" w:fill="auto"/>
            <w:vAlign w:val="center"/>
          </w:tcPr>
          <w:p w14:paraId="0D8CC51D">
            <w:pPr>
              <w:keepNext w:val="0"/>
              <w:keepLines w:val="0"/>
              <w:widowControl/>
              <w:suppressLineNumbers w:val="0"/>
              <w:jc w:val="left"/>
              <w:textAlignment w:val="center"/>
              <w:rPr>
                <w:rFonts w:hint="eastAsia" w:asciiTheme="majorEastAsia" w:hAnsiTheme="majorEastAsia" w:eastAsiaTheme="majorEastAsia" w:cstheme="majorEastAsia"/>
                <w:i w:val="0"/>
                <w:color w:val="000000" w:themeColor="text1"/>
                <w:kern w:val="0"/>
                <w:sz w:val="18"/>
                <w:szCs w:val="18"/>
                <w:u w:val="none"/>
                <w:lang w:val="en-US" w:eastAsia="zh-CN" w:bidi="ar"/>
                <w14:textFill>
                  <w14:solidFill>
                    <w14:schemeClr w14:val="tx1"/>
                  </w14:solidFill>
                </w14:textFill>
              </w:rPr>
            </w:pPr>
            <w:r>
              <w:rPr>
                <w:rFonts w:hint="eastAsia" w:asciiTheme="majorEastAsia" w:hAnsiTheme="majorEastAsia" w:eastAsiaTheme="majorEastAsia" w:cstheme="majorEastAsia"/>
                <w:i w:val="0"/>
                <w:color w:val="000000"/>
                <w:kern w:val="0"/>
                <w:sz w:val="18"/>
                <w:szCs w:val="18"/>
                <w:u w:val="none"/>
                <w:lang w:val="en-US" w:eastAsia="zh-CN" w:bidi="ar"/>
              </w:rPr>
              <w:t xml:space="preserve">1.受理责任：受理依规定应提交的资料，一次性告知补正材料。 </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 xml:space="preserve">2.审查责任：审核提交材料是否完整，填写是否正确，一次性告之补正材料；  </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3.决定责任：对符合条件的予以上报；</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4.送达责任：将审核结果告知单位，由单位办理后续手续</w:t>
            </w:r>
            <w:r>
              <w:rPr>
                <w:rFonts w:hint="eastAsia" w:asciiTheme="majorEastAsia" w:hAnsiTheme="majorEastAsia" w:eastAsiaTheme="majorEastAsia" w:cstheme="majorEastAsia"/>
                <w:i w:val="0"/>
                <w:color w:val="000000" w:themeColor="text1"/>
                <w:kern w:val="0"/>
                <w:sz w:val="18"/>
                <w:szCs w:val="18"/>
                <w:u w:val="none"/>
                <w:lang w:val="en-US" w:eastAsia="zh-CN" w:bidi="ar"/>
                <w14:textFill>
                  <w14:solidFill>
                    <w14:schemeClr w14:val="tx1"/>
                  </w14:solidFill>
                </w14:textFill>
              </w:rPr>
              <w:t>；</w:t>
            </w:r>
          </w:p>
          <w:p w14:paraId="07F118BF">
            <w:pPr>
              <w:keepNext w:val="0"/>
              <w:keepLines w:val="0"/>
              <w:widowControl/>
              <w:suppressLineNumbers w:val="0"/>
              <w:jc w:val="left"/>
              <w:textAlignment w:val="center"/>
              <w:rPr>
                <w:rFonts w:hint="eastAsia" w:asciiTheme="majorEastAsia" w:hAnsiTheme="majorEastAsia" w:eastAsiaTheme="majorEastAsia" w:cstheme="majorEastAsia"/>
                <w:i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5.事后监管责任:加强对</w:t>
            </w:r>
            <w:r>
              <w:rPr>
                <w:rFonts w:hint="eastAsia" w:ascii="宋体" w:hAnsi="宋体" w:eastAsia="宋体" w:cs="宋体"/>
                <w:color w:val="000000" w:themeColor="text1"/>
                <w:sz w:val="18"/>
                <w:szCs w:val="18"/>
                <w:lang w:val="en-US" w:eastAsia="zh-CN"/>
                <w14:textFill>
                  <w14:solidFill>
                    <w14:schemeClr w14:val="tx1"/>
                  </w14:solidFill>
                </w14:textFill>
              </w:rPr>
              <w:t>被征地农民社会保障措施和费用落实</w:t>
            </w:r>
            <w:r>
              <w:rPr>
                <w:rFonts w:hint="eastAsia" w:ascii="宋体" w:hAnsi="宋体" w:eastAsia="宋体" w:cs="宋体"/>
                <w:color w:val="000000" w:themeColor="text1"/>
                <w:sz w:val="18"/>
                <w:szCs w:val="18"/>
                <w14:textFill>
                  <w14:solidFill>
                    <w14:schemeClr w14:val="tx1"/>
                  </w14:solidFill>
                </w14:textFill>
              </w:rPr>
              <w:t>的指导，及时纠正违规行为。</w:t>
            </w:r>
            <w:r>
              <w:rPr>
                <w:rFonts w:hint="eastAsia" w:ascii="宋体" w:hAnsi="宋体" w:eastAsia="宋体" w:cs="宋体"/>
                <w:color w:val="000000" w:themeColor="text1"/>
                <w:sz w:val="18"/>
                <w:szCs w:val="18"/>
                <w14:textFill>
                  <w14:solidFill>
                    <w14:schemeClr w14:val="tx1"/>
                  </w14:solidFill>
                </w14:textFill>
              </w:rPr>
              <w:br w:type="textWrapping"/>
            </w:r>
            <w:r>
              <w:rPr>
                <w:rFonts w:hint="eastAsia" w:ascii="宋体" w:hAnsi="宋体" w:eastAsia="宋体" w:cs="宋体"/>
                <w:color w:val="000000" w:themeColor="text1"/>
                <w:sz w:val="18"/>
                <w:szCs w:val="18"/>
                <w14:textFill>
                  <w14:solidFill>
                    <w14:schemeClr w14:val="tx1"/>
                  </w14:solidFill>
                </w14:textFill>
              </w:rPr>
              <w:t>6.其他法律法规规章文件规定应履行的责任。</w:t>
            </w:r>
          </w:p>
          <w:p w14:paraId="3827E44A">
            <w:pPr>
              <w:keepNext w:val="0"/>
              <w:keepLines w:val="0"/>
              <w:widowControl/>
              <w:suppressLineNumbers w:val="0"/>
              <w:jc w:val="left"/>
              <w:textAlignment w:val="center"/>
              <w:rPr>
                <w:rFonts w:hint="eastAsia" w:ascii="宋体" w:hAnsi="宋体" w:eastAsia="宋体" w:cs="宋体"/>
                <w:sz w:val="18"/>
                <w:szCs w:val="18"/>
              </w:rPr>
            </w:pPr>
          </w:p>
        </w:tc>
        <w:tc>
          <w:tcPr>
            <w:tcW w:w="2800" w:type="dxa"/>
            <w:tcBorders>
              <w:top w:val="single" w:color="auto" w:sz="4" w:space="0"/>
              <w:left w:val="nil"/>
              <w:bottom w:val="single" w:color="auto" w:sz="4" w:space="0"/>
              <w:right w:val="single" w:color="auto" w:sz="4" w:space="0"/>
            </w:tcBorders>
            <w:shd w:val="clear" w:color="auto" w:fill="auto"/>
            <w:vAlign w:val="center"/>
          </w:tcPr>
          <w:p w14:paraId="415CDAAE">
            <w:pPr>
              <w:keepNext w:val="0"/>
              <w:keepLines w:val="0"/>
              <w:widowControl/>
              <w:suppressLineNumbers w:val="0"/>
              <w:jc w:val="left"/>
              <w:textAlignment w:val="center"/>
              <w:rPr>
                <w:rFonts w:hint="eastAsia" w:ascii="宋体" w:hAnsi="宋体" w:eastAsia="宋体" w:cs="宋体"/>
                <w:sz w:val="18"/>
                <w:szCs w:val="18"/>
              </w:rPr>
            </w:pPr>
            <w:r>
              <w:rPr>
                <w:rFonts w:hint="eastAsia" w:asciiTheme="majorEastAsia" w:hAnsiTheme="majorEastAsia" w:eastAsiaTheme="majorEastAsia" w:cstheme="majorEastAsia"/>
                <w:i w:val="0"/>
                <w:color w:val="000000"/>
                <w:kern w:val="0"/>
                <w:sz w:val="18"/>
                <w:szCs w:val="18"/>
                <w:u w:val="none"/>
                <w:lang w:val="en-US" w:eastAsia="zh-CN" w:bidi="ar"/>
              </w:rPr>
              <w:t>因不履行或不正确履行行政职责，有下列情形的，行政机关及相关工作人员应承担相应责任：</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1.对符合受理条件的申请不予受理的；</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2.未严格按照相关政策、法律、法规履行审查义务，对应当予以批准的不予批准，或者对不应批准的予以批准；</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3.工作人员滥用职权、徇私舞弊、玩忽职守的；</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4.工作人员索贿、受贿，谋取不正当利益的；</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5.其他违反法律法规规章文件规定的行为。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35188985">
            <w:pPr>
              <w:adjustRightInd/>
              <w:snapToGrid/>
              <w:spacing w:after="0" w:line="240" w:lineRule="exact"/>
              <w:rPr>
                <w:rFonts w:hint="eastAsia" w:cs="宋体" w:asciiTheme="minorEastAsia" w:hAnsiTheme="minorEastAsia" w:eastAsiaTheme="minorEastAsia"/>
                <w:sz w:val="18"/>
                <w:szCs w:val="18"/>
              </w:rPr>
            </w:pPr>
          </w:p>
        </w:tc>
      </w:tr>
      <w:tr w14:paraId="097228F9">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61EEDBF0">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33</w:t>
            </w:r>
          </w:p>
        </w:tc>
        <w:tc>
          <w:tcPr>
            <w:tcW w:w="1080" w:type="dxa"/>
            <w:tcBorders>
              <w:top w:val="single" w:color="auto" w:sz="4" w:space="0"/>
              <w:left w:val="nil"/>
              <w:bottom w:val="single" w:color="auto" w:sz="4" w:space="0"/>
              <w:right w:val="single" w:color="auto" w:sz="4" w:space="0"/>
            </w:tcBorders>
            <w:shd w:val="clear" w:color="auto" w:fill="auto"/>
            <w:vAlign w:val="center"/>
          </w:tcPr>
          <w:p w14:paraId="3D77D0BE">
            <w:pPr>
              <w:keepNext w:val="0"/>
              <w:keepLines w:val="0"/>
              <w:pageBreakBefore w:val="0"/>
              <w:widowControl w:val="0"/>
              <w:kinsoku/>
              <w:wordWrap/>
              <w:overflowPunct/>
              <w:topLinePunct w:val="0"/>
              <w:autoSpaceDE/>
              <w:autoSpaceDN w:val="0"/>
              <w:bidi w:val="0"/>
              <w:adjustRightInd/>
              <w:snapToGrid/>
              <w:spacing w:before="0" w:beforeLines="0" w:after="0" w:afterLines="0" w:line="240" w:lineRule="auto"/>
              <w:ind w:left="0" w:leftChars="0" w:right="0" w:rightChars="0" w:firstLine="0" w:firstLineChars="0"/>
              <w:jc w:val="center"/>
              <w:textAlignment w:val="center"/>
              <w:outlineLvl w:val="9"/>
              <w:rPr>
                <w:rFonts w:hint="eastAsia" w:ascii="宋体" w:hAnsi="宋体" w:eastAsia="宋体" w:cs="宋体"/>
                <w:color w:val="000000"/>
                <w:sz w:val="18"/>
                <w:szCs w:val="18"/>
              </w:rPr>
            </w:pPr>
            <w:r>
              <w:rPr>
                <w:rFonts w:hint="eastAsia" w:ascii="宋体" w:hAnsi="宋体" w:eastAsia="宋体" w:cs="宋体"/>
                <w:b w:val="0"/>
                <w:bCs w:val="0"/>
                <w:i w:val="0"/>
                <w:snapToGrid/>
                <w:color w:val="000000" w:themeColor="text1"/>
                <w:sz w:val="18"/>
                <w:szCs w:val="18"/>
                <w:u w:val="none"/>
                <w:lang w:eastAsia="zh-CN"/>
                <w14:textFill>
                  <w14:solidFill>
                    <w14:schemeClr w14:val="tx1"/>
                  </w14:solidFill>
                </w14:textFill>
              </w:rPr>
              <w:t>行政确认</w:t>
            </w:r>
          </w:p>
        </w:tc>
        <w:tc>
          <w:tcPr>
            <w:tcW w:w="2460" w:type="dxa"/>
            <w:tcBorders>
              <w:top w:val="single" w:color="auto" w:sz="4" w:space="0"/>
              <w:left w:val="nil"/>
              <w:bottom w:val="single" w:color="auto" w:sz="4" w:space="0"/>
              <w:right w:val="single" w:color="auto" w:sz="4" w:space="0"/>
            </w:tcBorders>
            <w:shd w:val="clear" w:color="auto" w:fill="auto"/>
            <w:vAlign w:val="center"/>
          </w:tcPr>
          <w:p w14:paraId="25043DA7">
            <w:pPr>
              <w:keepNext w:val="0"/>
              <w:keepLines w:val="0"/>
              <w:pageBreakBefore w:val="0"/>
              <w:widowControl w:val="0"/>
              <w:kinsoku/>
              <w:wordWrap/>
              <w:overflowPunct/>
              <w:topLinePunct w:val="0"/>
              <w:autoSpaceDE/>
              <w:autoSpaceDN w:val="0"/>
              <w:bidi w:val="0"/>
              <w:adjustRightInd/>
              <w:snapToGrid/>
              <w:spacing w:before="0" w:beforeLines="0" w:after="0" w:afterLines="0" w:line="240" w:lineRule="auto"/>
              <w:ind w:left="0" w:leftChars="0" w:right="0" w:rightChars="0" w:firstLine="0" w:firstLineChars="0"/>
              <w:jc w:val="center"/>
              <w:textAlignment w:val="center"/>
              <w:outlineLvl w:val="9"/>
              <w:rPr>
                <w:rFonts w:hint="eastAsia" w:ascii="宋体" w:hAnsi="宋体" w:eastAsia="宋体" w:cs="宋体"/>
                <w:bCs/>
                <w:sz w:val="18"/>
                <w:szCs w:val="18"/>
              </w:rPr>
            </w:pPr>
            <w:r>
              <w:rPr>
                <w:rFonts w:hint="eastAsia" w:ascii="宋体" w:hAnsi="宋体" w:eastAsia="宋体" w:cs="宋体"/>
                <w:b w:val="0"/>
                <w:bCs w:val="0"/>
                <w:i w:val="0"/>
                <w:snapToGrid/>
                <w:color w:val="000000" w:themeColor="text1"/>
                <w:sz w:val="18"/>
                <w:szCs w:val="18"/>
                <w:u w:val="none"/>
                <w:lang w:val="en-US" w:eastAsia="zh-CN"/>
                <w14:textFill>
                  <w14:solidFill>
                    <w14:schemeClr w14:val="tx1"/>
                  </w14:solidFill>
                </w14:textFill>
              </w:rPr>
              <w:t>企业招用未成年工登记</w:t>
            </w:r>
          </w:p>
        </w:tc>
        <w:tc>
          <w:tcPr>
            <w:tcW w:w="1180" w:type="dxa"/>
            <w:tcBorders>
              <w:top w:val="single" w:color="auto" w:sz="4" w:space="0"/>
              <w:left w:val="nil"/>
              <w:bottom w:val="single" w:color="auto" w:sz="4" w:space="0"/>
              <w:right w:val="single" w:color="auto" w:sz="4" w:space="0"/>
            </w:tcBorders>
            <w:shd w:val="clear" w:color="auto" w:fill="auto"/>
            <w:vAlign w:val="center"/>
          </w:tcPr>
          <w:p w14:paraId="1FD8E0C8">
            <w:pPr>
              <w:keepNext w:val="0"/>
              <w:keepLines w:val="0"/>
              <w:pageBreakBefore w:val="0"/>
              <w:widowControl w:val="0"/>
              <w:kinsoku/>
              <w:wordWrap/>
              <w:overflowPunct/>
              <w:topLinePunct w:val="0"/>
              <w:autoSpaceDE/>
              <w:autoSpaceDN w:val="0"/>
              <w:bidi w:val="0"/>
              <w:adjustRightInd/>
              <w:snapToGrid/>
              <w:spacing w:before="0" w:beforeLines="0" w:after="0" w:afterLines="0" w:line="240" w:lineRule="auto"/>
              <w:ind w:left="0" w:leftChars="0" w:right="0" w:rightChars="0" w:firstLine="0" w:firstLineChars="0"/>
              <w:jc w:val="center"/>
              <w:textAlignment w:val="center"/>
              <w:outlineLvl w:val="9"/>
              <w:rPr>
                <w:rFonts w:hint="eastAsia" w:ascii="宋体" w:hAnsi="宋体" w:eastAsia="宋体" w:cs="宋体"/>
                <w:color w:val="000000"/>
                <w:sz w:val="18"/>
                <w:szCs w:val="18"/>
              </w:rPr>
            </w:pPr>
            <w:r>
              <w:rPr>
                <w:rFonts w:hint="eastAsia" w:ascii="宋体" w:hAnsi="宋体" w:eastAsia="宋体" w:cs="宋体"/>
                <w:b w:val="0"/>
                <w:bCs w:val="0"/>
                <w:i w:val="0"/>
                <w:snapToGrid/>
                <w:color w:val="000000" w:themeColor="text1"/>
                <w:sz w:val="18"/>
                <w:szCs w:val="18"/>
                <w:u w:val="none"/>
                <w:lang w:eastAsia="zh-CN"/>
                <w14:textFill>
                  <w14:solidFill>
                    <w14:schemeClr w14:val="tx1"/>
                  </w14:solidFill>
                </w14:textFill>
              </w:rPr>
              <w:t>县人社局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5E168F7B">
            <w:pPr>
              <w:adjustRightInd/>
              <w:snapToGrid/>
              <w:spacing w:after="0"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eastAsia="zh-CN"/>
              </w:rPr>
              <w:t>劳动保障监察条例》（</w:t>
            </w:r>
            <w:r>
              <w:rPr>
                <w:rFonts w:hint="eastAsia" w:ascii="宋体" w:hAnsi="宋体" w:eastAsia="宋体" w:cs="宋体"/>
                <w:sz w:val="18"/>
                <w:szCs w:val="18"/>
                <w:lang w:val="en-US" w:eastAsia="zh-CN"/>
              </w:rPr>
              <w:t>2004年11月1日国务院令第423号</w:t>
            </w:r>
            <w:r>
              <w:rPr>
                <w:rFonts w:hint="eastAsia" w:ascii="宋体" w:hAnsi="宋体" w:eastAsia="宋体" w:cs="宋体"/>
                <w:sz w:val="18"/>
                <w:szCs w:val="18"/>
                <w:lang w:eastAsia="zh-CN"/>
              </w:rPr>
              <w:t>）第九条：任何组织或者个人对违反劳动保障法律、法规或者规章的行为,有权向劳动保障行政部门举报。</w:t>
            </w:r>
            <w:r>
              <w:rPr>
                <w:rFonts w:hint="eastAsia" w:ascii="宋体" w:hAnsi="宋体" w:eastAsia="宋体" w:cs="宋体"/>
                <w:b w:val="0"/>
                <w:bCs w:val="0"/>
                <w:i w:val="0"/>
                <w:snapToGrid/>
                <w:color w:val="000000" w:themeColor="text1"/>
                <w:sz w:val="18"/>
                <w:szCs w:val="18"/>
                <w:u w:val="none"/>
                <w:lang w:eastAsia="zh-CN"/>
                <w14:textFill>
                  <w14:solidFill>
                    <w14:schemeClr w14:val="tx1"/>
                  </w14:solidFill>
                </w14:textFill>
              </w:rPr>
              <w:t>1.法律法规名称:《中华人民共和国劳动法》;《中华人民共和国劳动合同法》</w:t>
            </w:r>
            <w:r>
              <w:rPr>
                <w:rFonts w:hint="eastAsia" w:ascii="宋体" w:hAnsi="宋体" w:eastAsia="宋体" w:cs="宋体"/>
                <w:b w:val="0"/>
                <w:bCs w:val="0"/>
                <w:i w:val="0"/>
                <w:snapToGrid/>
                <w:color w:val="000000" w:themeColor="text1"/>
                <w:sz w:val="18"/>
                <w:szCs w:val="18"/>
                <w:u w:val="none"/>
                <w:lang w:val="en-US" w:eastAsia="zh-CN"/>
                <w14:textFill>
                  <w14:solidFill>
                    <w14:schemeClr w14:val="tx1"/>
                  </w14:solidFill>
                </w14:textFill>
              </w:rPr>
              <w:t>.</w:t>
            </w:r>
          </w:p>
          <w:p w14:paraId="4E2DF070">
            <w:pPr>
              <w:bidi w:val="0"/>
              <w:jc w:val="center"/>
              <w:rPr>
                <w:rFonts w:hint="eastAsia" w:ascii="宋体" w:hAnsi="宋体" w:eastAsia="宋体" w:cs="宋体"/>
                <w:sz w:val="18"/>
                <w:szCs w:val="18"/>
                <w:lang w:eastAsia="zh-CN"/>
              </w:rPr>
            </w:pPr>
          </w:p>
        </w:tc>
        <w:tc>
          <w:tcPr>
            <w:tcW w:w="2260" w:type="dxa"/>
            <w:tcBorders>
              <w:top w:val="single" w:color="auto" w:sz="4" w:space="0"/>
              <w:left w:val="nil"/>
              <w:bottom w:val="single" w:color="auto" w:sz="4" w:space="0"/>
              <w:right w:val="single" w:color="auto" w:sz="4" w:space="0"/>
            </w:tcBorders>
            <w:shd w:val="clear" w:color="auto" w:fill="auto"/>
            <w:vAlign w:val="center"/>
          </w:tcPr>
          <w:p w14:paraId="4B8465A1">
            <w:pPr>
              <w:keepNext w:val="0"/>
              <w:keepLines w:val="0"/>
              <w:pageBreakBefore w:val="0"/>
              <w:widowControl w:val="0"/>
              <w:kinsoku/>
              <w:wordWrap/>
              <w:overflowPunct/>
              <w:topLinePunct w:val="0"/>
              <w:autoSpaceDE/>
              <w:autoSpaceDN w:val="0"/>
              <w:bidi w:val="0"/>
              <w:adjustRightInd/>
              <w:snapToGrid/>
              <w:spacing w:before="0" w:beforeLines="0" w:after="0" w:afterLines="0" w:line="240" w:lineRule="auto"/>
              <w:ind w:left="0" w:leftChars="0" w:right="0" w:rightChars="0" w:firstLine="0" w:firstLineChars="0"/>
              <w:jc w:val="both"/>
              <w:textAlignment w:val="center"/>
              <w:outlineLvl w:val="9"/>
              <w:rPr>
                <w:rFonts w:hint="eastAsia" w:ascii="宋体" w:hAnsi="宋体" w:eastAsia="宋体" w:cs="宋体"/>
                <w:sz w:val="18"/>
                <w:szCs w:val="18"/>
                <w:lang w:eastAsia="zh-CN"/>
              </w:rPr>
            </w:pPr>
            <w:r>
              <w:rPr>
                <w:rFonts w:hint="eastAsia" w:ascii="宋体" w:hAnsi="宋体" w:eastAsia="宋体" w:cs="宋体"/>
                <w:sz w:val="18"/>
                <w:szCs w:val="18"/>
                <w:lang w:eastAsia="zh-CN"/>
              </w:rPr>
              <w:t>1.受理责任：公示依规定应提交的资料，在政策规定条件内受理计划申请。2.审查责任：对用人单位提交资料进行审核，</w:t>
            </w:r>
            <w:r>
              <w:rPr>
                <w:rFonts w:hint="eastAsia" w:ascii="宋体" w:hAnsi="宋体" w:eastAsia="宋体" w:cs="宋体"/>
                <w:sz w:val="18"/>
                <w:szCs w:val="18"/>
                <w:lang w:val="en-US" w:eastAsia="zh-CN"/>
              </w:rPr>
              <w:t>3.决定责任：</w:t>
            </w:r>
            <w:r>
              <w:rPr>
                <w:rFonts w:hint="eastAsia" w:ascii="宋体" w:hAnsi="宋体" w:eastAsia="宋体" w:cs="宋体"/>
                <w:sz w:val="18"/>
                <w:szCs w:val="18"/>
                <w:lang w:eastAsia="zh-CN"/>
              </w:rPr>
              <w:t>对不符合规定的不予受理，资料不全者退回单位补充相关资料。</w:t>
            </w:r>
            <w:r>
              <w:rPr>
                <w:rFonts w:hint="eastAsia" w:ascii="宋体" w:hAnsi="宋体" w:eastAsia="宋体" w:cs="宋体"/>
                <w:sz w:val="18"/>
                <w:szCs w:val="18"/>
                <w:lang w:val="en-US" w:eastAsia="zh-CN"/>
              </w:rPr>
              <w:t>4.送达责任：将审核结果告知单位，由单位办理后续手续。5.事后监管责任：对各部门工作进行指导监督，对不符合要求的提出纠正意见。6.其他法律法规章文件规定应履行的责任。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62D37C5A">
            <w:pPr>
              <w:keepNext w:val="0"/>
              <w:keepLines w:val="0"/>
              <w:pageBreakBefore w:val="0"/>
              <w:widowControl w:val="0"/>
              <w:kinsoku/>
              <w:wordWrap/>
              <w:overflowPunct/>
              <w:topLinePunct w:val="0"/>
              <w:autoSpaceDE/>
              <w:autoSpaceDN w:val="0"/>
              <w:bidi w:val="0"/>
              <w:adjustRightInd/>
              <w:snapToGrid/>
              <w:spacing w:before="0" w:beforeLines="0" w:after="0" w:afterLines="0" w:line="240" w:lineRule="auto"/>
              <w:ind w:left="0" w:leftChars="0" w:right="0" w:rightChars="0" w:firstLine="0" w:firstLineChars="0"/>
              <w:jc w:val="both"/>
              <w:textAlignment w:val="center"/>
              <w:outlineLvl w:val="9"/>
              <w:rPr>
                <w:rFonts w:hint="eastAsia" w:ascii="宋体" w:hAnsi="宋体" w:eastAsia="宋体" w:cs="宋体"/>
                <w:sz w:val="18"/>
                <w:szCs w:val="18"/>
                <w:lang w:eastAsia="zh-CN"/>
              </w:rPr>
            </w:pPr>
            <w:r>
              <w:rPr>
                <w:rFonts w:hint="eastAsia" w:ascii="宋体" w:hAnsi="宋体" w:eastAsia="宋体" w:cs="宋体"/>
                <w:sz w:val="18"/>
                <w:szCs w:val="18"/>
                <w:lang w:eastAsia="zh-CN"/>
              </w:rPr>
              <w:t>因不履行或不正确履行行政职责，有下列情形，行政机关及相关工作人员应承担相应责任：</w:t>
            </w:r>
          </w:p>
          <w:p w14:paraId="7B6ABAF6">
            <w:pPr>
              <w:keepNext w:val="0"/>
              <w:keepLines w:val="0"/>
              <w:pageBreakBefore w:val="0"/>
              <w:widowControl w:val="0"/>
              <w:kinsoku/>
              <w:wordWrap/>
              <w:overflowPunct/>
              <w:topLinePunct w:val="0"/>
              <w:autoSpaceDE/>
              <w:autoSpaceDN w:val="0"/>
              <w:bidi w:val="0"/>
              <w:adjustRightInd/>
              <w:snapToGrid/>
              <w:spacing w:before="0" w:beforeLines="0" w:after="0" w:afterLines="0" w:line="240" w:lineRule="auto"/>
              <w:ind w:left="0" w:leftChars="0" w:right="0" w:rightChars="0" w:firstLine="0" w:firstLineChars="0"/>
              <w:jc w:val="both"/>
              <w:textAlignment w:val="center"/>
              <w:outlineLvl w:val="9"/>
              <w:rPr>
                <w:rFonts w:hint="eastAsia" w:ascii="宋体" w:hAnsi="宋体" w:eastAsia="宋体" w:cs="宋体"/>
                <w:sz w:val="18"/>
                <w:szCs w:val="18"/>
                <w:lang w:eastAsia="zh-CN"/>
              </w:rPr>
            </w:pPr>
            <w:r>
              <w:rPr>
                <w:rFonts w:hint="eastAsia" w:ascii="宋体" w:hAnsi="宋体" w:eastAsia="宋体" w:cs="宋体"/>
                <w:sz w:val="18"/>
                <w:szCs w:val="18"/>
                <w:lang w:eastAsia="zh-CN"/>
              </w:rPr>
              <w:t>违反规定条件和程序表彰的。</w:t>
            </w:r>
          </w:p>
          <w:p w14:paraId="08DBFA18">
            <w:pPr>
              <w:keepNext w:val="0"/>
              <w:keepLines w:val="0"/>
              <w:pageBreakBefore w:val="0"/>
              <w:widowControl w:val="0"/>
              <w:kinsoku/>
              <w:wordWrap/>
              <w:overflowPunct/>
              <w:topLinePunct w:val="0"/>
              <w:autoSpaceDE/>
              <w:autoSpaceDN w:val="0"/>
              <w:bidi w:val="0"/>
              <w:adjustRightInd/>
              <w:snapToGrid/>
              <w:spacing w:before="0" w:beforeLines="0" w:after="0" w:afterLines="0" w:line="240" w:lineRule="auto"/>
              <w:ind w:left="0" w:leftChars="0" w:right="0" w:rightChars="0" w:firstLine="0" w:firstLineChars="0"/>
              <w:jc w:val="both"/>
              <w:textAlignment w:val="center"/>
              <w:outlineLvl w:val="9"/>
              <w:rPr>
                <w:rFonts w:hint="eastAsia" w:ascii="宋体" w:hAnsi="宋体" w:eastAsia="宋体" w:cs="宋体"/>
                <w:sz w:val="18"/>
                <w:szCs w:val="18"/>
                <w:lang w:eastAsia="zh-CN"/>
              </w:rPr>
            </w:pPr>
            <w:r>
              <w:rPr>
                <w:rFonts w:hint="eastAsia" w:ascii="宋体" w:hAnsi="宋体" w:eastAsia="宋体" w:cs="宋体"/>
                <w:sz w:val="18"/>
                <w:szCs w:val="18"/>
                <w:lang w:eastAsia="zh-CN"/>
              </w:rPr>
              <w:t>工作人员滥用职权、徇私舞弊、玩忽职守的。</w:t>
            </w:r>
          </w:p>
          <w:p w14:paraId="55E4CB52">
            <w:pPr>
              <w:keepNext w:val="0"/>
              <w:keepLines w:val="0"/>
              <w:pageBreakBefore w:val="0"/>
              <w:widowControl w:val="0"/>
              <w:kinsoku/>
              <w:wordWrap/>
              <w:overflowPunct/>
              <w:topLinePunct w:val="0"/>
              <w:autoSpaceDE/>
              <w:autoSpaceDN w:val="0"/>
              <w:bidi w:val="0"/>
              <w:adjustRightInd/>
              <w:snapToGrid/>
              <w:spacing w:before="0" w:beforeLines="0" w:after="0" w:afterLines="0" w:line="240" w:lineRule="auto"/>
              <w:ind w:left="0" w:leftChars="0" w:right="0" w:rightChars="0" w:firstLine="0" w:firstLineChars="0"/>
              <w:jc w:val="both"/>
              <w:textAlignment w:val="center"/>
              <w:outlineLvl w:val="9"/>
              <w:rPr>
                <w:rFonts w:hint="eastAsia" w:ascii="宋体" w:hAnsi="宋体" w:eastAsia="宋体" w:cs="宋体"/>
                <w:sz w:val="18"/>
                <w:szCs w:val="18"/>
                <w:lang w:eastAsia="zh-CN"/>
              </w:rPr>
            </w:pPr>
            <w:r>
              <w:rPr>
                <w:rFonts w:hint="eastAsia" w:ascii="宋体" w:hAnsi="宋体" w:eastAsia="宋体" w:cs="宋体"/>
                <w:sz w:val="18"/>
                <w:szCs w:val="18"/>
                <w:lang w:eastAsia="zh-CN"/>
              </w:rPr>
              <w:t>工作人员索贿、受贿，谋取不正当利益的。</w:t>
            </w:r>
          </w:p>
          <w:p w14:paraId="6100108A">
            <w:pPr>
              <w:keepNext w:val="0"/>
              <w:keepLines w:val="0"/>
              <w:pageBreakBefore w:val="0"/>
              <w:widowControl w:val="0"/>
              <w:kinsoku/>
              <w:wordWrap/>
              <w:overflowPunct/>
              <w:topLinePunct w:val="0"/>
              <w:autoSpaceDE/>
              <w:autoSpaceDN w:val="0"/>
              <w:bidi w:val="0"/>
              <w:adjustRightInd/>
              <w:snapToGrid/>
              <w:spacing w:before="0" w:beforeLines="0" w:after="0" w:afterLines="0" w:line="240" w:lineRule="auto"/>
              <w:ind w:left="0" w:leftChars="0" w:right="0" w:rightChars="0" w:firstLine="0" w:firstLineChars="0"/>
              <w:jc w:val="both"/>
              <w:textAlignment w:val="center"/>
              <w:outlineLvl w:val="9"/>
              <w:rPr>
                <w:rFonts w:hint="eastAsia" w:ascii="宋体" w:hAnsi="宋体" w:eastAsia="宋体" w:cs="宋体"/>
                <w:sz w:val="18"/>
                <w:szCs w:val="18"/>
                <w:lang w:eastAsia="zh-CN"/>
              </w:rPr>
            </w:pPr>
            <w:r>
              <w:rPr>
                <w:rFonts w:hint="eastAsia" w:ascii="宋体" w:hAnsi="宋体" w:eastAsia="宋体" w:cs="宋体"/>
                <w:sz w:val="18"/>
                <w:szCs w:val="18"/>
                <w:lang w:eastAsia="zh-CN"/>
              </w:rPr>
              <w:t>4.其他违反法律法规规章文件规定的行为。</w:t>
            </w:r>
          </w:p>
          <w:p w14:paraId="5C6D2BB7">
            <w:pPr>
              <w:keepNext w:val="0"/>
              <w:keepLines w:val="0"/>
              <w:pageBreakBefore w:val="0"/>
              <w:widowControl w:val="0"/>
              <w:kinsoku/>
              <w:wordWrap/>
              <w:overflowPunct/>
              <w:topLinePunct w:val="0"/>
              <w:autoSpaceDE/>
              <w:autoSpaceDN w:val="0"/>
              <w:bidi w:val="0"/>
              <w:adjustRightInd/>
              <w:snapToGrid/>
              <w:spacing w:before="0" w:beforeLines="0" w:after="0" w:afterLines="0" w:line="240" w:lineRule="auto"/>
              <w:ind w:left="0" w:leftChars="0" w:right="0" w:rightChars="0" w:firstLine="0" w:firstLineChars="0"/>
              <w:jc w:val="both"/>
              <w:textAlignment w:val="center"/>
              <w:outlineLvl w:val="9"/>
              <w:rPr>
                <w:rFonts w:hint="eastAsia" w:ascii="宋体" w:hAnsi="宋体" w:eastAsia="宋体" w:cs="宋体"/>
                <w:sz w:val="18"/>
                <w:szCs w:val="18"/>
                <w:lang w:eastAsia="zh-CN"/>
              </w:rPr>
            </w:pPr>
          </w:p>
        </w:tc>
        <w:tc>
          <w:tcPr>
            <w:tcW w:w="680" w:type="dxa"/>
            <w:tcBorders>
              <w:top w:val="single" w:color="auto" w:sz="4" w:space="0"/>
              <w:left w:val="nil"/>
              <w:bottom w:val="single" w:color="auto" w:sz="4" w:space="0"/>
              <w:right w:val="single" w:color="auto" w:sz="4" w:space="0"/>
            </w:tcBorders>
            <w:shd w:val="clear" w:color="auto" w:fill="auto"/>
            <w:vAlign w:val="center"/>
          </w:tcPr>
          <w:p w14:paraId="0DE95AF1">
            <w:pPr>
              <w:adjustRightInd/>
              <w:snapToGrid/>
              <w:spacing w:after="0" w:line="240" w:lineRule="exact"/>
              <w:rPr>
                <w:rFonts w:hint="eastAsia" w:cs="宋体" w:asciiTheme="minorEastAsia" w:hAnsiTheme="minorEastAsia" w:eastAsiaTheme="minorEastAsia"/>
                <w:sz w:val="18"/>
                <w:szCs w:val="18"/>
              </w:rPr>
            </w:pPr>
          </w:p>
        </w:tc>
      </w:tr>
      <w:tr w14:paraId="42FE93BC">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4B0D4A5A">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34</w:t>
            </w:r>
          </w:p>
        </w:tc>
        <w:tc>
          <w:tcPr>
            <w:tcW w:w="1080" w:type="dxa"/>
            <w:tcBorders>
              <w:top w:val="single" w:color="auto" w:sz="4" w:space="0"/>
              <w:left w:val="nil"/>
              <w:bottom w:val="single" w:color="auto" w:sz="4" w:space="0"/>
              <w:right w:val="single" w:color="auto" w:sz="4" w:space="0"/>
            </w:tcBorders>
            <w:shd w:val="clear" w:color="auto" w:fill="auto"/>
            <w:vAlign w:val="center"/>
          </w:tcPr>
          <w:p w14:paraId="7B44344D">
            <w:pPr>
              <w:adjustRightInd/>
              <w:snapToGrid/>
              <w:spacing w:after="0" w:line="240" w:lineRule="exact"/>
              <w:jc w:val="center"/>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eastAsia="zh-CN"/>
              </w:rPr>
              <w:t>行政奖励</w:t>
            </w:r>
          </w:p>
        </w:tc>
        <w:tc>
          <w:tcPr>
            <w:tcW w:w="2460" w:type="dxa"/>
            <w:tcBorders>
              <w:top w:val="single" w:color="auto" w:sz="4" w:space="0"/>
              <w:left w:val="nil"/>
              <w:bottom w:val="single" w:color="auto" w:sz="4" w:space="0"/>
              <w:right w:val="single" w:color="auto" w:sz="4" w:space="0"/>
            </w:tcBorders>
            <w:shd w:val="clear" w:color="auto" w:fill="auto"/>
            <w:vAlign w:val="center"/>
          </w:tcPr>
          <w:p w14:paraId="5B314A78">
            <w:pPr>
              <w:adjustRightInd/>
              <w:snapToGrid/>
              <w:spacing w:after="0" w:line="240" w:lineRule="exact"/>
              <w:jc w:val="both"/>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对举报重大劳动保障违法行为的奖励</w:t>
            </w:r>
          </w:p>
        </w:tc>
        <w:tc>
          <w:tcPr>
            <w:tcW w:w="1180" w:type="dxa"/>
            <w:tcBorders>
              <w:top w:val="single" w:color="auto" w:sz="4" w:space="0"/>
              <w:left w:val="nil"/>
              <w:bottom w:val="single" w:color="auto" w:sz="4" w:space="0"/>
              <w:right w:val="single" w:color="auto" w:sz="4" w:space="0"/>
            </w:tcBorders>
            <w:shd w:val="clear" w:color="auto" w:fill="auto"/>
            <w:vAlign w:val="center"/>
          </w:tcPr>
          <w:p w14:paraId="39359399">
            <w:pPr>
              <w:adjustRightInd/>
              <w:snapToGrid/>
              <w:spacing w:after="0" w:line="240" w:lineRule="exact"/>
              <w:jc w:val="center"/>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eastAsia="zh-CN"/>
              </w:rPr>
              <w:t>县人社局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44A96FFC">
            <w:pPr>
              <w:adjustRightInd/>
              <w:snapToGrid/>
              <w:spacing w:after="0" w:line="240" w:lineRule="exact"/>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eastAsia="zh-CN"/>
              </w:rPr>
              <w:t>《劳动保障监察条例》（</w:t>
            </w:r>
            <w:r>
              <w:rPr>
                <w:rFonts w:hint="eastAsia" w:cs="宋体" w:asciiTheme="minorEastAsia" w:hAnsiTheme="minorEastAsia" w:eastAsiaTheme="minorEastAsia"/>
                <w:sz w:val="18"/>
                <w:szCs w:val="18"/>
                <w:lang w:val="en-US" w:eastAsia="zh-CN"/>
              </w:rPr>
              <w:t>2004年11月1日国务院令第423号</w:t>
            </w:r>
            <w:r>
              <w:rPr>
                <w:rFonts w:hint="eastAsia" w:cs="宋体" w:asciiTheme="minorEastAsia" w:hAnsiTheme="minorEastAsia" w:eastAsiaTheme="minorEastAsia"/>
                <w:sz w:val="18"/>
                <w:szCs w:val="18"/>
                <w:lang w:eastAsia="zh-CN"/>
              </w:rPr>
              <w:t>）第九条：任何组织或者个人对违反劳动保障法律、法规或者规章的行为,有权向劳动保障行政部门举报。</w:t>
            </w:r>
          </w:p>
          <w:p w14:paraId="505DAD79">
            <w:pPr>
              <w:adjustRightInd/>
              <w:snapToGrid/>
              <w:spacing w:after="0" w:line="240" w:lineRule="exact"/>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eastAsia="zh-CN"/>
              </w:rPr>
              <w:t>劳动者认为用人单位侵犯其劳动保障合法权益的,有权向劳动保障行政部门投诉。</w:t>
            </w:r>
          </w:p>
          <w:p w14:paraId="7BF8EC96">
            <w:pPr>
              <w:adjustRightInd/>
              <w:snapToGrid/>
              <w:spacing w:after="0" w:line="240" w:lineRule="exact"/>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eastAsia="zh-CN"/>
              </w:rPr>
              <w:t>劳动保障行政部门应当为举报人保密；对举报属实,为查处重大违反劳动保障法律、法规或者规章的行为提供主要线索和证据的举报人,给予奖励。</w:t>
            </w:r>
          </w:p>
        </w:tc>
        <w:tc>
          <w:tcPr>
            <w:tcW w:w="2260" w:type="dxa"/>
            <w:tcBorders>
              <w:top w:val="single" w:color="auto" w:sz="4" w:space="0"/>
              <w:left w:val="nil"/>
              <w:bottom w:val="single" w:color="auto" w:sz="4" w:space="0"/>
              <w:right w:val="single" w:color="auto" w:sz="4" w:space="0"/>
            </w:tcBorders>
            <w:shd w:val="clear" w:color="auto" w:fill="auto"/>
            <w:vAlign w:val="center"/>
          </w:tcPr>
          <w:p w14:paraId="140C8723">
            <w:pPr>
              <w:adjustRightInd/>
              <w:snapToGrid/>
              <w:spacing w:after="0" w:line="240" w:lineRule="exact"/>
              <w:rPr>
                <w:rFonts w:ascii="宋体" w:hAnsi="宋体" w:eastAsia="宋体" w:cs="宋体"/>
                <w:color w:val="000000" w:themeColor="text1"/>
                <w:sz w:val="18"/>
                <w:szCs w:val="18"/>
                <w14:textFill>
                  <w14:solidFill>
                    <w14:schemeClr w14:val="tx1"/>
                  </w14:solidFill>
                </w14:textFill>
              </w:rPr>
            </w:pPr>
            <w:r>
              <w:rPr>
                <w:rFonts w:ascii="宋体" w:hAnsi="宋体" w:eastAsia="宋体" w:cs="宋体"/>
                <w:color w:val="000000" w:themeColor="text1"/>
                <w:sz w:val="18"/>
                <w:szCs w:val="18"/>
                <w14:textFill>
                  <w14:solidFill>
                    <w14:schemeClr w14:val="tx1"/>
                  </w14:solidFill>
                </w14:textFill>
              </w:rPr>
              <w:t>1</w:t>
            </w:r>
            <w:r>
              <w:rPr>
                <w:rFonts w:hint="eastAsia" w:ascii="宋体" w:hAnsi="宋体" w:eastAsia="宋体" w:cs="宋体"/>
                <w:color w:val="000000" w:themeColor="text1"/>
                <w:sz w:val="18"/>
                <w:szCs w:val="18"/>
                <w14:textFill>
                  <w14:solidFill>
                    <w14:schemeClr w14:val="tx1"/>
                  </w14:solidFill>
                </w14:textFill>
              </w:rPr>
              <w:t>、制定方案责任：对举报人举报内容进行登记</w:t>
            </w:r>
            <w:r>
              <w:rPr>
                <w:rFonts w:ascii="宋体" w:hAnsi="宋体" w:eastAsia="宋体" w:cs="宋体"/>
                <w:color w:val="000000" w:themeColor="text1"/>
                <w:sz w:val="18"/>
                <w:szCs w:val="18"/>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对举报内容依法依规进行调查，对确实违法劳动保障法律法规的行为进行立案查处，对不符合立案条件的不予受理，将调查结果反馈至举报人。</w:t>
            </w:r>
          </w:p>
          <w:p w14:paraId="1A07A4D8">
            <w:pPr>
              <w:adjustRightInd/>
              <w:snapToGrid/>
              <w:spacing w:after="0" w:line="240" w:lineRule="exact"/>
              <w:rPr>
                <w:rFonts w:ascii="宋体" w:hAnsi="宋体" w:eastAsia="宋体" w:cs="宋体"/>
                <w:color w:val="000000" w:themeColor="text1"/>
                <w:sz w:val="18"/>
                <w:szCs w:val="18"/>
                <w14:textFill>
                  <w14:solidFill>
                    <w14:schemeClr w14:val="tx1"/>
                  </w14:solidFill>
                </w14:textFill>
              </w:rPr>
            </w:pPr>
            <w:r>
              <w:rPr>
                <w:rFonts w:ascii="宋体" w:hAnsi="宋体" w:eastAsia="宋体" w:cs="宋体"/>
                <w:color w:val="000000" w:themeColor="text1"/>
                <w:sz w:val="18"/>
                <w:szCs w:val="18"/>
                <w14:textFill>
                  <w14:solidFill>
                    <w14:schemeClr w14:val="tx1"/>
                  </w14:solidFill>
                </w14:textFill>
              </w:rPr>
              <w:t>2</w:t>
            </w:r>
            <w:r>
              <w:rPr>
                <w:rFonts w:hint="eastAsia" w:ascii="宋体" w:hAnsi="宋体" w:eastAsia="宋体" w:cs="宋体"/>
                <w:color w:val="000000" w:themeColor="text1"/>
                <w:sz w:val="18"/>
                <w:szCs w:val="18"/>
                <w14:textFill>
                  <w14:solidFill>
                    <w14:schemeClr w14:val="tx1"/>
                  </w14:solidFill>
                </w14:textFill>
              </w:rPr>
              <w:t>、组织推荐责任</w:t>
            </w:r>
            <w:r>
              <w:rPr>
                <w:rFonts w:ascii="宋体" w:hAnsi="宋体" w:eastAsia="宋体" w:cs="宋体"/>
                <w:color w:val="000000" w:themeColor="text1"/>
                <w:sz w:val="18"/>
                <w:szCs w:val="18"/>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对符合奖励条件的对符合条件的报上级领导审批</w:t>
            </w:r>
            <w:r>
              <w:rPr>
                <w:rFonts w:ascii="宋体" w:hAnsi="宋体" w:eastAsia="宋体" w:cs="宋体"/>
                <w:color w:val="000000" w:themeColor="text1"/>
                <w:sz w:val="18"/>
                <w:szCs w:val="18"/>
                <w14:textFill>
                  <w14:solidFill>
                    <w14:schemeClr w14:val="tx1"/>
                  </w14:solidFill>
                </w14:textFill>
              </w:rPr>
              <w:t>,</w:t>
            </w:r>
            <w:r>
              <w:rPr>
                <w:rFonts w:hint="eastAsia" w:ascii="宋体" w:hAnsi="宋体" w:eastAsia="宋体" w:cs="宋体"/>
                <w:color w:val="000000" w:themeColor="text1"/>
                <w:sz w:val="18"/>
                <w:szCs w:val="18"/>
                <w14:textFill>
                  <w14:solidFill>
                    <w14:schemeClr w14:val="tx1"/>
                  </w14:solidFill>
                </w14:textFill>
              </w:rPr>
              <w:t>同时报送市局备案。</w:t>
            </w:r>
          </w:p>
          <w:p w14:paraId="76E2A6D1">
            <w:pPr>
              <w:adjustRightInd/>
              <w:snapToGrid/>
              <w:spacing w:after="0" w:line="240" w:lineRule="exact"/>
              <w:rPr>
                <w:rFonts w:ascii="宋体" w:hAnsi="宋体" w:eastAsia="宋体" w:cs="宋体"/>
                <w:color w:val="000000" w:themeColor="text1"/>
                <w:sz w:val="18"/>
                <w:szCs w:val="18"/>
                <w14:textFill>
                  <w14:solidFill>
                    <w14:schemeClr w14:val="tx1"/>
                  </w14:solidFill>
                </w14:textFill>
              </w:rPr>
            </w:pPr>
            <w:r>
              <w:rPr>
                <w:rFonts w:ascii="宋体" w:hAnsi="宋体" w:eastAsia="宋体" w:cs="宋体"/>
                <w:color w:val="000000" w:themeColor="text1"/>
                <w:sz w:val="18"/>
                <w:szCs w:val="18"/>
                <w14:textFill>
                  <w14:solidFill>
                    <w14:schemeClr w14:val="tx1"/>
                  </w14:solidFill>
                </w14:textFill>
              </w:rPr>
              <w:t>3</w:t>
            </w:r>
            <w:r>
              <w:rPr>
                <w:rFonts w:hint="eastAsia" w:ascii="宋体" w:hAnsi="宋体" w:eastAsia="宋体" w:cs="宋体"/>
                <w:color w:val="000000" w:themeColor="text1"/>
                <w:sz w:val="18"/>
                <w:szCs w:val="18"/>
                <w14:textFill>
                  <w14:solidFill>
                    <w14:schemeClr w14:val="tx1"/>
                  </w14:solidFill>
                </w14:textFill>
              </w:rPr>
              <w:t>、审核公示责任：审批通过后，在对举报人身份进行保密的情况下进行审核公示。</w:t>
            </w:r>
          </w:p>
          <w:p w14:paraId="33386115">
            <w:pPr>
              <w:adjustRightInd/>
              <w:snapToGrid/>
              <w:spacing w:after="0" w:line="240" w:lineRule="exact"/>
              <w:rPr>
                <w:rFonts w:ascii="宋体" w:hAnsi="宋体" w:eastAsia="宋体" w:cs="宋体"/>
                <w:color w:val="000000" w:themeColor="text1"/>
                <w:sz w:val="18"/>
                <w:szCs w:val="18"/>
                <w14:textFill>
                  <w14:solidFill>
                    <w14:schemeClr w14:val="tx1"/>
                  </w14:solidFill>
                </w14:textFill>
              </w:rPr>
            </w:pPr>
            <w:r>
              <w:rPr>
                <w:rFonts w:ascii="宋体" w:hAnsi="宋体" w:eastAsia="宋体" w:cs="宋体"/>
                <w:color w:val="000000" w:themeColor="text1"/>
                <w:sz w:val="18"/>
                <w:szCs w:val="18"/>
                <w14:textFill>
                  <w14:solidFill>
                    <w14:schemeClr w14:val="tx1"/>
                  </w14:solidFill>
                </w14:textFill>
              </w:rPr>
              <w:t>4</w:t>
            </w:r>
            <w:r>
              <w:rPr>
                <w:rFonts w:hint="eastAsia" w:ascii="宋体" w:hAnsi="宋体" w:eastAsia="宋体" w:cs="宋体"/>
                <w:color w:val="000000" w:themeColor="text1"/>
                <w:sz w:val="18"/>
                <w:szCs w:val="18"/>
                <w14:textFill>
                  <w14:solidFill>
                    <w14:schemeClr w14:val="tx1"/>
                  </w14:solidFill>
                </w14:textFill>
              </w:rPr>
              <w:t>、表彰责任：行政奖励决定书在宣告后当场交付当事人。</w:t>
            </w:r>
          </w:p>
          <w:p w14:paraId="49D35635">
            <w:pPr>
              <w:numPr>
                <w:ilvl w:val="0"/>
                <w:numId w:val="0"/>
              </w:numPr>
              <w:adjustRightInd/>
              <w:snapToGrid/>
              <w:spacing w:after="0" w:line="240" w:lineRule="exact"/>
              <w:rPr>
                <w:rFonts w:hint="eastAsia" w:cs="宋体" w:asciiTheme="minorEastAsia" w:hAnsiTheme="minorEastAsia" w:eastAsiaTheme="minorEastAsia"/>
                <w:sz w:val="18"/>
                <w:szCs w:val="18"/>
                <w:lang w:eastAsia="zh-CN"/>
              </w:rPr>
            </w:pPr>
            <w:r>
              <w:rPr>
                <w:rFonts w:ascii="宋体" w:hAnsi="宋体" w:eastAsia="宋体" w:cs="宋体"/>
                <w:color w:val="000000" w:themeColor="text1"/>
                <w:sz w:val="18"/>
                <w:szCs w:val="18"/>
                <w14:textFill>
                  <w14:solidFill>
                    <w14:schemeClr w14:val="tx1"/>
                  </w14:solidFill>
                </w14:textFill>
              </w:rPr>
              <w:t>5.</w:t>
            </w:r>
            <w:r>
              <w:rPr>
                <w:rFonts w:hint="eastAsia" w:ascii="宋体" w:hAnsi="宋体" w:eastAsia="宋体" w:cs="宋体"/>
                <w:color w:val="000000" w:themeColor="text1"/>
                <w:sz w:val="18"/>
                <w:szCs w:val="18"/>
                <w14:textFill>
                  <w14:solidFill>
                    <w14:schemeClr w14:val="tx1"/>
                  </w14:solidFill>
                </w14:textFill>
              </w:rPr>
              <w:t>其他法律法规或文件规定应履行的责任。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21BA3F42">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因不履行或不正确履行行政职责，有下列情形的，行政机关及相关工作人员应承担相应责任：</w:t>
            </w:r>
            <w:r>
              <w:rPr>
                <w:rFonts w:hint="eastAsia" w:cs="宋体" w:asciiTheme="minorEastAsia" w:hAnsiTheme="minorEastAsia" w:eastAsiaTheme="minorEastAsia"/>
                <w:sz w:val="18"/>
                <w:szCs w:val="18"/>
              </w:rPr>
              <w:br w:type="textWrapping"/>
            </w:r>
            <w:r>
              <w:rPr>
                <w:rFonts w:hint="eastAsia" w:cs="宋体" w:asciiTheme="minorEastAsia" w:hAnsiTheme="minorEastAsia" w:eastAsiaTheme="minorEastAsia"/>
                <w:sz w:val="18"/>
                <w:szCs w:val="18"/>
              </w:rPr>
              <w:t>1.符合法定条件未受理、未办理的情形；</w:t>
            </w:r>
            <w:r>
              <w:rPr>
                <w:rFonts w:hint="eastAsia" w:cs="宋体" w:asciiTheme="minorEastAsia" w:hAnsiTheme="minorEastAsia" w:eastAsiaTheme="minorEastAsia"/>
                <w:sz w:val="18"/>
                <w:szCs w:val="18"/>
              </w:rPr>
              <w:br w:type="textWrapping"/>
            </w:r>
            <w:r>
              <w:rPr>
                <w:rFonts w:hint="eastAsia" w:cs="宋体" w:asciiTheme="minorEastAsia" w:hAnsiTheme="minorEastAsia" w:eastAsiaTheme="minorEastAsia"/>
                <w:sz w:val="18"/>
                <w:szCs w:val="18"/>
              </w:rPr>
              <w:t>2.不符合法定条件受理、办理的情形；</w:t>
            </w:r>
            <w:r>
              <w:rPr>
                <w:rFonts w:hint="eastAsia" w:cs="宋体" w:asciiTheme="minorEastAsia" w:hAnsiTheme="minorEastAsia" w:eastAsiaTheme="minorEastAsia"/>
                <w:sz w:val="18"/>
                <w:szCs w:val="18"/>
              </w:rPr>
              <w:br w:type="textWrapping"/>
            </w:r>
            <w:r>
              <w:rPr>
                <w:rFonts w:hint="eastAsia" w:cs="宋体" w:asciiTheme="minorEastAsia" w:hAnsiTheme="minorEastAsia" w:eastAsiaTheme="minorEastAsia"/>
                <w:sz w:val="18"/>
                <w:szCs w:val="18"/>
              </w:rPr>
              <w:t>3.在行政权力行使过程中的失职、渎职情形；</w:t>
            </w:r>
            <w:r>
              <w:rPr>
                <w:rFonts w:hint="eastAsia" w:cs="宋体" w:asciiTheme="minorEastAsia" w:hAnsiTheme="minorEastAsia" w:eastAsiaTheme="minorEastAsia"/>
                <w:sz w:val="18"/>
                <w:szCs w:val="18"/>
              </w:rPr>
              <w:br w:type="textWrapping"/>
            </w:r>
            <w:r>
              <w:rPr>
                <w:rFonts w:hint="eastAsia" w:cs="宋体" w:asciiTheme="minorEastAsia" w:hAnsiTheme="minorEastAsia" w:eastAsiaTheme="minorEastAsia"/>
                <w:sz w:val="18"/>
                <w:szCs w:val="18"/>
              </w:rPr>
              <w:t>4.出现徇私舞弊谋取不正当利益的情形；</w:t>
            </w:r>
            <w:r>
              <w:rPr>
                <w:rFonts w:hint="eastAsia" w:cs="宋体" w:asciiTheme="minorEastAsia" w:hAnsiTheme="minorEastAsia" w:eastAsiaTheme="minorEastAsia"/>
                <w:sz w:val="18"/>
                <w:szCs w:val="18"/>
              </w:rPr>
              <w:br w:type="textWrapping"/>
            </w:r>
            <w:r>
              <w:rPr>
                <w:rFonts w:hint="eastAsia" w:cs="宋体" w:asciiTheme="minorEastAsia" w:hAnsiTheme="minorEastAsia" w:eastAsiaTheme="minorEastAsia"/>
                <w:sz w:val="18"/>
                <w:szCs w:val="18"/>
              </w:rPr>
              <w:t>5.其他违反法律法规规章文件规定的行为。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2F937AF3">
            <w:pPr>
              <w:adjustRightInd/>
              <w:snapToGrid/>
              <w:spacing w:after="0" w:line="240" w:lineRule="exact"/>
              <w:rPr>
                <w:rFonts w:hint="eastAsia" w:cs="宋体" w:asciiTheme="minorEastAsia" w:hAnsiTheme="minorEastAsia" w:eastAsiaTheme="minorEastAsia"/>
                <w:sz w:val="18"/>
                <w:szCs w:val="18"/>
              </w:rPr>
            </w:pPr>
          </w:p>
        </w:tc>
      </w:tr>
      <w:tr w14:paraId="302F961A">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2D8A80D6">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35</w:t>
            </w:r>
          </w:p>
        </w:tc>
        <w:tc>
          <w:tcPr>
            <w:tcW w:w="1080" w:type="dxa"/>
            <w:tcBorders>
              <w:top w:val="single" w:color="auto" w:sz="4" w:space="0"/>
              <w:left w:val="nil"/>
              <w:bottom w:val="single" w:color="auto" w:sz="4" w:space="0"/>
              <w:right w:val="single" w:color="auto" w:sz="4" w:space="0"/>
            </w:tcBorders>
            <w:shd w:val="clear" w:color="auto" w:fill="auto"/>
            <w:vAlign w:val="center"/>
          </w:tcPr>
          <w:p w14:paraId="3B7E18A1">
            <w:pPr>
              <w:keepNext w:val="0"/>
              <w:keepLines w:val="0"/>
              <w:widowControl/>
              <w:suppressLineNumbers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宋体"/>
                <w:i w:val="0"/>
                <w:color w:val="000000"/>
                <w:kern w:val="0"/>
                <w:sz w:val="18"/>
                <w:szCs w:val="18"/>
                <w:u w:val="none"/>
                <w:lang w:val="en-US" w:eastAsia="zh-CN" w:bidi="ar"/>
              </w:rPr>
              <w:t>行政奖励</w:t>
            </w:r>
          </w:p>
        </w:tc>
        <w:tc>
          <w:tcPr>
            <w:tcW w:w="2460" w:type="dxa"/>
            <w:tcBorders>
              <w:top w:val="single" w:color="auto" w:sz="4" w:space="0"/>
              <w:left w:val="nil"/>
              <w:bottom w:val="single" w:color="auto" w:sz="4" w:space="0"/>
              <w:right w:val="single" w:color="auto" w:sz="4" w:space="0"/>
            </w:tcBorders>
            <w:shd w:val="clear" w:color="auto" w:fill="auto"/>
            <w:vAlign w:val="center"/>
          </w:tcPr>
          <w:p w14:paraId="3EC1D7F1">
            <w:pPr>
              <w:keepNext w:val="0"/>
              <w:keepLines w:val="0"/>
              <w:widowControl/>
              <w:suppressLineNumbers w:val="0"/>
              <w:jc w:val="center"/>
              <w:textAlignment w:val="center"/>
              <w:rPr>
                <w:rFonts w:hint="eastAsia" w:cs="宋体" w:asciiTheme="minorEastAsia" w:hAnsiTheme="minorEastAsia" w:eastAsiaTheme="minorEastAsia"/>
                <w:sz w:val="18"/>
                <w:szCs w:val="18"/>
              </w:rPr>
            </w:pPr>
            <w:r>
              <w:rPr>
                <w:rFonts w:hint="eastAsia" w:ascii="宋体" w:hAnsi="宋体" w:eastAsia="宋体" w:cs="宋体"/>
                <w:i w:val="0"/>
                <w:color w:val="000000"/>
                <w:kern w:val="0"/>
                <w:sz w:val="18"/>
                <w:szCs w:val="18"/>
                <w:u w:val="none"/>
                <w:lang w:val="en-US" w:eastAsia="zh-CN" w:bidi="ar"/>
              </w:rPr>
              <w:t>事业单位人才奖励的评选表彰</w:t>
            </w:r>
          </w:p>
        </w:tc>
        <w:tc>
          <w:tcPr>
            <w:tcW w:w="1180" w:type="dxa"/>
            <w:tcBorders>
              <w:top w:val="single" w:color="auto" w:sz="4" w:space="0"/>
              <w:left w:val="nil"/>
              <w:bottom w:val="single" w:color="auto" w:sz="4" w:space="0"/>
              <w:right w:val="single" w:color="auto" w:sz="4" w:space="0"/>
            </w:tcBorders>
            <w:shd w:val="clear" w:color="auto" w:fill="auto"/>
            <w:vAlign w:val="center"/>
          </w:tcPr>
          <w:p w14:paraId="27C3FC85">
            <w:pPr>
              <w:keepNext w:val="0"/>
              <w:keepLines w:val="0"/>
              <w:widowControl/>
              <w:suppressLineNumbers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宋体"/>
                <w:i w:val="0"/>
                <w:color w:val="000000"/>
                <w:kern w:val="0"/>
                <w:sz w:val="18"/>
                <w:szCs w:val="18"/>
                <w:u w:val="none"/>
                <w:lang w:val="en-US" w:eastAsia="zh-CN" w:bidi="ar"/>
              </w:rPr>
              <w:t>县人社局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732D5A22">
            <w:pPr>
              <w:keepNext w:val="0"/>
              <w:keepLines w:val="0"/>
              <w:widowControl/>
              <w:suppressLineNumbers w:val="0"/>
              <w:jc w:val="left"/>
              <w:textAlignment w:val="center"/>
              <w:rPr>
                <w:rFonts w:hint="eastAsia" w:cs="宋体" w:asciiTheme="minorEastAsia" w:hAnsiTheme="minorEastAsia" w:eastAsiaTheme="minorEastAsia"/>
                <w:sz w:val="18"/>
                <w:szCs w:val="18"/>
                <w:lang w:eastAsia="zh-CN"/>
              </w:rPr>
            </w:pPr>
            <w:r>
              <w:rPr>
                <w:rFonts w:hint="eastAsia" w:ascii="宋体" w:hAnsi="宋体" w:eastAsia="宋体" w:cs="宋体"/>
                <w:i w:val="0"/>
                <w:color w:val="000000"/>
                <w:kern w:val="0"/>
                <w:sz w:val="18"/>
                <w:szCs w:val="18"/>
                <w:u w:val="none"/>
                <w:lang w:val="en-US" w:eastAsia="zh-CN" w:bidi="ar"/>
              </w:rPr>
              <w:t>《河北省评比达标表彰活动管理实施细则》的通知冀办发〔2019〕3号</w:t>
            </w:r>
          </w:p>
        </w:tc>
        <w:tc>
          <w:tcPr>
            <w:tcW w:w="2260" w:type="dxa"/>
            <w:tcBorders>
              <w:top w:val="single" w:color="auto" w:sz="4" w:space="0"/>
              <w:left w:val="nil"/>
              <w:bottom w:val="single" w:color="auto" w:sz="4" w:space="0"/>
              <w:right w:val="single" w:color="auto" w:sz="4" w:space="0"/>
            </w:tcBorders>
            <w:shd w:val="clear" w:color="auto" w:fill="auto"/>
            <w:vAlign w:val="center"/>
          </w:tcPr>
          <w:p w14:paraId="73696514">
            <w:pPr>
              <w:numPr>
                <w:ilvl w:val="0"/>
                <w:numId w:val="0"/>
              </w:num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lang w:val="en-US" w:eastAsia="zh-CN"/>
                <w14:textFill>
                  <w14:solidFill>
                    <w14:schemeClr w14:val="tx1"/>
                  </w14:solidFill>
                </w14:textFill>
              </w:rPr>
              <w:t>1.</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制定方案责任：按管理权限制定并报请方案审批后，下达表彰计划。</w:t>
            </w:r>
          </w:p>
          <w:p w14:paraId="6BC887DE">
            <w:pPr>
              <w:numPr>
                <w:ilvl w:val="0"/>
                <w:numId w:val="0"/>
              </w:num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lang w:val="en-US" w:eastAsia="zh-CN"/>
                <w14:textFill>
                  <w14:solidFill>
                    <w14:schemeClr w14:val="tx1"/>
                  </w14:solidFill>
                </w14:textFill>
              </w:rPr>
              <w:t>2.组织推荐</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责任：将计划数额下达到各单位，在政策规定条件内由相关部门按政策组织表彰活动。</w:t>
            </w:r>
          </w:p>
          <w:p w14:paraId="4D827308">
            <w:pPr>
              <w:numPr>
                <w:ilvl w:val="0"/>
                <w:numId w:val="0"/>
              </w:num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lang w:val="en-US" w:eastAsia="zh-CN"/>
                <w14:textFill>
                  <w14:solidFill>
                    <w14:schemeClr w14:val="tx1"/>
                  </w14:solidFill>
                </w14:textFill>
              </w:rPr>
              <w:t>3.</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审核公示责任：对各部门计划申报工作进行审核业务指导，公示依规定应提交的资料，资料不全者退回单位补充相关资料，错报资料的提出纠正意见，对不符合规定的不予受理。</w:t>
            </w:r>
          </w:p>
          <w:p w14:paraId="43B335BC">
            <w:pPr>
              <w:numPr>
                <w:ilvl w:val="0"/>
                <w:numId w:val="0"/>
              </w:num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lang w:val="en-US" w:eastAsia="zh-CN"/>
                <w14:textFill>
                  <w14:solidFill>
                    <w14:schemeClr w14:val="tx1"/>
                  </w14:solidFill>
                </w14:textFill>
              </w:rPr>
              <w:t>4.</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表彰责任：在政策规定条件内受理表彰。</w:t>
            </w:r>
          </w:p>
          <w:p w14:paraId="0C9300A1">
            <w:pPr>
              <w:numPr>
                <w:ilvl w:val="0"/>
                <w:numId w:val="0"/>
              </w:numPr>
              <w:adjustRightInd/>
              <w:snapToGrid/>
              <w:spacing w:after="0" w:line="240" w:lineRule="exact"/>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color w:val="000000" w:themeColor="text1"/>
                <w:sz w:val="18"/>
                <w:szCs w:val="18"/>
                <w:lang w:val="en-US" w:eastAsia="zh-CN"/>
                <w14:textFill>
                  <w14:solidFill>
                    <w14:schemeClr w14:val="tx1"/>
                  </w14:solidFill>
                </w14:textFill>
              </w:rPr>
              <w:t>5.</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其他法律法规或文件规定应履行的责任。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259FC42A">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因不履行或不正确履行行政职责，有下列情形，行政机关及相关工作人员应承担相应责任：</w:t>
            </w:r>
          </w:p>
          <w:p w14:paraId="5757A0E7">
            <w:pPr>
              <w:numPr>
                <w:ilvl w:val="0"/>
                <w:numId w:val="2"/>
              </w:num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违反规定条件和程序表彰的。</w:t>
            </w:r>
          </w:p>
          <w:p w14:paraId="6E406CE1">
            <w:pPr>
              <w:numPr>
                <w:ilvl w:val="0"/>
                <w:numId w:val="2"/>
              </w:num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工作人员滥用职权、徇私舞弊、玩忽职守的。</w:t>
            </w:r>
          </w:p>
          <w:p w14:paraId="5FC9C490">
            <w:pPr>
              <w:numPr>
                <w:ilvl w:val="0"/>
                <w:numId w:val="2"/>
              </w:num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工作人员索贿、受贿，谋取不正当利益的。</w:t>
            </w:r>
          </w:p>
          <w:p w14:paraId="1E8EB1D7">
            <w:pPr>
              <w:numPr>
                <w:ilvl w:val="0"/>
                <w:numId w:val="0"/>
              </w:num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4.其他违反法律法规规章文件规定的行为。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69BA88DC">
            <w:pPr>
              <w:adjustRightInd/>
              <w:snapToGrid/>
              <w:spacing w:after="0" w:line="240" w:lineRule="exact"/>
              <w:rPr>
                <w:rFonts w:hint="eastAsia" w:cs="宋体" w:asciiTheme="minorEastAsia" w:hAnsiTheme="minorEastAsia" w:eastAsiaTheme="minorEastAsia"/>
                <w:sz w:val="18"/>
                <w:szCs w:val="18"/>
              </w:rPr>
            </w:pPr>
          </w:p>
        </w:tc>
      </w:tr>
      <w:tr w14:paraId="7670B7AF">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7CC879E1">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36</w:t>
            </w:r>
          </w:p>
        </w:tc>
        <w:tc>
          <w:tcPr>
            <w:tcW w:w="1080" w:type="dxa"/>
            <w:tcBorders>
              <w:top w:val="single" w:color="auto" w:sz="4" w:space="0"/>
              <w:left w:val="nil"/>
              <w:bottom w:val="single" w:color="auto" w:sz="4" w:space="0"/>
              <w:right w:val="single" w:color="auto" w:sz="4" w:space="0"/>
            </w:tcBorders>
            <w:shd w:val="clear" w:color="auto" w:fill="auto"/>
            <w:vAlign w:val="center"/>
          </w:tcPr>
          <w:p w14:paraId="5409B055">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行政奖励</w:t>
            </w:r>
          </w:p>
        </w:tc>
        <w:tc>
          <w:tcPr>
            <w:tcW w:w="2460" w:type="dxa"/>
            <w:tcBorders>
              <w:top w:val="single" w:color="auto" w:sz="4" w:space="0"/>
              <w:left w:val="nil"/>
              <w:bottom w:val="single" w:color="auto" w:sz="4" w:space="0"/>
              <w:right w:val="single" w:color="auto" w:sz="4" w:space="0"/>
            </w:tcBorders>
            <w:shd w:val="clear" w:color="auto" w:fill="auto"/>
            <w:vAlign w:val="center"/>
          </w:tcPr>
          <w:p w14:paraId="175606C9">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河北省政府特殊津贴专家选拔</w:t>
            </w:r>
          </w:p>
        </w:tc>
        <w:tc>
          <w:tcPr>
            <w:tcW w:w="1180" w:type="dxa"/>
            <w:tcBorders>
              <w:top w:val="single" w:color="auto" w:sz="4" w:space="0"/>
              <w:left w:val="nil"/>
              <w:bottom w:val="single" w:color="auto" w:sz="4" w:space="0"/>
              <w:right w:val="single" w:color="auto" w:sz="4" w:space="0"/>
            </w:tcBorders>
            <w:shd w:val="clear" w:color="auto" w:fill="auto"/>
            <w:vAlign w:val="center"/>
          </w:tcPr>
          <w:p w14:paraId="0E0CBA18">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Theme="minorEastAsia" w:hAnsiTheme="minorEastAsia" w:eastAsiaTheme="minorEastAsia" w:cstheme="minorEastAsia"/>
                <w:sz w:val="18"/>
                <w:szCs w:val="18"/>
                <w:lang w:eastAsia="zh-CN"/>
              </w:rPr>
              <w:t>县</w:t>
            </w:r>
            <w:r>
              <w:rPr>
                <w:rFonts w:hint="eastAsia" w:asciiTheme="minorEastAsia" w:hAnsiTheme="minorEastAsia" w:eastAsiaTheme="minorEastAsia" w:cs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287DD17E">
            <w:pPr>
              <w:keepNext w:val="0"/>
              <w:keepLines w:val="0"/>
              <w:widowControl/>
              <w:suppressLineNumbers w:val="0"/>
              <w:jc w:val="center"/>
              <w:textAlignment w:val="center"/>
              <w:rPr>
                <w:rFonts w:hint="eastAsia" w:cs="宋体" w:asciiTheme="minorEastAsia" w:hAnsiTheme="minorEastAsia" w:eastAsiaTheme="minorEastAsia"/>
                <w:sz w:val="18"/>
                <w:szCs w:val="18"/>
                <w:lang w:eastAsia="zh-CN"/>
              </w:rPr>
            </w:pPr>
            <w:r>
              <w:rPr>
                <w:rFonts w:hint="eastAsia" w:asciiTheme="majorEastAsia" w:hAnsiTheme="majorEastAsia" w:eastAsiaTheme="majorEastAsia" w:cstheme="majorEastAsia"/>
                <w:i w:val="0"/>
                <w:color w:val="000000"/>
                <w:kern w:val="0"/>
                <w:sz w:val="18"/>
                <w:szCs w:val="18"/>
                <w:u w:val="none"/>
                <w:lang w:val="en-US" w:eastAsia="zh-CN" w:bidi="ar"/>
              </w:rPr>
              <w:t>河北省人力资源和社会保障厅关于开展</w:t>
            </w:r>
            <w:r>
              <w:rPr>
                <w:rStyle w:val="23"/>
                <w:rFonts w:hint="eastAsia" w:asciiTheme="majorEastAsia" w:hAnsiTheme="majorEastAsia" w:eastAsiaTheme="majorEastAsia" w:cstheme="majorEastAsia"/>
                <w:sz w:val="18"/>
                <w:szCs w:val="18"/>
                <w:lang w:val="en-US" w:eastAsia="zh-CN" w:bidi="ar"/>
              </w:rPr>
              <w:t>20XX</w:t>
            </w:r>
            <w:r>
              <w:rPr>
                <w:rStyle w:val="24"/>
                <w:rFonts w:hint="eastAsia" w:asciiTheme="majorEastAsia" w:hAnsiTheme="majorEastAsia" w:eastAsiaTheme="majorEastAsia" w:cstheme="majorEastAsia"/>
                <w:sz w:val="18"/>
                <w:szCs w:val="18"/>
                <w:lang w:val="en-US" w:eastAsia="zh-CN" w:bidi="ar"/>
              </w:rPr>
              <w:t>年度河北省政府特殊津贴专家选拔工作的通知</w:t>
            </w:r>
          </w:p>
        </w:tc>
        <w:tc>
          <w:tcPr>
            <w:tcW w:w="2260" w:type="dxa"/>
            <w:tcBorders>
              <w:top w:val="single" w:color="auto" w:sz="4" w:space="0"/>
              <w:left w:val="nil"/>
              <w:bottom w:val="single" w:color="auto" w:sz="4" w:space="0"/>
              <w:right w:val="single" w:color="auto" w:sz="4" w:space="0"/>
            </w:tcBorders>
            <w:shd w:val="clear" w:color="auto" w:fill="auto"/>
            <w:vAlign w:val="center"/>
          </w:tcPr>
          <w:p w14:paraId="584BEEC6">
            <w:pPr>
              <w:keepNext w:val="0"/>
              <w:keepLines w:val="0"/>
              <w:widowControl/>
              <w:suppressLineNumbers w:val="0"/>
              <w:jc w:val="left"/>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1.制定方案责任：按省文件制方案执行。</w:t>
            </w:r>
          </w:p>
          <w:p w14:paraId="25DC092A">
            <w:pPr>
              <w:keepNext w:val="0"/>
              <w:keepLines w:val="0"/>
              <w:widowControl/>
              <w:suppressLineNumbers w:val="0"/>
              <w:jc w:val="left"/>
              <w:textAlignment w:val="center"/>
              <w:rPr>
                <w:rFonts w:hint="eastAsia" w:cs="宋体" w:asciiTheme="minorEastAsia" w:hAnsiTheme="minorEastAsia" w:eastAsiaTheme="minorEastAsia"/>
                <w:sz w:val="18"/>
                <w:szCs w:val="18"/>
                <w:lang w:eastAsia="zh-CN"/>
              </w:rPr>
            </w:pPr>
            <w:r>
              <w:rPr>
                <w:rFonts w:hint="eastAsia" w:asciiTheme="majorEastAsia" w:hAnsiTheme="majorEastAsia" w:eastAsiaTheme="majorEastAsia" w:cstheme="majorEastAsia"/>
                <w:i w:val="0"/>
                <w:color w:val="000000"/>
                <w:kern w:val="0"/>
                <w:sz w:val="18"/>
                <w:szCs w:val="18"/>
                <w:u w:val="none"/>
                <w:lang w:val="en-US" w:eastAsia="zh-CN" w:bidi="ar"/>
              </w:rPr>
              <w:t>2.组织推荐责任：按照文件的规定推荐符合申报条件的人选。　　　　　　3.审核公示责任：对各单位上报人员材料进行审核，资料不全者退回单位补充相关资料，对不符合规定的不予受理。　　　　　　　4.表彰责任：在政策规定条件内受理表彰。　　　　　5.其他法律法规或文件规定应履行的责任。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24192390">
            <w:pPr>
              <w:keepNext w:val="0"/>
              <w:keepLines w:val="0"/>
              <w:widowControl/>
              <w:suppressLineNumbers w:val="0"/>
              <w:jc w:val="left"/>
              <w:textAlignment w:val="center"/>
              <w:rPr>
                <w:rFonts w:hint="eastAsia" w:cs="宋体" w:asciiTheme="minorEastAsia" w:hAnsiTheme="minorEastAsia" w:eastAsiaTheme="minorEastAsia"/>
                <w:sz w:val="18"/>
                <w:szCs w:val="18"/>
              </w:rPr>
            </w:pPr>
            <w:r>
              <w:rPr>
                <w:rFonts w:hint="eastAsia" w:asciiTheme="majorEastAsia" w:hAnsiTheme="majorEastAsia" w:eastAsiaTheme="majorEastAsia" w:cstheme="majorEastAsia"/>
                <w:i w:val="0"/>
                <w:color w:val="000000"/>
                <w:kern w:val="0"/>
                <w:sz w:val="18"/>
                <w:szCs w:val="18"/>
                <w:u w:val="none"/>
                <w:lang w:val="en-US" w:eastAsia="zh-CN" w:bidi="ar"/>
              </w:rPr>
              <w:t>因不履行或不正确履行行政职责，有下列情形的，行政机关及相关工作人员应承担相应责任：</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1.对符合受理条件的申请不予受理的；</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2.未严格按照相关政策、法律、法规履行审查义务，对应当予以批准的不予批准，或者对不应批准的予以批准；</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3.工作人员滥用职权、徇私舞弊、玩忽职守的；</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4.工作人员索贿、受贿，谋取不正当利益的；</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5.其他违反法律法规规章文件规定的行为。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12171CCE">
            <w:pPr>
              <w:adjustRightInd/>
              <w:snapToGrid/>
              <w:spacing w:after="0" w:line="240" w:lineRule="exact"/>
              <w:rPr>
                <w:rFonts w:hint="eastAsia" w:cs="宋体" w:asciiTheme="minorEastAsia" w:hAnsiTheme="minorEastAsia" w:eastAsiaTheme="minorEastAsia"/>
                <w:sz w:val="18"/>
                <w:szCs w:val="18"/>
              </w:rPr>
            </w:pPr>
          </w:p>
        </w:tc>
      </w:tr>
      <w:tr w14:paraId="576C59FB">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15DBE9B1">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37</w:t>
            </w:r>
          </w:p>
        </w:tc>
        <w:tc>
          <w:tcPr>
            <w:tcW w:w="1080" w:type="dxa"/>
            <w:tcBorders>
              <w:top w:val="single" w:color="auto" w:sz="4" w:space="0"/>
              <w:left w:val="nil"/>
              <w:bottom w:val="single" w:color="auto" w:sz="4" w:space="0"/>
              <w:right w:val="single" w:color="auto" w:sz="4" w:space="0"/>
            </w:tcBorders>
            <w:shd w:val="clear" w:color="auto" w:fill="auto"/>
            <w:vAlign w:val="center"/>
          </w:tcPr>
          <w:p w14:paraId="091EA369">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行政奖励</w:t>
            </w:r>
          </w:p>
        </w:tc>
        <w:tc>
          <w:tcPr>
            <w:tcW w:w="2460" w:type="dxa"/>
            <w:tcBorders>
              <w:top w:val="single" w:color="auto" w:sz="4" w:space="0"/>
              <w:left w:val="nil"/>
              <w:bottom w:val="single" w:color="auto" w:sz="4" w:space="0"/>
              <w:right w:val="single" w:color="auto" w:sz="4" w:space="0"/>
            </w:tcBorders>
            <w:shd w:val="clear" w:color="auto" w:fill="auto"/>
            <w:vAlign w:val="center"/>
          </w:tcPr>
          <w:p w14:paraId="564282AB">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sz w:val="18"/>
                <w:szCs w:val="18"/>
                <w:vertAlign w:val="baseline"/>
                <w:lang w:val="en-US" w:eastAsia="zh-CN"/>
              </w:rPr>
              <w:t>事业单位奖励批准备案</w:t>
            </w:r>
          </w:p>
        </w:tc>
        <w:tc>
          <w:tcPr>
            <w:tcW w:w="1180" w:type="dxa"/>
            <w:tcBorders>
              <w:top w:val="single" w:color="auto" w:sz="4" w:space="0"/>
              <w:left w:val="nil"/>
              <w:bottom w:val="single" w:color="auto" w:sz="4" w:space="0"/>
              <w:right w:val="single" w:color="auto" w:sz="4" w:space="0"/>
            </w:tcBorders>
            <w:shd w:val="clear" w:color="auto" w:fill="auto"/>
            <w:vAlign w:val="center"/>
          </w:tcPr>
          <w:p w14:paraId="6E34202D">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Theme="minorEastAsia" w:hAnsiTheme="minorEastAsia" w:eastAsiaTheme="minorEastAsia" w:cstheme="minorEastAsia"/>
                <w:sz w:val="18"/>
                <w:szCs w:val="18"/>
                <w:lang w:eastAsia="zh-CN"/>
              </w:rPr>
              <w:t>县</w:t>
            </w:r>
            <w:r>
              <w:rPr>
                <w:rFonts w:hint="eastAsia" w:asciiTheme="minorEastAsia" w:hAnsiTheme="minorEastAsia" w:eastAsiaTheme="minorEastAsia" w:cs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1237FC66">
            <w:pPr>
              <w:numPr>
                <w:ilvl w:val="0"/>
                <w:numId w:val="0"/>
              </w:numPr>
              <w:adjustRightInd/>
              <w:snapToGrid/>
              <w:spacing w:after="0" w:line="240" w:lineRule="exact"/>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eastAsia="zh-CN"/>
              </w:rPr>
              <w:t>《河北省评比达标表彰活动管理实施细则》的通知冀办发〔2019〕3号</w:t>
            </w:r>
          </w:p>
        </w:tc>
        <w:tc>
          <w:tcPr>
            <w:tcW w:w="2260" w:type="dxa"/>
            <w:tcBorders>
              <w:top w:val="single" w:color="auto" w:sz="4" w:space="0"/>
              <w:left w:val="nil"/>
              <w:bottom w:val="single" w:color="auto" w:sz="4" w:space="0"/>
              <w:right w:val="single" w:color="auto" w:sz="4" w:space="0"/>
            </w:tcBorders>
            <w:shd w:val="clear" w:color="auto" w:fill="auto"/>
            <w:vAlign w:val="center"/>
          </w:tcPr>
          <w:p w14:paraId="55B6CF51">
            <w:pPr>
              <w:numPr>
                <w:ilvl w:val="0"/>
                <w:numId w:val="0"/>
              </w:num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lang w:eastAsia="zh-CN"/>
                <w14:textFill>
                  <w14:solidFill>
                    <w14:schemeClr w14:val="tx1"/>
                  </w14:solidFill>
                </w14:textFill>
              </w:rPr>
              <w:t>1.制定方案责任：按管理权限制定并报请方案审批后，下达表彰计划。</w:t>
            </w:r>
            <w:r>
              <w:rPr>
                <w:rFonts w:hint="eastAsia" w:cs="宋体" w:asciiTheme="minorEastAsia" w:hAnsiTheme="minorEastAsia" w:eastAsiaTheme="minorEastAsia"/>
                <w:color w:val="000000" w:themeColor="text1"/>
                <w:sz w:val="18"/>
                <w:szCs w:val="18"/>
                <w:lang w:val="en-US"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2.组织推荐责任：将计划数额下达到各单位，在政策规定条件内由相关部门按政策组织表彰活动。</w:t>
            </w:r>
            <w:r>
              <w:rPr>
                <w:rFonts w:hint="eastAsia" w:cs="宋体" w:asciiTheme="minorEastAsia" w:hAnsiTheme="minorEastAsia" w:eastAsiaTheme="minorEastAsia"/>
                <w:color w:val="000000" w:themeColor="text1"/>
                <w:sz w:val="18"/>
                <w:szCs w:val="18"/>
                <w:lang w:val="en-US"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3.审核公示责任：对各部门计划申报工作进行审核业务指导，公示依规定应提交的资料，资料不全者退回单位补充相关资料，错报资料的提出纠正意见，对不符合规定的不予受理。</w:t>
            </w:r>
            <w:r>
              <w:rPr>
                <w:rFonts w:hint="eastAsia" w:cs="宋体" w:asciiTheme="minorEastAsia" w:hAnsiTheme="minorEastAsia" w:eastAsiaTheme="minorEastAsia"/>
                <w:color w:val="000000" w:themeColor="text1"/>
                <w:sz w:val="18"/>
                <w:szCs w:val="18"/>
                <w:lang w:val="en-US"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4.表彰责任：在政策规定条件内受理表彰。</w:t>
            </w:r>
            <w:r>
              <w:rPr>
                <w:rFonts w:hint="eastAsia" w:cs="宋体" w:asciiTheme="minorEastAsia" w:hAnsiTheme="minorEastAsia" w:eastAsiaTheme="minorEastAsia"/>
                <w:color w:val="000000" w:themeColor="text1"/>
                <w:sz w:val="18"/>
                <w:szCs w:val="18"/>
                <w:lang w:val="en-US"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18"/>
                <w:szCs w:val="18"/>
                <w:lang w:eastAsia="zh-CN"/>
                <w14:textFill>
                  <w14:solidFill>
                    <w14:schemeClr w14:val="tx1"/>
                  </w14:solidFill>
                </w14:textFill>
              </w:rPr>
              <w:t>5.其他法律法规或文件规定应履行的责任。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0BC65F65">
            <w:pPr>
              <w:numPr>
                <w:ilvl w:val="0"/>
                <w:numId w:val="0"/>
              </w:num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因不履行或不正确履行行政职责，有下列情形，行政机关及相关工作人员应承担相应责任：</w:t>
            </w:r>
            <w:r>
              <w:rPr>
                <w:rFonts w:hint="eastAsia" w:cs="宋体" w:asciiTheme="minorEastAsia" w:hAnsiTheme="minorEastAsia" w:eastAsiaTheme="minorEastAsia"/>
                <w:sz w:val="18"/>
                <w:szCs w:val="18"/>
                <w:lang w:val="en-US" w:eastAsia="zh-CN"/>
              </w:rPr>
              <w:t xml:space="preserve"> </w:t>
            </w:r>
            <w:r>
              <w:rPr>
                <w:rFonts w:hint="eastAsia" w:cs="宋体" w:asciiTheme="minorEastAsia" w:hAnsiTheme="minorEastAsia" w:eastAsiaTheme="minorEastAsia"/>
                <w:sz w:val="18"/>
                <w:szCs w:val="18"/>
              </w:rPr>
              <w:t>1.违反规定条件和程序表彰的。2.工作人员滥用职权、徇私舞弊、玩忽职守的。</w:t>
            </w:r>
            <w:r>
              <w:rPr>
                <w:rFonts w:hint="eastAsia" w:cs="宋体" w:asciiTheme="minorEastAsia" w:hAnsiTheme="minorEastAsia" w:eastAsiaTheme="minorEastAsia"/>
                <w:sz w:val="18"/>
                <w:szCs w:val="18"/>
                <w:lang w:val="en-US" w:eastAsia="zh-CN"/>
              </w:rPr>
              <w:t xml:space="preserve">           </w:t>
            </w:r>
            <w:r>
              <w:rPr>
                <w:rFonts w:hint="eastAsia" w:cs="宋体" w:asciiTheme="minorEastAsia" w:hAnsiTheme="minorEastAsia" w:eastAsiaTheme="minorEastAsia"/>
                <w:sz w:val="18"/>
                <w:szCs w:val="18"/>
              </w:rPr>
              <w:t>3.工作人员索贿、受贿，谋取不正当利益的。</w:t>
            </w:r>
            <w:r>
              <w:rPr>
                <w:rFonts w:hint="eastAsia" w:cs="宋体" w:asciiTheme="minorEastAsia" w:hAnsiTheme="minorEastAsia" w:eastAsiaTheme="minorEastAsia"/>
                <w:sz w:val="18"/>
                <w:szCs w:val="18"/>
                <w:lang w:val="en-US" w:eastAsia="zh-CN"/>
              </w:rPr>
              <w:t xml:space="preserve">               </w:t>
            </w:r>
            <w:r>
              <w:rPr>
                <w:rFonts w:hint="eastAsia" w:cs="宋体" w:asciiTheme="minorEastAsia" w:hAnsiTheme="minorEastAsia" w:eastAsiaTheme="minorEastAsia"/>
                <w:sz w:val="18"/>
                <w:szCs w:val="18"/>
              </w:rPr>
              <w:t>4.其他违反法律法规规章文件规定的行为。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3875E531">
            <w:pPr>
              <w:adjustRightInd/>
              <w:snapToGrid/>
              <w:spacing w:after="0" w:line="240" w:lineRule="exact"/>
              <w:rPr>
                <w:rFonts w:hint="eastAsia" w:cs="宋体" w:asciiTheme="minorEastAsia" w:hAnsiTheme="minorEastAsia" w:eastAsiaTheme="minorEastAsia"/>
                <w:sz w:val="18"/>
                <w:szCs w:val="18"/>
              </w:rPr>
            </w:pPr>
          </w:p>
        </w:tc>
      </w:tr>
      <w:tr w14:paraId="7017EB5D">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215793BE">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38</w:t>
            </w:r>
          </w:p>
        </w:tc>
        <w:tc>
          <w:tcPr>
            <w:tcW w:w="1080" w:type="dxa"/>
            <w:tcBorders>
              <w:top w:val="single" w:color="auto" w:sz="4" w:space="0"/>
              <w:left w:val="nil"/>
              <w:bottom w:val="single" w:color="auto" w:sz="4" w:space="0"/>
              <w:right w:val="single" w:color="auto" w:sz="4" w:space="0"/>
            </w:tcBorders>
            <w:shd w:val="clear" w:color="auto" w:fill="auto"/>
            <w:vAlign w:val="center"/>
          </w:tcPr>
          <w:p w14:paraId="7E25C7EB">
            <w:pPr>
              <w:keepNext w:val="0"/>
              <w:keepLines w:val="0"/>
              <w:widowControl/>
              <w:suppressLineNumbers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宋体"/>
                <w:i w:val="0"/>
                <w:color w:val="000000"/>
                <w:kern w:val="0"/>
                <w:sz w:val="18"/>
                <w:szCs w:val="18"/>
                <w:u w:val="none"/>
                <w:lang w:val="en-US" w:eastAsia="zh-CN" w:bidi="ar"/>
              </w:rPr>
              <w:t>其他类</w:t>
            </w:r>
          </w:p>
        </w:tc>
        <w:tc>
          <w:tcPr>
            <w:tcW w:w="2460" w:type="dxa"/>
            <w:tcBorders>
              <w:top w:val="single" w:color="auto" w:sz="4" w:space="0"/>
              <w:left w:val="nil"/>
              <w:bottom w:val="single" w:color="auto" w:sz="4" w:space="0"/>
              <w:right w:val="single" w:color="auto" w:sz="4" w:space="0"/>
            </w:tcBorders>
            <w:shd w:val="clear" w:color="auto" w:fill="auto"/>
            <w:vAlign w:val="center"/>
          </w:tcPr>
          <w:p w14:paraId="06941A47">
            <w:pPr>
              <w:keepNext w:val="0"/>
              <w:keepLines w:val="0"/>
              <w:widowControl/>
              <w:suppressLineNumbers w:val="0"/>
              <w:jc w:val="center"/>
              <w:textAlignment w:val="center"/>
              <w:rPr>
                <w:rFonts w:hint="eastAsia" w:cs="宋体" w:asciiTheme="minorEastAsia" w:hAnsiTheme="minorEastAsia" w:eastAsiaTheme="minorEastAsia"/>
                <w:sz w:val="18"/>
                <w:szCs w:val="18"/>
              </w:rPr>
            </w:pPr>
            <w:r>
              <w:rPr>
                <w:rFonts w:hint="eastAsia" w:ascii="宋体" w:hAnsi="宋体" w:eastAsia="宋体" w:cs="宋体"/>
                <w:i w:val="0"/>
                <w:color w:val="000000"/>
                <w:kern w:val="0"/>
                <w:sz w:val="18"/>
                <w:szCs w:val="18"/>
                <w:u w:val="none"/>
                <w:lang w:val="en-US" w:eastAsia="zh-CN" w:bidi="ar"/>
              </w:rPr>
              <w:t>事业单位招聘工作       人员计划审核审批</w:t>
            </w:r>
          </w:p>
        </w:tc>
        <w:tc>
          <w:tcPr>
            <w:tcW w:w="1180" w:type="dxa"/>
            <w:tcBorders>
              <w:top w:val="single" w:color="auto" w:sz="4" w:space="0"/>
              <w:left w:val="nil"/>
              <w:bottom w:val="single" w:color="auto" w:sz="4" w:space="0"/>
              <w:right w:val="single" w:color="auto" w:sz="4" w:space="0"/>
            </w:tcBorders>
            <w:shd w:val="clear" w:color="auto" w:fill="auto"/>
            <w:vAlign w:val="center"/>
          </w:tcPr>
          <w:p w14:paraId="0CA30BCE">
            <w:pPr>
              <w:keepNext w:val="0"/>
              <w:keepLines w:val="0"/>
              <w:widowControl/>
              <w:suppressLineNumbers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宋体"/>
                <w:i w:val="0"/>
                <w:color w:val="000000"/>
                <w:kern w:val="0"/>
                <w:sz w:val="18"/>
                <w:szCs w:val="18"/>
                <w:u w:val="none"/>
                <w:lang w:val="en-US" w:eastAsia="zh-CN" w:bidi="ar"/>
              </w:rPr>
              <w:t>县人社局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0576F6F8">
            <w:pPr>
              <w:numPr>
                <w:ilvl w:val="0"/>
                <w:numId w:val="3"/>
              </w:numPr>
              <w:adjustRightInd/>
              <w:snapToGrid/>
              <w:spacing w:after="0" w:line="240" w:lineRule="exact"/>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eastAsia="zh-CN"/>
              </w:rPr>
              <w:t>《事业单位公开招聘人员暂行规定》第十三条：“地（市）、县（市）人民政府所属事业单位的招聘计划须报地区或设区的市政府人事行政部门核准。”</w:t>
            </w:r>
          </w:p>
          <w:p w14:paraId="21AA0901">
            <w:pPr>
              <w:numPr>
                <w:ilvl w:val="0"/>
                <w:numId w:val="3"/>
              </w:numPr>
              <w:adjustRightInd/>
              <w:snapToGrid/>
              <w:spacing w:after="0" w:line="240" w:lineRule="exact"/>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eastAsia="zh-CN"/>
              </w:rPr>
              <w:t>《关于印发〈机关、事业单位增人计划卡暂行管理办法</w:t>
            </w:r>
            <w:bookmarkStart w:id="0" w:name="_GoBack"/>
            <w:bookmarkEnd w:id="0"/>
            <w:r>
              <w:rPr>
                <w:rFonts w:hint="eastAsia" w:cs="宋体" w:asciiTheme="minorEastAsia" w:hAnsiTheme="minorEastAsia" w:eastAsiaTheme="minorEastAsia"/>
                <w:sz w:val="18"/>
                <w:szCs w:val="18"/>
                <w:lang w:eastAsia="zh-CN"/>
              </w:rPr>
              <w:t>〉的通知》（人发〔1996〕55号）第六条：“...每年由人事计划部门在分解下达和调整职工人数计划时核发...”；第七条：“增人计划卡是机关、事业单位办理增加职工手续和增加工资总额计划及报批工资基金使用计划的凭证...”</w:t>
            </w:r>
          </w:p>
          <w:p w14:paraId="22F32DE0">
            <w:pPr>
              <w:numPr>
                <w:ilvl w:val="0"/>
                <w:numId w:val="3"/>
              </w:numPr>
              <w:adjustRightInd/>
              <w:snapToGrid/>
              <w:spacing w:after="0" w:line="240" w:lineRule="exact"/>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eastAsia="zh-CN"/>
              </w:rPr>
              <w:t>《印发〈关于严格控制全省机关事业单位增加人员的意见〉的通知》（冀政办〔2005〕16号）六：“市、县（市、区）、乡（镇）事业单位...增人计划，报市人事局按规定程序审批..”。</w:t>
            </w:r>
          </w:p>
          <w:p w14:paraId="07984D9E">
            <w:pPr>
              <w:numPr>
                <w:ilvl w:val="0"/>
                <w:numId w:val="0"/>
              </w:numPr>
              <w:adjustRightInd/>
              <w:snapToGrid/>
              <w:spacing w:after="0" w:line="240" w:lineRule="exact"/>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eastAsia="zh-CN"/>
              </w:rPr>
              <w:t>4.《保定市事业单位公开招聘工作人员暂行办法》的通知（保人社发〔2011〕70号）文件全文。</w:t>
            </w:r>
          </w:p>
        </w:tc>
        <w:tc>
          <w:tcPr>
            <w:tcW w:w="2260" w:type="dxa"/>
            <w:tcBorders>
              <w:top w:val="single" w:color="auto" w:sz="4" w:space="0"/>
              <w:left w:val="nil"/>
              <w:bottom w:val="single" w:color="auto" w:sz="4" w:space="0"/>
              <w:right w:val="single" w:color="auto" w:sz="4" w:space="0"/>
            </w:tcBorders>
            <w:shd w:val="clear" w:color="auto" w:fill="auto"/>
            <w:vAlign w:val="center"/>
          </w:tcPr>
          <w:p w14:paraId="74998B19">
            <w:pPr>
              <w:numPr>
                <w:ilvl w:val="0"/>
                <w:numId w:val="0"/>
              </w:num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lang w:eastAsia="zh-CN"/>
                <w14:textFill>
                  <w14:solidFill>
                    <w14:schemeClr w14:val="tx1"/>
                  </w14:solidFill>
                </w14:textFill>
              </w:rPr>
              <w:t>1.受理责任：公示依规定应提交的资料，在政策规定条件内受理计划申请。</w:t>
            </w:r>
          </w:p>
          <w:p w14:paraId="0AAAE07D">
            <w:pPr>
              <w:numPr>
                <w:ilvl w:val="0"/>
                <w:numId w:val="0"/>
              </w:num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lang w:eastAsia="zh-CN"/>
                <w14:textFill>
                  <w14:solidFill>
                    <w14:schemeClr w14:val="tx1"/>
                  </w14:solidFill>
                </w14:textFill>
              </w:rPr>
              <w:t>2.审核责任：对用人单位提交资料进行审核，对不符合规定的不予受理，资料不全者退回单位补充相关资料。</w:t>
            </w:r>
          </w:p>
          <w:p w14:paraId="2BC924E9">
            <w:pPr>
              <w:numPr>
                <w:ilvl w:val="0"/>
                <w:numId w:val="0"/>
              </w:num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lang w:eastAsia="zh-CN"/>
                <w14:textFill>
                  <w14:solidFill>
                    <w14:schemeClr w14:val="tx1"/>
                  </w14:solidFill>
                </w14:textFill>
              </w:rPr>
              <w:t>3.决定责任：办理编制使用核准并按管理权限报请审批后，下达招聘计划。</w:t>
            </w:r>
          </w:p>
          <w:p w14:paraId="59EEA050">
            <w:pPr>
              <w:numPr>
                <w:ilvl w:val="0"/>
                <w:numId w:val="0"/>
              </w:num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lang w:eastAsia="zh-CN"/>
                <w14:textFill>
                  <w14:solidFill>
                    <w14:schemeClr w14:val="tx1"/>
                  </w14:solidFill>
                </w14:textFill>
              </w:rPr>
              <w:t>4.送达责任：将计划数额下达到各单位，由相关部门按政策组织招聘活动。</w:t>
            </w:r>
          </w:p>
          <w:p w14:paraId="059C50B7">
            <w:pPr>
              <w:numPr>
                <w:ilvl w:val="0"/>
                <w:numId w:val="0"/>
              </w:num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lang w:eastAsia="zh-CN"/>
                <w14:textFill>
                  <w14:solidFill>
                    <w14:schemeClr w14:val="tx1"/>
                  </w14:solidFill>
                </w14:textFill>
              </w:rPr>
              <w:t>5.事后监管责任：对各部门计划申报工作进行业务指导，对不符合政策规定的提出纠正意见。</w:t>
            </w:r>
          </w:p>
          <w:p w14:paraId="10EE71E3">
            <w:pPr>
              <w:numPr>
                <w:ilvl w:val="0"/>
                <w:numId w:val="0"/>
              </w:numPr>
              <w:adjustRightInd/>
              <w:snapToGrid/>
              <w:spacing w:after="0" w:line="240" w:lineRule="exact"/>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color w:val="000000" w:themeColor="text1"/>
                <w:sz w:val="18"/>
                <w:szCs w:val="18"/>
                <w:lang w:eastAsia="zh-CN"/>
                <w14:textFill>
                  <w14:solidFill>
                    <w14:schemeClr w14:val="tx1"/>
                  </w14:solidFill>
                </w14:textFill>
              </w:rPr>
              <w:t>6.其他法律法规或文件规定应履行的责任。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6CFEC9D5">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因不履行或不正确履行行政职责，有下列情形，行政机关及相关工作人员应承担相应责任：</w:t>
            </w:r>
          </w:p>
          <w:p w14:paraId="46084500">
            <w:pPr>
              <w:numPr>
                <w:ilvl w:val="0"/>
                <w:numId w:val="4"/>
              </w:num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超编下达招聘计划。</w:t>
            </w:r>
          </w:p>
          <w:p w14:paraId="5E04AE80">
            <w:pPr>
              <w:numPr>
                <w:ilvl w:val="0"/>
                <w:numId w:val="4"/>
              </w:num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未按规定审批程序下达招聘计划。</w:t>
            </w:r>
          </w:p>
          <w:p w14:paraId="0E437432">
            <w:pPr>
              <w:numPr>
                <w:ilvl w:val="0"/>
                <w:numId w:val="4"/>
              </w:num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工作人员滥用职权、徇私舞弊、玩忽职守的。</w:t>
            </w:r>
          </w:p>
          <w:p w14:paraId="7A653990">
            <w:pPr>
              <w:numPr>
                <w:ilvl w:val="0"/>
                <w:numId w:val="4"/>
              </w:num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工作人员索贿、受贿，谋取不正当利益的。</w:t>
            </w:r>
          </w:p>
          <w:p w14:paraId="0858AE3C">
            <w:pPr>
              <w:numPr>
                <w:ilvl w:val="0"/>
                <w:numId w:val="0"/>
              </w:num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5.其他违反法律法规规章文件规定的行为。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002063DC">
            <w:pPr>
              <w:adjustRightInd/>
              <w:snapToGrid/>
              <w:spacing w:after="0" w:line="240" w:lineRule="exact"/>
              <w:rPr>
                <w:rFonts w:hint="eastAsia" w:cs="宋体" w:asciiTheme="minorEastAsia" w:hAnsiTheme="minorEastAsia" w:eastAsiaTheme="minorEastAsia"/>
                <w:sz w:val="18"/>
                <w:szCs w:val="18"/>
              </w:rPr>
            </w:pPr>
          </w:p>
        </w:tc>
      </w:tr>
      <w:tr w14:paraId="000CB02F">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23A0BCAE">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39</w:t>
            </w:r>
          </w:p>
        </w:tc>
        <w:tc>
          <w:tcPr>
            <w:tcW w:w="1080" w:type="dxa"/>
            <w:tcBorders>
              <w:top w:val="single" w:color="auto" w:sz="4" w:space="0"/>
              <w:left w:val="nil"/>
              <w:bottom w:val="single" w:color="auto" w:sz="4" w:space="0"/>
              <w:right w:val="single" w:color="auto" w:sz="4" w:space="0"/>
            </w:tcBorders>
            <w:shd w:val="clear" w:color="auto" w:fill="auto"/>
            <w:vAlign w:val="center"/>
          </w:tcPr>
          <w:p w14:paraId="189507FF">
            <w:pPr>
              <w:adjustRightInd/>
              <w:snapToGrid/>
              <w:spacing w:after="0" w:line="240" w:lineRule="exact"/>
              <w:jc w:val="center"/>
              <w:rPr>
                <w:rFonts w:hint="eastAsia" w:cs="宋体" w:asciiTheme="minorEastAsia" w:hAnsiTheme="minorEastAsia" w:eastAsiaTheme="minorEastAsia"/>
                <w:sz w:val="18"/>
                <w:szCs w:val="18"/>
                <w:lang w:eastAsia="zh-CN"/>
              </w:rPr>
            </w:pPr>
            <w:r>
              <w:rPr>
                <w:rFonts w:hint="eastAsia" w:ascii="宋体" w:hAnsi="宋体" w:eastAsia="宋体" w:cs="宋体"/>
                <w:i w:val="0"/>
                <w:color w:val="000000"/>
                <w:kern w:val="0"/>
                <w:sz w:val="18"/>
                <w:szCs w:val="18"/>
                <w:u w:val="none"/>
                <w:lang w:val="en-US" w:eastAsia="zh-CN" w:bidi="ar"/>
              </w:rPr>
              <w:t>其他类</w:t>
            </w:r>
          </w:p>
        </w:tc>
        <w:tc>
          <w:tcPr>
            <w:tcW w:w="2460" w:type="dxa"/>
            <w:tcBorders>
              <w:top w:val="single" w:color="auto" w:sz="4" w:space="0"/>
              <w:left w:val="nil"/>
              <w:bottom w:val="single" w:color="auto" w:sz="4" w:space="0"/>
              <w:right w:val="single" w:color="auto" w:sz="4" w:space="0"/>
            </w:tcBorders>
            <w:shd w:val="clear" w:color="auto" w:fill="auto"/>
            <w:vAlign w:val="center"/>
          </w:tcPr>
          <w:p w14:paraId="7C8229B5">
            <w:pPr>
              <w:keepNext w:val="0"/>
              <w:keepLines w:val="0"/>
              <w:widowControl/>
              <w:suppressLineNumbers w:val="0"/>
              <w:jc w:val="center"/>
              <w:textAlignment w:val="center"/>
              <w:rPr>
                <w:rFonts w:hint="eastAsia" w:cs="宋体" w:asciiTheme="minorEastAsia" w:hAnsiTheme="minorEastAsia" w:eastAsiaTheme="minorEastAsia"/>
                <w:sz w:val="18"/>
                <w:szCs w:val="18"/>
              </w:rPr>
            </w:pPr>
            <w:r>
              <w:rPr>
                <w:rFonts w:hint="eastAsia" w:ascii="宋体" w:hAnsi="宋体" w:eastAsia="宋体" w:cs="宋体"/>
                <w:i w:val="0"/>
                <w:color w:val="000000"/>
                <w:kern w:val="0"/>
                <w:sz w:val="18"/>
                <w:szCs w:val="18"/>
                <w:u w:val="none"/>
                <w:lang w:val="en-US" w:eastAsia="zh-CN" w:bidi="ar"/>
              </w:rPr>
              <w:t>人员调配审批</w:t>
            </w:r>
          </w:p>
        </w:tc>
        <w:tc>
          <w:tcPr>
            <w:tcW w:w="1180" w:type="dxa"/>
            <w:tcBorders>
              <w:top w:val="single" w:color="auto" w:sz="4" w:space="0"/>
              <w:left w:val="nil"/>
              <w:bottom w:val="single" w:color="auto" w:sz="4" w:space="0"/>
              <w:right w:val="single" w:color="auto" w:sz="4" w:space="0"/>
            </w:tcBorders>
            <w:shd w:val="clear" w:color="auto" w:fill="auto"/>
            <w:vAlign w:val="center"/>
          </w:tcPr>
          <w:p w14:paraId="12E2768F">
            <w:pPr>
              <w:keepNext w:val="0"/>
              <w:keepLines w:val="0"/>
              <w:widowControl/>
              <w:suppressLineNumbers w:val="0"/>
              <w:jc w:val="center"/>
              <w:textAlignment w:val="center"/>
              <w:rPr>
                <w:rFonts w:hint="eastAsia" w:cs="宋体" w:asciiTheme="minorEastAsia" w:hAnsiTheme="minorEastAsia" w:eastAsiaTheme="minorEastAsia"/>
                <w:sz w:val="18"/>
                <w:szCs w:val="18"/>
                <w:lang w:eastAsia="zh-CN"/>
              </w:rPr>
            </w:pPr>
            <w:r>
              <w:rPr>
                <w:rFonts w:hint="eastAsia" w:ascii="宋体" w:hAnsi="宋体" w:eastAsia="宋体" w:cs="宋体"/>
                <w:i w:val="0"/>
                <w:color w:val="000000"/>
                <w:kern w:val="0"/>
                <w:sz w:val="18"/>
                <w:szCs w:val="18"/>
                <w:u w:val="none"/>
                <w:lang w:val="en-US" w:eastAsia="zh-CN" w:bidi="ar"/>
              </w:rPr>
              <w:t>县人社局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1C4120E7">
            <w:pPr>
              <w:numPr>
                <w:ilvl w:val="0"/>
                <w:numId w:val="5"/>
              </w:numPr>
              <w:adjustRightInd/>
              <w:snapToGrid/>
              <w:spacing w:after="0" w:line="240" w:lineRule="exact"/>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eastAsia="zh-CN"/>
              </w:rPr>
              <w:t> 国家人事部关于印发《干部调配工作规定》的通知人事部调发〔1991〕4号文 第十二条  各级政府人事部门是干部调配工作的综合管理部门，负责同级党委和政府确定的管理范围内的国家干部的调配工作。 第十六条  各省、自治区、直辖市范围内的干部调配，凡是由事业、企业单位调入到国家行政机关的，须由同级政府人事部门审批办理。</w:t>
            </w:r>
            <w:r>
              <w:rPr>
                <w:rFonts w:hint="eastAsia" w:cs="宋体" w:asciiTheme="minorEastAsia" w:hAnsiTheme="minorEastAsia" w:eastAsiaTheme="minorEastAsia"/>
                <w:sz w:val="18"/>
                <w:szCs w:val="18"/>
                <w:lang w:val="en-US" w:eastAsia="zh-CN"/>
              </w:rPr>
              <w:t xml:space="preserve">                                </w:t>
            </w:r>
            <w:r>
              <w:rPr>
                <w:rFonts w:hint="eastAsia" w:cs="宋体" w:asciiTheme="minorEastAsia" w:hAnsiTheme="minorEastAsia" w:eastAsiaTheme="minorEastAsia"/>
                <w:sz w:val="18"/>
                <w:szCs w:val="18"/>
                <w:lang w:eastAsia="zh-CN"/>
              </w:rPr>
              <w:t>2. 关于印发《河北省机关事业单位干部调配办法》的通知 （冀办发〔2014〕40号文）第六条：“人力资源社会保障部门负责其他机关事业单位干部的调配工作。</w:t>
            </w:r>
          </w:p>
          <w:p w14:paraId="0B3621FD">
            <w:pPr>
              <w:numPr>
                <w:ilvl w:val="0"/>
                <w:numId w:val="0"/>
              </w:numPr>
              <w:adjustRightInd/>
              <w:snapToGrid/>
              <w:spacing w:after="0" w:line="240" w:lineRule="exact"/>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sz w:val="18"/>
                <w:szCs w:val="18"/>
                <w:lang w:eastAsia="zh-CN"/>
              </w:rPr>
              <w:t>3.《关于进一步规范市直机关、事业单位干部调配程序的通知（试行）》（保组字〔2019〕34号）文件全文。</w:t>
            </w:r>
          </w:p>
        </w:tc>
        <w:tc>
          <w:tcPr>
            <w:tcW w:w="2260" w:type="dxa"/>
            <w:tcBorders>
              <w:top w:val="single" w:color="auto" w:sz="4" w:space="0"/>
              <w:left w:val="nil"/>
              <w:bottom w:val="single" w:color="auto" w:sz="4" w:space="0"/>
              <w:right w:val="single" w:color="auto" w:sz="4" w:space="0"/>
            </w:tcBorders>
            <w:shd w:val="clear" w:color="auto" w:fill="auto"/>
            <w:vAlign w:val="center"/>
          </w:tcPr>
          <w:p w14:paraId="400E407D">
            <w:pPr>
              <w:numPr>
                <w:ilvl w:val="0"/>
                <w:numId w:val="0"/>
              </w:num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lang w:eastAsia="zh-CN"/>
                <w14:textFill>
                  <w14:solidFill>
                    <w14:schemeClr w14:val="tx1"/>
                  </w14:solidFill>
                </w14:textFill>
              </w:rPr>
              <w:t>1.受理责任：公示依规定应提交的资料，在政策规定条件内受理调配申请。</w:t>
            </w:r>
          </w:p>
          <w:p w14:paraId="4EA69070">
            <w:pPr>
              <w:numPr>
                <w:ilvl w:val="0"/>
                <w:numId w:val="0"/>
              </w:num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lang w:eastAsia="zh-CN"/>
                <w14:textFill>
                  <w14:solidFill>
                    <w14:schemeClr w14:val="tx1"/>
                  </w14:solidFill>
                </w14:textFill>
              </w:rPr>
              <w:t>2.审核责任：对用人单位提交资料进行审核，对不符合规定的不予受理，资料不全者退回单位补充相关资料。</w:t>
            </w:r>
          </w:p>
          <w:p w14:paraId="4D39DFC1">
            <w:pPr>
              <w:numPr>
                <w:ilvl w:val="0"/>
                <w:numId w:val="0"/>
              </w:num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lang w:eastAsia="zh-CN"/>
                <w14:textFill>
                  <w14:solidFill>
                    <w14:schemeClr w14:val="tx1"/>
                  </w14:solidFill>
                </w14:textFill>
              </w:rPr>
              <w:t>3.决定责任：按规定程序办理编制使用核准后，依据调配程序下履行调配审批程序。</w:t>
            </w:r>
          </w:p>
          <w:p w14:paraId="76D8554D">
            <w:pPr>
              <w:numPr>
                <w:ilvl w:val="0"/>
                <w:numId w:val="0"/>
              </w:num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lang w:eastAsia="zh-CN"/>
                <w14:textFill>
                  <w14:solidFill>
                    <w14:schemeClr w14:val="tx1"/>
                  </w14:solidFill>
                </w14:textFill>
              </w:rPr>
              <w:t>4.送达责任：将决定结果告知单位，由单位办理后续手续。</w:t>
            </w:r>
          </w:p>
          <w:p w14:paraId="42A50547">
            <w:pPr>
              <w:numPr>
                <w:ilvl w:val="0"/>
                <w:numId w:val="0"/>
              </w:numPr>
              <w:adjustRightInd/>
              <w:snapToGrid/>
              <w:spacing w:after="0" w:line="240" w:lineRule="exact"/>
              <w:rPr>
                <w:rFonts w:hint="eastAsia" w:cs="宋体" w:asciiTheme="minorEastAsia" w:hAnsiTheme="minorEastAsia" w:eastAsiaTheme="minorEastAsia"/>
                <w:color w:val="000000" w:themeColor="text1"/>
                <w:sz w:val="18"/>
                <w:szCs w:val="18"/>
                <w:lang w:eastAsia="zh-CN"/>
                <w14:textFill>
                  <w14:solidFill>
                    <w14:schemeClr w14:val="tx1"/>
                  </w14:solidFill>
                </w14:textFill>
              </w:rPr>
            </w:pPr>
            <w:r>
              <w:rPr>
                <w:rFonts w:hint="eastAsia" w:cs="宋体" w:asciiTheme="minorEastAsia" w:hAnsiTheme="minorEastAsia" w:eastAsiaTheme="minorEastAsia"/>
                <w:color w:val="000000" w:themeColor="text1"/>
                <w:sz w:val="18"/>
                <w:szCs w:val="18"/>
                <w:lang w:eastAsia="zh-CN"/>
                <w14:textFill>
                  <w14:solidFill>
                    <w14:schemeClr w14:val="tx1"/>
                  </w14:solidFill>
                </w14:textFill>
              </w:rPr>
              <w:t>5.事后监管责任：对各单位调配政策工作进行业务指导，对不符合政策规定的提出纠正意见。</w:t>
            </w:r>
          </w:p>
          <w:p w14:paraId="02907281">
            <w:pPr>
              <w:numPr>
                <w:ilvl w:val="0"/>
                <w:numId w:val="0"/>
              </w:numPr>
              <w:adjustRightInd/>
              <w:snapToGrid/>
              <w:spacing w:after="0" w:line="240" w:lineRule="exact"/>
              <w:rPr>
                <w:rFonts w:hint="eastAsia" w:cs="宋体" w:asciiTheme="minorEastAsia" w:hAnsiTheme="minorEastAsia" w:eastAsiaTheme="minorEastAsia"/>
                <w:sz w:val="18"/>
                <w:szCs w:val="18"/>
                <w:lang w:eastAsia="zh-CN"/>
              </w:rPr>
            </w:pPr>
            <w:r>
              <w:rPr>
                <w:rFonts w:hint="eastAsia" w:cs="宋体" w:asciiTheme="minorEastAsia" w:hAnsiTheme="minorEastAsia" w:eastAsiaTheme="minorEastAsia"/>
                <w:color w:val="000000" w:themeColor="text1"/>
                <w:sz w:val="18"/>
                <w:szCs w:val="18"/>
                <w:lang w:eastAsia="zh-CN"/>
                <w14:textFill>
                  <w14:solidFill>
                    <w14:schemeClr w14:val="tx1"/>
                  </w14:solidFill>
                </w14:textFill>
              </w:rPr>
              <w:t>6.其他法律法规或文件规定应履行的责任。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5B151402">
            <w:p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因不履行或不正确履行行政职责，有下列情形，行政机关及相关工作人员应承担相应责任：</w:t>
            </w:r>
          </w:p>
          <w:p w14:paraId="3DE60232">
            <w:pPr>
              <w:numPr>
                <w:ilvl w:val="0"/>
                <w:numId w:val="6"/>
              </w:num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超编制、超计划、超职数调配干部。</w:t>
            </w:r>
          </w:p>
          <w:p w14:paraId="2D4414B5">
            <w:pPr>
              <w:numPr>
                <w:ilvl w:val="0"/>
                <w:numId w:val="6"/>
              </w:num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违反规定条件和程序调配干部。</w:t>
            </w:r>
          </w:p>
          <w:p w14:paraId="416CE9D1">
            <w:pPr>
              <w:numPr>
                <w:ilvl w:val="0"/>
                <w:numId w:val="6"/>
              </w:num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在调配中任人唯亲，营私舞弊，搞不正之风。</w:t>
            </w:r>
          </w:p>
          <w:p w14:paraId="6402D9FF">
            <w:pPr>
              <w:numPr>
                <w:ilvl w:val="0"/>
                <w:numId w:val="6"/>
              </w:num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工作人员滥用职权、徇私舞弊、玩忽职守的。</w:t>
            </w:r>
          </w:p>
          <w:p w14:paraId="13CF1773">
            <w:pPr>
              <w:numPr>
                <w:ilvl w:val="0"/>
                <w:numId w:val="6"/>
              </w:num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工作人员索贿、受贿，谋取不正当利益的。</w:t>
            </w:r>
          </w:p>
          <w:p w14:paraId="56D219E0">
            <w:pPr>
              <w:numPr>
                <w:ilvl w:val="0"/>
                <w:numId w:val="0"/>
              </w:numPr>
              <w:adjustRightInd/>
              <w:snapToGrid/>
              <w:spacing w:after="0"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6.其他违反法律法规规章文件规定的行为。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35AF9973">
            <w:pPr>
              <w:adjustRightInd/>
              <w:snapToGrid/>
              <w:spacing w:after="0" w:line="240" w:lineRule="exact"/>
              <w:rPr>
                <w:rFonts w:hint="eastAsia" w:cs="宋体" w:asciiTheme="minorEastAsia" w:hAnsiTheme="minorEastAsia" w:eastAsiaTheme="minorEastAsia"/>
                <w:sz w:val="18"/>
                <w:szCs w:val="18"/>
              </w:rPr>
            </w:pPr>
          </w:p>
        </w:tc>
      </w:tr>
      <w:tr w14:paraId="0118D5B9">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0D655C4C">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40</w:t>
            </w:r>
          </w:p>
        </w:tc>
        <w:tc>
          <w:tcPr>
            <w:tcW w:w="1080" w:type="dxa"/>
            <w:tcBorders>
              <w:top w:val="single" w:color="auto" w:sz="4" w:space="0"/>
              <w:left w:val="nil"/>
              <w:bottom w:val="single" w:color="auto" w:sz="4" w:space="0"/>
              <w:right w:val="single" w:color="auto" w:sz="4" w:space="0"/>
            </w:tcBorders>
            <w:shd w:val="clear" w:color="auto" w:fill="auto"/>
            <w:vAlign w:val="center"/>
          </w:tcPr>
          <w:p w14:paraId="7CB35020">
            <w:pPr>
              <w:keepNext w:val="0"/>
              <w:keepLines w:val="0"/>
              <w:widowControl/>
              <w:suppressLineNumbers w:val="0"/>
              <w:jc w:val="center"/>
              <w:textAlignment w:val="center"/>
              <w:rPr>
                <w:rFonts w:hint="eastAsia" w:asciiTheme="majorEastAsia" w:hAnsiTheme="majorEastAsia" w:eastAsiaTheme="majorEastAsia" w:cstheme="majorEastAsia"/>
                <w:sz w:val="18"/>
                <w:szCs w:val="18"/>
                <w:lang w:eastAsia="zh-CN"/>
              </w:rPr>
            </w:pPr>
            <w:r>
              <w:rPr>
                <w:rFonts w:hint="eastAsia" w:asciiTheme="majorEastAsia" w:hAnsiTheme="majorEastAsia" w:eastAsiaTheme="majorEastAsia" w:cstheme="majorEastAsia"/>
                <w:i w:val="0"/>
                <w:color w:val="000000"/>
                <w:kern w:val="0"/>
                <w:sz w:val="18"/>
                <w:szCs w:val="18"/>
                <w:u w:val="none"/>
                <w:lang w:val="en-US" w:eastAsia="zh-CN" w:bidi="ar"/>
              </w:rPr>
              <w:t>其他类</w:t>
            </w:r>
          </w:p>
        </w:tc>
        <w:tc>
          <w:tcPr>
            <w:tcW w:w="2460" w:type="dxa"/>
            <w:tcBorders>
              <w:top w:val="single" w:color="auto" w:sz="4" w:space="0"/>
              <w:left w:val="nil"/>
              <w:bottom w:val="single" w:color="auto" w:sz="4" w:space="0"/>
              <w:right w:val="single" w:color="auto" w:sz="4" w:space="0"/>
            </w:tcBorders>
            <w:shd w:val="clear" w:color="auto" w:fill="auto"/>
            <w:vAlign w:val="center"/>
          </w:tcPr>
          <w:p w14:paraId="6807F951">
            <w:pPr>
              <w:keepNext w:val="0"/>
              <w:keepLines w:val="0"/>
              <w:widowControl/>
              <w:suppressLineNumbers w:val="0"/>
              <w:jc w:val="left"/>
              <w:textAlignment w:val="center"/>
              <w:rPr>
                <w:rFonts w:hint="eastAsia" w:asciiTheme="majorEastAsia" w:hAnsiTheme="majorEastAsia" w:eastAsiaTheme="majorEastAsia" w:cstheme="majorEastAsia"/>
                <w:sz w:val="18"/>
                <w:szCs w:val="18"/>
              </w:rPr>
            </w:pPr>
            <w:r>
              <w:rPr>
                <w:rFonts w:hint="eastAsia" w:asciiTheme="majorEastAsia" w:hAnsiTheme="majorEastAsia" w:eastAsiaTheme="majorEastAsia" w:cstheme="majorEastAsia"/>
                <w:i w:val="0"/>
                <w:color w:val="000000"/>
                <w:kern w:val="0"/>
                <w:sz w:val="18"/>
                <w:szCs w:val="18"/>
                <w:u w:val="none"/>
                <w:lang w:val="en-US" w:eastAsia="zh-CN" w:bidi="ar"/>
              </w:rPr>
              <w:t>享受国务院政府特殊津贴专家选拔</w:t>
            </w:r>
          </w:p>
        </w:tc>
        <w:tc>
          <w:tcPr>
            <w:tcW w:w="1180" w:type="dxa"/>
            <w:tcBorders>
              <w:top w:val="single" w:color="auto" w:sz="4" w:space="0"/>
              <w:left w:val="nil"/>
              <w:bottom w:val="single" w:color="auto" w:sz="4" w:space="0"/>
              <w:right w:val="single" w:color="auto" w:sz="4" w:space="0"/>
            </w:tcBorders>
            <w:shd w:val="clear" w:color="auto" w:fill="auto"/>
            <w:vAlign w:val="center"/>
          </w:tcPr>
          <w:p w14:paraId="7D6777C3">
            <w:pPr>
              <w:keepNext w:val="0"/>
              <w:keepLines w:val="0"/>
              <w:widowControl/>
              <w:suppressLineNumbers w:val="0"/>
              <w:jc w:val="center"/>
              <w:textAlignment w:val="center"/>
              <w:rPr>
                <w:rFonts w:hint="eastAsia" w:asciiTheme="majorEastAsia" w:hAnsiTheme="majorEastAsia" w:eastAsiaTheme="majorEastAsia" w:cstheme="majorEastAsia"/>
                <w:sz w:val="18"/>
                <w:szCs w:val="18"/>
                <w:lang w:eastAsia="zh-CN"/>
              </w:rPr>
            </w:pPr>
            <w:r>
              <w:rPr>
                <w:rFonts w:hint="eastAsia" w:asciiTheme="minorEastAsia" w:hAnsiTheme="minorEastAsia" w:eastAsiaTheme="minorEastAsia" w:cstheme="minorEastAsia"/>
                <w:sz w:val="18"/>
                <w:szCs w:val="18"/>
                <w:lang w:eastAsia="zh-CN"/>
              </w:rPr>
              <w:t>县</w:t>
            </w:r>
            <w:r>
              <w:rPr>
                <w:rFonts w:hint="eastAsia" w:asciiTheme="minorEastAsia" w:hAnsiTheme="minorEastAsia" w:eastAsiaTheme="minorEastAsia" w:cs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359DB80C">
            <w:pPr>
              <w:keepNext w:val="0"/>
              <w:keepLines w:val="0"/>
              <w:widowControl/>
              <w:suppressLineNumbers w:val="0"/>
              <w:jc w:val="center"/>
              <w:textAlignment w:val="center"/>
              <w:rPr>
                <w:rFonts w:hint="eastAsia" w:asciiTheme="majorEastAsia" w:hAnsiTheme="majorEastAsia" w:eastAsiaTheme="majorEastAsia" w:cstheme="majorEastAsia"/>
                <w:sz w:val="18"/>
                <w:szCs w:val="18"/>
                <w:lang w:eastAsia="zh-CN"/>
              </w:rPr>
            </w:pPr>
            <w:r>
              <w:rPr>
                <w:rFonts w:hint="eastAsia" w:asciiTheme="majorEastAsia" w:hAnsiTheme="majorEastAsia" w:eastAsiaTheme="majorEastAsia" w:cstheme="majorEastAsia"/>
                <w:i w:val="0"/>
                <w:color w:val="000000"/>
                <w:kern w:val="0"/>
                <w:sz w:val="18"/>
                <w:szCs w:val="18"/>
                <w:u w:val="none"/>
                <w:lang w:val="en-US" w:eastAsia="zh-CN" w:bidi="ar"/>
              </w:rPr>
              <w:t>关于做好20XX年享受国务院政府特殊津贴人员推荐选拔工作的通知</w:t>
            </w:r>
          </w:p>
        </w:tc>
        <w:tc>
          <w:tcPr>
            <w:tcW w:w="2260" w:type="dxa"/>
            <w:tcBorders>
              <w:top w:val="single" w:color="auto" w:sz="4" w:space="0"/>
              <w:left w:val="nil"/>
              <w:bottom w:val="single" w:color="auto" w:sz="4" w:space="0"/>
              <w:right w:val="single" w:color="auto" w:sz="4" w:space="0"/>
            </w:tcBorders>
            <w:shd w:val="clear" w:color="auto" w:fill="auto"/>
            <w:vAlign w:val="center"/>
          </w:tcPr>
          <w:p w14:paraId="2340E12A">
            <w:pPr>
              <w:keepNext w:val="0"/>
              <w:keepLines w:val="0"/>
              <w:widowControl/>
              <w:suppressLineNumbers w:val="0"/>
              <w:jc w:val="left"/>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 xml:space="preserve">1.受理责任：受理依规定应提交的资料，一次性告知补正材料。 </w:t>
            </w:r>
          </w:p>
          <w:p w14:paraId="24F56024">
            <w:pPr>
              <w:keepNext w:val="0"/>
              <w:keepLines w:val="0"/>
              <w:widowControl/>
              <w:suppressLineNumbers w:val="0"/>
              <w:jc w:val="left"/>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 xml:space="preserve">2.审查责任：审核提交材料是否完整，填写是否正确，一次性告之补正材料；  </w:t>
            </w:r>
          </w:p>
          <w:p w14:paraId="4B184FA3">
            <w:pPr>
              <w:keepNext w:val="0"/>
              <w:keepLines w:val="0"/>
              <w:widowControl/>
              <w:suppressLineNumbers w:val="0"/>
              <w:jc w:val="left"/>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3.决定责任：对符合条件的予以上报；</w:t>
            </w:r>
          </w:p>
          <w:p w14:paraId="57952C0D">
            <w:pPr>
              <w:keepNext w:val="0"/>
              <w:keepLines w:val="0"/>
              <w:widowControl/>
              <w:suppressLineNumbers w:val="0"/>
              <w:jc w:val="left"/>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4.送达责任：将审核结果告知单位，由单位办理后续手续；　　　　　　　5.事后监管责任：对各单位申报工作进行业务指导，按照文件的规定推荐符合申报条件的人选。　　　　　　</w:t>
            </w:r>
          </w:p>
          <w:p w14:paraId="7350A732">
            <w:pPr>
              <w:keepNext w:val="0"/>
              <w:keepLines w:val="0"/>
              <w:widowControl/>
              <w:suppressLineNumbers w:val="0"/>
              <w:jc w:val="left"/>
              <w:textAlignment w:val="center"/>
              <w:rPr>
                <w:rFonts w:hint="eastAsia" w:asciiTheme="majorEastAsia" w:hAnsiTheme="majorEastAsia" w:eastAsiaTheme="majorEastAsia" w:cstheme="majorEastAsia"/>
                <w:sz w:val="18"/>
                <w:szCs w:val="18"/>
                <w:lang w:eastAsia="zh-CN"/>
              </w:rPr>
            </w:pPr>
            <w:r>
              <w:rPr>
                <w:rFonts w:hint="eastAsia" w:asciiTheme="majorEastAsia" w:hAnsiTheme="majorEastAsia" w:eastAsiaTheme="majorEastAsia" w:cstheme="majorEastAsia"/>
                <w:i w:val="0"/>
                <w:color w:val="000000"/>
                <w:kern w:val="0"/>
                <w:sz w:val="18"/>
                <w:szCs w:val="18"/>
                <w:u w:val="none"/>
                <w:lang w:val="en-US" w:eastAsia="zh-CN" w:bidi="ar"/>
              </w:rPr>
              <w:t>6.其他法律法规或文件规定应履行的责任。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63CAE9AF">
            <w:pPr>
              <w:keepNext w:val="0"/>
              <w:keepLines w:val="0"/>
              <w:widowControl/>
              <w:suppressLineNumbers w:val="0"/>
              <w:jc w:val="left"/>
              <w:textAlignment w:val="center"/>
              <w:rPr>
                <w:rFonts w:hint="eastAsia" w:asciiTheme="majorEastAsia" w:hAnsiTheme="majorEastAsia" w:eastAsiaTheme="majorEastAsia" w:cstheme="majorEastAsia"/>
                <w:sz w:val="18"/>
                <w:szCs w:val="18"/>
              </w:rPr>
            </w:pPr>
            <w:r>
              <w:rPr>
                <w:rFonts w:hint="eastAsia" w:asciiTheme="majorEastAsia" w:hAnsiTheme="majorEastAsia" w:eastAsiaTheme="majorEastAsia" w:cstheme="majorEastAsia"/>
                <w:i w:val="0"/>
                <w:color w:val="000000"/>
                <w:kern w:val="0"/>
                <w:sz w:val="18"/>
                <w:szCs w:val="18"/>
                <w:u w:val="none"/>
                <w:lang w:val="en-US" w:eastAsia="zh-CN" w:bidi="ar"/>
              </w:rPr>
              <w:t>因不履行或不正确履行行政职责，有下列情形的，行政机关及相关工作人员应承担相应责任：</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1.对符合受理条件的申请不予受理的；</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2.未严格按照相关政策、法律、法规履行审查义务，对应当予以批准的不予批准，或者对不应批准的予以批准；</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3.工作人员滥用职权、徇私舞弊、玩忽职守的；</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4.工作人员索贿、受贿，谋取不正当利益的；</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5.其他违反法律法规规章文件规定的行为。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0597D0F1">
            <w:pPr>
              <w:adjustRightInd/>
              <w:snapToGrid/>
              <w:spacing w:after="0" w:line="240" w:lineRule="exact"/>
              <w:rPr>
                <w:rFonts w:hint="eastAsia" w:cs="宋体" w:asciiTheme="minorEastAsia" w:hAnsiTheme="minorEastAsia" w:eastAsiaTheme="minorEastAsia"/>
                <w:sz w:val="18"/>
                <w:szCs w:val="18"/>
              </w:rPr>
            </w:pPr>
          </w:p>
        </w:tc>
      </w:tr>
      <w:tr w14:paraId="78CF82DB">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02890428">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41</w:t>
            </w:r>
          </w:p>
        </w:tc>
        <w:tc>
          <w:tcPr>
            <w:tcW w:w="1080" w:type="dxa"/>
            <w:tcBorders>
              <w:top w:val="single" w:color="auto" w:sz="4" w:space="0"/>
              <w:left w:val="nil"/>
              <w:bottom w:val="single" w:color="auto" w:sz="4" w:space="0"/>
              <w:right w:val="single" w:color="auto" w:sz="4" w:space="0"/>
            </w:tcBorders>
            <w:shd w:val="clear" w:color="auto" w:fill="auto"/>
            <w:vAlign w:val="center"/>
          </w:tcPr>
          <w:p w14:paraId="513FE1B7">
            <w:pPr>
              <w:keepNext w:val="0"/>
              <w:keepLines w:val="0"/>
              <w:widowControl/>
              <w:suppressLineNumbers w:val="0"/>
              <w:jc w:val="center"/>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其他类</w:t>
            </w:r>
          </w:p>
        </w:tc>
        <w:tc>
          <w:tcPr>
            <w:tcW w:w="2460" w:type="dxa"/>
            <w:tcBorders>
              <w:top w:val="single" w:color="auto" w:sz="4" w:space="0"/>
              <w:left w:val="nil"/>
              <w:bottom w:val="single" w:color="auto" w:sz="4" w:space="0"/>
              <w:right w:val="single" w:color="auto" w:sz="4" w:space="0"/>
            </w:tcBorders>
            <w:shd w:val="clear" w:color="auto" w:fill="auto"/>
            <w:vAlign w:val="center"/>
          </w:tcPr>
          <w:p w14:paraId="31A5B7AA">
            <w:pPr>
              <w:keepNext w:val="0"/>
              <w:keepLines w:val="0"/>
              <w:widowControl/>
              <w:suppressLineNumbers w:val="0"/>
              <w:jc w:val="left"/>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河北省</w:t>
            </w:r>
            <w:r>
              <w:rPr>
                <w:rStyle w:val="25"/>
                <w:rFonts w:hint="eastAsia" w:asciiTheme="majorEastAsia" w:hAnsiTheme="majorEastAsia" w:eastAsiaTheme="majorEastAsia" w:cstheme="majorEastAsia"/>
                <w:sz w:val="18"/>
                <w:szCs w:val="18"/>
                <w:lang w:val="en-US" w:eastAsia="zh-CN" w:bidi="ar"/>
              </w:rPr>
              <w:t>“</w:t>
            </w:r>
            <w:r>
              <w:rPr>
                <w:rStyle w:val="26"/>
                <w:rFonts w:hint="eastAsia" w:asciiTheme="majorEastAsia" w:hAnsiTheme="majorEastAsia" w:eastAsiaTheme="majorEastAsia" w:cstheme="majorEastAsia"/>
                <w:sz w:val="18"/>
                <w:szCs w:val="18"/>
                <w:lang w:val="en-US" w:eastAsia="zh-CN" w:bidi="ar"/>
              </w:rPr>
              <w:t>三三三人才工程</w:t>
            </w:r>
            <w:r>
              <w:rPr>
                <w:rStyle w:val="25"/>
                <w:rFonts w:hint="eastAsia" w:asciiTheme="majorEastAsia" w:hAnsiTheme="majorEastAsia" w:eastAsiaTheme="majorEastAsia" w:cstheme="majorEastAsia"/>
                <w:sz w:val="18"/>
                <w:szCs w:val="18"/>
                <w:lang w:val="en-US" w:eastAsia="zh-CN" w:bidi="ar"/>
              </w:rPr>
              <w:t>”</w:t>
            </w:r>
            <w:r>
              <w:rPr>
                <w:rStyle w:val="26"/>
                <w:rFonts w:hint="eastAsia" w:asciiTheme="majorEastAsia" w:hAnsiTheme="majorEastAsia" w:eastAsiaTheme="majorEastAsia" w:cstheme="majorEastAsia"/>
                <w:sz w:val="18"/>
                <w:szCs w:val="18"/>
                <w:lang w:val="en-US" w:eastAsia="zh-CN" w:bidi="ar"/>
              </w:rPr>
              <w:t>一、二层次人选选拔、评审</w:t>
            </w:r>
          </w:p>
        </w:tc>
        <w:tc>
          <w:tcPr>
            <w:tcW w:w="1180" w:type="dxa"/>
            <w:tcBorders>
              <w:top w:val="single" w:color="auto" w:sz="4" w:space="0"/>
              <w:left w:val="nil"/>
              <w:bottom w:val="single" w:color="auto" w:sz="4" w:space="0"/>
              <w:right w:val="single" w:color="auto" w:sz="4" w:space="0"/>
            </w:tcBorders>
            <w:shd w:val="clear" w:color="auto" w:fill="auto"/>
            <w:vAlign w:val="center"/>
          </w:tcPr>
          <w:p w14:paraId="5CB45EB7">
            <w:pPr>
              <w:keepNext w:val="0"/>
              <w:keepLines w:val="0"/>
              <w:widowControl/>
              <w:suppressLineNumbers w:val="0"/>
              <w:jc w:val="center"/>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inorEastAsia" w:hAnsiTheme="minorEastAsia" w:eastAsiaTheme="minorEastAsia" w:cstheme="minorEastAsia"/>
                <w:sz w:val="18"/>
                <w:szCs w:val="18"/>
                <w:lang w:eastAsia="zh-CN"/>
              </w:rPr>
              <w:t>县</w:t>
            </w:r>
            <w:r>
              <w:rPr>
                <w:rFonts w:hint="eastAsia" w:asciiTheme="minorEastAsia" w:hAnsiTheme="minorEastAsia" w:eastAsiaTheme="minorEastAsia" w:cs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7AF12986">
            <w:pPr>
              <w:keepNext w:val="0"/>
              <w:keepLines w:val="0"/>
              <w:widowControl/>
              <w:suppressLineNumbers w:val="0"/>
              <w:jc w:val="left"/>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《河北省“三三三人才工程”实施方案》冀人社发〔2014〕25号</w:t>
            </w:r>
          </w:p>
        </w:tc>
        <w:tc>
          <w:tcPr>
            <w:tcW w:w="2260" w:type="dxa"/>
            <w:tcBorders>
              <w:top w:val="single" w:color="auto" w:sz="4" w:space="0"/>
              <w:left w:val="nil"/>
              <w:bottom w:val="single" w:color="auto" w:sz="4" w:space="0"/>
              <w:right w:val="single" w:color="auto" w:sz="4" w:space="0"/>
            </w:tcBorders>
            <w:shd w:val="clear" w:color="auto" w:fill="auto"/>
            <w:vAlign w:val="center"/>
          </w:tcPr>
          <w:p w14:paraId="7C6EBC32">
            <w:pPr>
              <w:keepNext w:val="0"/>
              <w:keepLines w:val="0"/>
              <w:widowControl/>
              <w:numPr>
                <w:ilvl w:val="0"/>
                <w:numId w:val="0"/>
              </w:numPr>
              <w:suppressLineNumbers w:val="0"/>
              <w:jc w:val="left"/>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 xml:space="preserve">1.受理责任：受理依规定应提交的资料，一次性告知补正材料。 </w:t>
            </w:r>
          </w:p>
          <w:p w14:paraId="2C5A10BC">
            <w:pPr>
              <w:keepNext w:val="0"/>
              <w:keepLines w:val="0"/>
              <w:widowControl/>
              <w:numPr>
                <w:ilvl w:val="0"/>
                <w:numId w:val="0"/>
              </w:numPr>
              <w:suppressLineNumbers w:val="0"/>
              <w:jc w:val="left"/>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 xml:space="preserve">2.审查责任：审核提交材料是否完整，填写是否正确，一次性告之补正材料；  </w:t>
            </w:r>
          </w:p>
          <w:p w14:paraId="20FE9E59">
            <w:pPr>
              <w:keepNext w:val="0"/>
              <w:keepLines w:val="0"/>
              <w:widowControl/>
              <w:numPr>
                <w:ilvl w:val="0"/>
                <w:numId w:val="0"/>
              </w:numPr>
              <w:suppressLineNumbers w:val="0"/>
              <w:jc w:val="left"/>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3.决定责任：对符合条件的予以上报；</w:t>
            </w:r>
          </w:p>
          <w:p w14:paraId="2531282A">
            <w:pPr>
              <w:keepNext w:val="0"/>
              <w:keepLines w:val="0"/>
              <w:widowControl/>
              <w:numPr>
                <w:ilvl w:val="0"/>
                <w:numId w:val="0"/>
              </w:numPr>
              <w:suppressLineNumbers w:val="0"/>
              <w:jc w:val="left"/>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4.送达责任：将审核结果告知单位，由单位办理后续手续；　　　　　　　5.事后监管责任：对各单位申报工作进行业务指导，按照文件的规定推荐符合申报条件的人选。　　　　　　</w:t>
            </w:r>
          </w:p>
          <w:p w14:paraId="3FB438A9">
            <w:pPr>
              <w:keepNext w:val="0"/>
              <w:keepLines w:val="0"/>
              <w:widowControl/>
              <w:numPr>
                <w:ilvl w:val="0"/>
                <w:numId w:val="0"/>
              </w:numPr>
              <w:suppressLineNumbers w:val="0"/>
              <w:jc w:val="left"/>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6.其他法律法规或文件规定应履行的责任。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5707E7AF">
            <w:pPr>
              <w:keepNext w:val="0"/>
              <w:keepLines w:val="0"/>
              <w:widowControl/>
              <w:suppressLineNumbers w:val="0"/>
              <w:jc w:val="left"/>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因不履行或不正确履行行政职责，有下列情形的，行政机关及相关工作人员应承担相应责任：</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1.对符合受理条件的申请不予受理的；</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2.未严格按照相关政策、法律、法规履行审查义务，对应当予以批准的不予批准，或者对不应批准的予以批准；</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3.工作人员滥用职权、徇私舞弊、玩忽职守的；</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4.工作人员索贿、受贿，谋取不正当利益的；</w:t>
            </w:r>
            <w:r>
              <w:rPr>
                <w:rFonts w:hint="eastAsia" w:asciiTheme="majorEastAsia" w:hAnsiTheme="majorEastAsia" w:eastAsiaTheme="majorEastAsia" w:cstheme="majorEastAsia"/>
                <w:i w:val="0"/>
                <w:color w:val="000000"/>
                <w:kern w:val="0"/>
                <w:sz w:val="18"/>
                <w:szCs w:val="18"/>
                <w:u w:val="none"/>
                <w:lang w:val="en-US" w:eastAsia="zh-CN" w:bidi="ar"/>
              </w:rPr>
              <w:br w:type="textWrapping"/>
            </w:r>
            <w:r>
              <w:rPr>
                <w:rFonts w:hint="eastAsia" w:asciiTheme="majorEastAsia" w:hAnsiTheme="majorEastAsia" w:eastAsiaTheme="majorEastAsia" w:cstheme="majorEastAsia"/>
                <w:i w:val="0"/>
                <w:color w:val="000000"/>
                <w:kern w:val="0"/>
                <w:sz w:val="18"/>
                <w:szCs w:val="18"/>
                <w:u w:val="none"/>
                <w:lang w:val="en-US" w:eastAsia="zh-CN" w:bidi="ar"/>
              </w:rPr>
              <w:t>5.其他违反法律法规规章文件规定的行为。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4AEB4A1F">
            <w:pPr>
              <w:adjustRightInd/>
              <w:snapToGrid/>
              <w:spacing w:after="0" w:line="240" w:lineRule="exact"/>
              <w:rPr>
                <w:rFonts w:hint="eastAsia" w:cs="宋体" w:asciiTheme="minorEastAsia" w:hAnsiTheme="minorEastAsia" w:eastAsiaTheme="minorEastAsia"/>
                <w:sz w:val="18"/>
                <w:szCs w:val="18"/>
              </w:rPr>
            </w:pPr>
          </w:p>
        </w:tc>
      </w:tr>
      <w:tr w14:paraId="000E40A2">
        <w:tblPrEx>
          <w:tblCellMar>
            <w:top w:w="0" w:type="dxa"/>
            <w:left w:w="108" w:type="dxa"/>
            <w:bottom w:w="0" w:type="dxa"/>
            <w:right w:w="108" w:type="dxa"/>
          </w:tblCellMar>
        </w:tblPrEx>
        <w:trPr>
          <w:trHeight w:val="7425" w:hRule="atLeast"/>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441CD8B6">
            <w:pPr>
              <w:adjustRightInd/>
              <w:snapToGrid/>
              <w:spacing w:after="0" w:line="240" w:lineRule="exact"/>
              <w:jc w:val="center"/>
              <w:rPr>
                <w:rFonts w:hint="eastAsia" w:cs="宋体" w:asciiTheme="minorEastAsia" w:hAnsiTheme="minorEastAsia" w:eastAsiaTheme="minorEastAsia"/>
                <w:sz w:val="18"/>
                <w:szCs w:val="18"/>
                <w:lang w:val="en-US" w:eastAsia="zh-CN"/>
              </w:rPr>
            </w:pPr>
            <w:r>
              <w:rPr>
                <w:rFonts w:hint="eastAsia" w:cs="宋体" w:asciiTheme="minorEastAsia" w:hAnsiTheme="minorEastAsia" w:eastAsiaTheme="minorEastAsia"/>
                <w:sz w:val="18"/>
                <w:szCs w:val="18"/>
                <w:lang w:val="en-US" w:eastAsia="zh-CN"/>
              </w:rPr>
              <w:t>42</w:t>
            </w:r>
          </w:p>
        </w:tc>
        <w:tc>
          <w:tcPr>
            <w:tcW w:w="1080" w:type="dxa"/>
            <w:tcBorders>
              <w:top w:val="single" w:color="auto" w:sz="4" w:space="0"/>
              <w:left w:val="nil"/>
              <w:bottom w:val="single" w:color="auto" w:sz="4" w:space="0"/>
              <w:right w:val="single" w:color="auto" w:sz="4" w:space="0"/>
            </w:tcBorders>
            <w:shd w:val="clear" w:color="auto" w:fill="auto"/>
            <w:vAlign w:val="center"/>
          </w:tcPr>
          <w:p w14:paraId="108041BE">
            <w:pPr>
              <w:keepNext w:val="0"/>
              <w:keepLines w:val="0"/>
              <w:widowControl/>
              <w:suppressLineNumbers w:val="0"/>
              <w:jc w:val="center"/>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其他类</w:t>
            </w:r>
          </w:p>
        </w:tc>
        <w:tc>
          <w:tcPr>
            <w:tcW w:w="2460" w:type="dxa"/>
            <w:tcBorders>
              <w:top w:val="single" w:color="auto" w:sz="4" w:space="0"/>
              <w:left w:val="nil"/>
              <w:bottom w:val="single" w:color="auto" w:sz="4" w:space="0"/>
              <w:right w:val="single" w:color="auto" w:sz="4" w:space="0"/>
            </w:tcBorders>
            <w:shd w:val="clear" w:color="auto" w:fill="auto"/>
            <w:vAlign w:val="center"/>
          </w:tcPr>
          <w:p w14:paraId="40A84535">
            <w:pPr>
              <w:keepNext w:val="0"/>
              <w:keepLines w:val="0"/>
              <w:widowControl/>
              <w:suppressLineNumbers w:val="0"/>
              <w:jc w:val="left"/>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机关事业单位工勤岗位招聘计划审核审批</w:t>
            </w:r>
          </w:p>
        </w:tc>
        <w:tc>
          <w:tcPr>
            <w:tcW w:w="1180" w:type="dxa"/>
            <w:tcBorders>
              <w:top w:val="single" w:color="auto" w:sz="4" w:space="0"/>
              <w:left w:val="nil"/>
              <w:bottom w:val="single" w:color="auto" w:sz="4" w:space="0"/>
              <w:right w:val="single" w:color="auto" w:sz="4" w:space="0"/>
            </w:tcBorders>
            <w:shd w:val="clear" w:color="auto" w:fill="auto"/>
            <w:vAlign w:val="center"/>
          </w:tcPr>
          <w:p w14:paraId="22405AC2">
            <w:pPr>
              <w:keepNext w:val="0"/>
              <w:keepLines w:val="0"/>
              <w:widowControl/>
              <w:suppressLineNumbers w:val="0"/>
              <w:jc w:val="center"/>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inorEastAsia" w:hAnsiTheme="minorEastAsia" w:eastAsiaTheme="minorEastAsia" w:cstheme="minorEastAsia"/>
                <w:sz w:val="18"/>
                <w:szCs w:val="18"/>
                <w:lang w:eastAsia="zh-CN"/>
              </w:rPr>
              <w:t>县</w:t>
            </w:r>
            <w:r>
              <w:rPr>
                <w:rFonts w:hint="eastAsia" w:asciiTheme="minorEastAsia" w:hAnsiTheme="minorEastAsia" w:eastAsiaTheme="minorEastAsia" w:cstheme="minorEastAsia"/>
                <w:sz w:val="18"/>
                <w:szCs w:val="18"/>
              </w:rPr>
              <w:t>人社局</w:t>
            </w:r>
          </w:p>
        </w:tc>
        <w:tc>
          <w:tcPr>
            <w:tcW w:w="3340" w:type="dxa"/>
            <w:tcBorders>
              <w:top w:val="single" w:color="auto" w:sz="4" w:space="0"/>
              <w:left w:val="nil"/>
              <w:bottom w:val="single" w:color="auto" w:sz="4" w:space="0"/>
              <w:right w:val="single" w:color="auto" w:sz="4" w:space="0"/>
            </w:tcBorders>
            <w:shd w:val="clear" w:color="auto" w:fill="auto"/>
            <w:vAlign w:val="center"/>
          </w:tcPr>
          <w:p w14:paraId="1A635139">
            <w:pPr>
              <w:keepNext w:val="0"/>
              <w:keepLines w:val="0"/>
              <w:widowControl/>
              <w:suppressLineNumbers w:val="0"/>
              <w:jc w:val="left"/>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1.《事业单位公开招聘人员暂行规定》第十三条：“地（市）、县（市）人民政府所属事业单位的招聘计划须报地区或设区的市政府人事行政部门核准。”2.《关于印发〈机关、事业单位增人计划卡暂行管理办法〉的通知》（人发〔1996〕55号）第六条：“...每年由人事计划部门在分解下达和调整职工人数计划时核发...”；第七条：“增人计划卡是机关、事业单位办理增加职工手续和增加工资总额计划及报批工资基金使用计划的凭证...”3《印发〈关于严格控制全省机关事业单位增加人员的意见〉的通知》（冀政办〔2005〕16号）六：“市、县（市、区）、乡（镇）事业单位...增人计划，4.《保定市事业单位公开招聘工作人员暂行办法》的通知（保人社发〔2011〕70号）文件全文。报市人社局按规定程序审批..”。</w:t>
            </w:r>
          </w:p>
        </w:tc>
        <w:tc>
          <w:tcPr>
            <w:tcW w:w="2260" w:type="dxa"/>
            <w:tcBorders>
              <w:top w:val="single" w:color="auto" w:sz="4" w:space="0"/>
              <w:left w:val="nil"/>
              <w:bottom w:val="single" w:color="auto" w:sz="4" w:space="0"/>
              <w:right w:val="single" w:color="auto" w:sz="4" w:space="0"/>
            </w:tcBorders>
            <w:shd w:val="clear" w:color="auto" w:fill="auto"/>
            <w:vAlign w:val="center"/>
          </w:tcPr>
          <w:p w14:paraId="78E468BE">
            <w:pPr>
              <w:keepNext w:val="0"/>
              <w:keepLines w:val="0"/>
              <w:widowControl/>
              <w:suppressLineNumbers w:val="0"/>
              <w:jc w:val="left"/>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1.受理责任：公示依规定应提交的资料，在政策规定条件内受理计划申请。2.审核责任：对用人单位提交资料进行审核，对不符合规定的不予受理，资料不全者退回单位补充相关资料。3.决定责任：办理编制使用核准并按管理权限报请审批后，下达招聘计划。4.送达责任：将计划数额下达到各单位，由相关部门按政策组织招聘活动。5.事后监督责任：对各部门计划申报工作进行业务指导，对不符合政策规定的提出纠正意见。6.其他法律法规或文件规定应履行的责任。</w:t>
            </w:r>
          </w:p>
        </w:tc>
        <w:tc>
          <w:tcPr>
            <w:tcW w:w="2800" w:type="dxa"/>
            <w:tcBorders>
              <w:top w:val="single" w:color="auto" w:sz="4" w:space="0"/>
              <w:left w:val="nil"/>
              <w:bottom w:val="single" w:color="auto" w:sz="4" w:space="0"/>
              <w:right w:val="single" w:color="auto" w:sz="4" w:space="0"/>
            </w:tcBorders>
            <w:shd w:val="clear" w:color="auto" w:fill="auto"/>
            <w:vAlign w:val="center"/>
          </w:tcPr>
          <w:p w14:paraId="4BA065DD">
            <w:pPr>
              <w:keepNext w:val="0"/>
              <w:keepLines w:val="0"/>
              <w:widowControl/>
              <w:suppressLineNumbers w:val="0"/>
              <w:jc w:val="left"/>
              <w:textAlignment w:val="center"/>
              <w:rPr>
                <w:rFonts w:hint="eastAsia" w:asciiTheme="majorEastAsia" w:hAnsiTheme="majorEastAsia" w:eastAsiaTheme="majorEastAsia" w:cstheme="majorEastAsia"/>
                <w:i w:val="0"/>
                <w:color w:val="000000"/>
                <w:kern w:val="0"/>
                <w:sz w:val="18"/>
                <w:szCs w:val="18"/>
                <w:u w:val="none"/>
                <w:lang w:val="en-US" w:eastAsia="zh-CN" w:bidi="ar"/>
              </w:rPr>
            </w:pPr>
            <w:r>
              <w:rPr>
                <w:rFonts w:hint="eastAsia" w:asciiTheme="majorEastAsia" w:hAnsiTheme="majorEastAsia" w:eastAsiaTheme="majorEastAsia" w:cstheme="majorEastAsia"/>
                <w:i w:val="0"/>
                <w:color w:val="000000"/>
                <w:kern w:val="0"/>
                <w:sz w:val="18"/>
                <w:szCs w:val="18"/>
                <w:u w:val="none"/>
                <w:lang w:val="en-US" w:eastAsia="zh-CN" w:bidi="ar"/>
              </w:rPr>
              <w:t>因不履行或不正确履行行政职责，有下列情形，行政机关及相关工作人员应承担相应责任：1.超编下达招聘计划。2.未按规定审批程序下达招聘计划。3.工作人员滥用职权、徇私舞弊、玩忽职守的。4.工作人员索贿、受贿，谋取不正当利益的。5.其他违反法律法规规章文件规定的行为。</w:t>
            </w:r>
          </w:p>
        </w:tc>
        <w:tc>
          <w:tcPr>
            <w:tcW w:w="680" w:type="dxa"/>
            <w:tcBorders>
              <w:top w:val="single" w:color="auto" w:sz="4" w:space="0"/>
              <w:left w:val="nil"/>
              <w:bottom w:val="single" w:color="auto" w:sz="4" w:space="0"/>
              <w:right w:val="single" w:color="auto" w:sz="4" w:space="0"/>
            </w:tcBorders>
            <w:shd w:val="clear" w:color="auto" w:fill="auto"/>
            <w:vAlign w:val="center"/>
          </w:tcPr>
          <w:p w14:paraId="74D6D87D">
            <w:pPr>
              <w:adjustRightInd/>
              <w:snapToGrid/>
              <w:spacing w:after="0" w:line="240" w:lineRule="exact"/>
              <w:rPr>
                <w:rFonts w:hint="eastAsia" w:cs="宋体" w:asciiTheme="minorEastAsia" w:hAnsiTheme="minorEastAsia" w:eastAsiaTheme="minorEastAsia"/>
                <w:sz w:val="18"/>
                <w:szCs w:val="18"/>
              </w:rPr>
            </w:pPr>
          </w:p>
        </w:tc>
      </w:tr>
    </w:tbl>
    <w:p w14:paraId="5ED6E1E3">
      <w:pPr>
        <w:spacing w:line="240" w:lineRule="exact"/>
        <w:rPr>
          <w:rFonts w:asciiTheme="minorEastAsia" w:hAnsiTheme="minorEastAsia" w:eastAsiaTheme="minorEastAsia"/>
          <w:sz w:val="18"/>
          <w:szCs w:val="18"/>
        </w:rPr>
      </w:pPr>
    </w:p>
    <w:sectPr>
      <w:headerReference r:id="rId5" w:type="default"/>
      <w:footerReference r:id="rId6" w:type="default"/>
      <w:pgSz w:w="16838" w:h="11906" w:orient="landscape"/>
      <w:pgMar w:top="720" w:right="720" w:bottom="720" w:left="72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86A6F">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E47D68">
                          <w:pPr>
                            <w:snapToGrid w:val="0"/>
                            <w:rPr>
                              <w:rFonts w:hint="eastAsia" w:eastAsia="微软雅黑"/>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0FE47D68">
                    <w:pPr>
                      <w:snapToGrid w:val="0"/>
                      <w:rPr>
                        <w:rFonts w:hint="eastAsia" w:eastAsia="微软雅黑"/>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3D7FA">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D122F8"/>
    <w:multiLevelType w:val="singleLevel"/>
    <w:tmpl w:val="94D122F8"/>
    <w:lvl w:ilvl="0" w:tentative="0">
      <w:start w:val="1"/>
      <w:numFmt w:val="decimal"/>
      <w:suff w:val="space"/>
      <w:lvlText w:val="%1."/>
      <w:lvlJc w:val="left"/>
    </w:lvl>
  </w:abstractNum>
  <w:abstractNum w:abstractNumId="1">
    <w:nsid w:val="606D5880"/>
    <w:multiLevelType w:val="singleLevel"/>
    <w:tmpl w:val="606D5880"/>
    <w:lvl w:ilvl="0" w:tentative="0">
      <w:start w:val="1"/>
      <w:numFmt w:val="decimal"/>
      <w:suff w:val="nothing"/>
      <w:lvlText w:val="%1."/>
      <w:lvlJc w:val="left"/>
    </w:lvl>
  </w:abstractNum>
  <w:abstractNum w:abstractNumId="2">
    <w:nsid w:val="606D59EC"/>
    <w:multiLevelType w:val="singleLevel"/>
    <w:tmpl w:val="606D59EC"/>
    <w:lvl w:ilvl="0" w:tentative="0">
      <w:start w:val="1"/>
      <w:numFmt w:val="decimal"/>
      <w:suff w:val="nothing"/>
      <w:lvlText w:val="%1."/>
      <w:lvlJc w:val="left"/>
    </w:lvl>
  </w:abstractNum>
  <w:abstractNum w:abstractNumId="3">
    <w:nsid w:val="606D5AC8"/>
    <w:multiLevelType w:val="singleLevel"/>
    <w:tmpl w:val="606D5AC8"/>
    <w:lvl w:ilvl="0" w:tentative="0">
      <w:start w:val="1"/>
      <w:numFmt w:val="decimal"/>
      <w:suff w:val="nothing"/>
      <w:lvlText w:val="%1."/>
      <w:lvlJc w:val="left"/>
    </w:lvl>
  </w:abstractNum>
  <w:abstractNum w:abstractNumId="4">
    <w:nsid w:val="606D5B2C"/>
    <w:multiLevelType w:val="singleLevel"/>
    <w:tmpl w:val="606D5B2C"/>
    <w:lvl w:ilvl="0" w:tentative="0">
      <w:start w:val="1"/>
      <w:numFmt w:val="decimal"/>
      <w:suff w:val="nothing"/>
      <w:lvlText w:val="%1."/>
      <w:lvlJc w:val="left"/>
    </w:lvl>
  </w:abstractNum>
  <w:abstractNum w:abstractNumId="5">
    <w:nsid w:val="606D5BC1"/>
    <w:multiLevelType w:val="singleLevel"/>
    <w:tmpl w:val="606D5BC1"/>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UyYWFlYmY1MDgzZjVkMTIyZDNjNGU3MzRhOTU3MzYifQ=="/>
  </w:docVars>
  <w:rsids>
    <w:rsidRoot w:val="00D31D50"/>
    <w:rsid w:val="00283D5C"/>
    <w:rsid w:val="00323B43"/>
    <w:rsid w:val="003D37D8"/>
    <w:rsid w:val="00426133"/>
    <w:rsid w:val="004358AB"/>
    <w:rsid w:val="008B7726"/>
    <w:rsid w:val="0098480C"/>
    <w:rsid w:val="00AB7EB4"/>
    <w:rsid w:val="00D31D50"/>
    <w:rsid w:val="00D33054"/>
    <w:rsid w:val="00EF595F"/>
    <w:rsid w:val="017F2EAA"/>
    <w:rsid w:val="01933785"/>
    <w:rsid w:val="02462C24"/>
    <w:rsid w:val="02D27E8F"/>
    <w:rsid w:val="037E2EA7"/>
    <w:rsid w:val="039C554C"/>
    <w:rsid w:val="03C52ED3"/>
    <w:rsid w:val="043C5CAE"/>
    <w:rsid w:val="05094A48"/>
    <w:rsid w:val="05154E4D"/>
    <w:rsid w:val="06AE1203"/>
    <w:rsid w:val="06BA75CC"/>
    <w:rsid w:val="07137B5D"/>
    <w:rsid w:val="07283C5B"/>
    <w:rsid w:val="074A2FC6"/>
    <w:rsid w:val="07626467"/>
    <w:rsid w:val="079155D2"/>
    <w:rsid w:val="07A91150"/>
    <w:rsid w:val="07BD199F"/>
    <w:rsid w:val="08953435"/>
    <w:rsid w:val="09596A0C"/>
    <w:rsid w:val="0A13485E"/>
    <w:rsid w:val="0A8C378C"/>
    <w:rsid w:val="0A91603D"/>
    <w:rsid w:val="0AA213D7"/>
    <w:rsid w:val="0B1A24BC"/>
    <w:rsid w:val="0B426018"/>
    <w:rsid w:val="0BAC6D3D"/>
    <w:rsid w:val="0BFC7B4B"/>
    <w:rsid w:val="0CAD0360"/>
    <w:rsid w:val="0D5B7924"/>
    <w:rsid w:val="0D790AF6"/>
    <w:rsid w:val="0DC51898"/>
    <w:rsid w:val="0F19479C"/>
    <w:rsid w:val="0F2934D9"/>
    <w:rsid w:val="0F530EC7"/>
    <w:rsid w:val="0F853388"/>
    <w:rsid w:val="10954CC6"/>
    <w:rsid w:val="10B935E7"/>
    <w:rsid w:val="10F226D1"/>
    <w:rsid w:val="11F24970"/>
    <w:rsid w:val="125F13F9"/>
    <w:rsid w:val="12936430"/>
    <w:rsid w:val="13487A0D"/>
    <w:rsid w:val="13845A4C"/>
    <w:rsid w:val="13A11204"/>
    <w:rsid w:val="13BB0150"/>
    <w:rsid w:val="14072E69"/>
    <w:rsid w:val="1410657B"/>
    <w:rsid w:val="142F3235"/>
    <w:rsid w:val="14C305AF"/>
    <w:rsid w:val="14DC410A"/>
    <w:rsid w:val="17106D09"/>
    <w:rsid w:val="17313EF1"/>
    <w:rsid w:val="177D5912"/>
    <w:rsid w:val="1841062D"/>
    <w:rsid w:val="187C7A47"/>
    <w:rsid w:val="18C328CE"/>
    <w:rsid w:val="19B52C66"/>
    <w:rsid w:val="1A6D5B31"/>
    <w:rsid w:val="1AA86C0C"/>
    <w:rsid w:val="1B1E51CE"/>
    <w:rsid w:val="1B51387C"/>
    <w:rsid w:val="1CB828E7"/>
    <w:rsid w:val="1D595DDE"/>
    <w:rsid w:val="1D643867"/>
    <w:rsid w:val="1E264496"/>
    <w:rsid w:val="1E575C0C"/>
    <w:rsid w:val="1EFA15E0"/>
    <w:rsid w:val="1F436772"/>
    <w:rsid w:val="1F49005B"/>
    <w:rsid w:val="1F5979B8"/>
    <w:rsid w:val="1FE059C0"/>
    <w:rsid w:val="20B410DD"/>
    <w:rsid w:val="20FB0418"/>
    <w:rsid w:val="2148390E"/>
    <w:rsid w:val="21564C0E"/>
    <w:rsid w:val="227F3447"/>
    <w:rsid w:val="231168A3"/>
    <w:rsid w:val="23C31AF5"/>
    <w:rsid w:val="246C74EF"/>
    <w:rsid w:val="24AF6585"/>
    <w:rsid w:val="256A22C7"/>
    <w:rsid w:val="25A54C6A"/>
    <w:rsid w:val="262031C5"/>
    <w:rsid w:val="26931913"/>
    <w:rsid w:val="270E7514"/>
    <w:rsid w:val="27134106"/>
    <w:rsid w:val="27D93866"/>
    <w:rsid w:val="28585076"/>
    <w:rsid w:val="288D5EC0"/>
    <w:rsid w:val="28C6246C"/>
    <w:rsid w:val="29D520AC"/>
    <w:rsid w:val="29F3274D"/>
    <w:rsid w:val="2AE40665"/>
    <w:rsid w:val="2B051B57"/>
    <w:rsid w:val="2C2F17C0"/>
    <w:rsid w:val="2F5773FD"/>
    <w:rsid w:val="2F66345C"/>
    <w:rsid w:val="301E6001"/>
    <w:rsid w:val="30493BB2"/>
    <w:rsid w:val="30811D66"/>
    <w:rsid w:val="31574C6E"/>
    <w:rsid w:val="319909BF"/>
    <w:rsid w:val="31C417C4"/>
    <w:rsid w:val="31D47C1C"/>
    <w:rsid w:val="31EE2D20"/>
    <w:rsid w:val="31F2200B"/>
    <w:rsid w:val="324520B5"/>
    <w:rsid w:val="330F33BA"/>
    <w:rsid w:val="333E7D44"/>
    <w:rsid w:val="33D66744"/>
    <w:rsid w:val="34662127"/>
    <w:rsid w:val="34C60FDB"/>
    <w:rsid w:val="34C91408"/>
    <w:rsid w:val="35B07F22"/>
    <w:rsid w:val="36673DD6"/>
    <w:rsid w:val="37310F52"/>
    <w:rsid w:val="3767082B"/>
    <w:rsid w:val="37A0090B"/>
    <w:rsid w:val="383A78F0"/>
    <w:rsid w:val="39065C01"/>
    <w:rsid w:val="396920CC"/>
    <w:rsid w:val="39C7556E"/>
    <w:rsid w:val="3A1D3BEB"/>
    <w:rsid w:val="3A3F577D"/>
    <w:rsid w:val="3B1E23E4"/>
    <w:rsid w:val="3BBF7663"/>
    <w:rsid w:val="3C2034EB"/>
    <w:rsid w:val="3C447744"/>
    <w:rsid w:val="3C504EB4"/>
    <w:rsid w:val="3E6C3E74"/>
    <w:rsid w:val="3E7345BA"/>
    <w:rsid w:val="3EE6483A"/>
    <w:rsid w:val="3F18313E"/>
    <w:rsid w:val="40204684"/>
    <w:rsid w:val="40EB4A84"/>
    <w:rsid w:val="41266C81"/>
    <w:rsid w:val="415352D5"/>
    <w:rsid w:val="41834D31"/>
    <w:rsid w:val="41944FB1"/>
    <w:rsid w:val="41FE5202"/>
    <w:rsid w:val="425C7E63"/>
    <w:rsid w:val="42F202AC"/>
    <w:rsid w:val="439F7469"/>
    <w:rsid w:val="43BD5E6B"/>
    <w:rsid w:val="43C25D78"/>
    <w:rsid w:val="46763ADE"/>
    <w:rsid w:val="485608E4"/>
    <w:rsid w:val="48B94BD5"/>
    <w:rsid w:val="48D56723"/>
    <w:rsid w:val="490C6035"/>
    <w:rsid w:val="491E19F7"/>
    <w:rsid w:val="493E75F4"/>
    <w:rsid w:val="49410A4C"/>
    <w:rsid w:val="494E4DCC"/>
    <w:rsid w:val="495456BF"/>
    <w:rsid w:val="49843515"/>
    <w:rsid w:val="49DC510D"/>
    <w:rsid w:val="4A1D2125"/>
    <w:rsid w:val="4B12793C"/>
    <w:rsid w:val="4B953ED1"/>
    <w:rsid w:val="4B9A2287"/>
    <w:rsid w:val="4BC12BD5"/>
    <w:rsid w:val="4DAF44D0"/>
    <w:rsid w:val="4EF36786"/>
    <w:rsid w:val="4F7C377E"/>
    <w:rsid w:val="4FEB0EF5"/>
    <w:rsid w:val="5147707D"/>
    <w:rsid w:val="51671E22"/>
    <w:rsid w:val="52597044"/>
    <w:rsid w:val="52725200"/>
    <w:rsid w:val="52A34AC8"/>
    <w:rsid w:val="52DE42EC"/>
    <w:rsid w:val="52FE4E6F"/>
    <w:rsid w:val="544535C0"/>
    <w:rsid w:val="548A541D"/>
    <w:rsid w:val="54AD0245"/>
    <w:rsid w:val="56194E9B"/>
    <w:rsid w:val="561C1870"/>
    <w:rsid w:val="56235139"/>
    <w:rsid w:val="56E3056F"/>
    <w:rsid w:val="56F76711"/>
    <w:rsid w:val="57F43525"/>
    <w:rsid w:val="57FA735C"/>
    <w:rsid w:val="58232BE9"/>
    <w:rsid w:val="583C1570"/>
    <w:rsid w:val="585C090A"/>
    <w:rsid w:val="5907197E"/>
    <w:rsid w:val="5A440183"/>
    <w:rsid w:val="5A4668C4"/>
    <w:rsid w:val="5A5B7F07"/>
    <w:rsid w:val="5C3E26FD"/>
    <w:rsid w:val="5CA247C4"/>
    <w:rsid w:val="5D76257D"/>
    <w:rsid w:val="5E0B66C4"/>
    <w:rsid w:val="5F4F6725"/>
    <w:rsid w:val="5F7174FB"/>
    <w:rsid w:val="60787791"/>
    <w:rsid w:val="60EE1A0D"/>
    <w:rsid w:val="610D3906"/>
    <w:rsid w:val="61354081"/>
    <w:rsid w:val="61435EF0"/>
    <w:rsid w:val="61626538"/>
    <w:rsid w:val="621E1F79"/>
    <w:rsid w:val="62314CB2"/>
    <w:rsid w:val="64070241"/>
    <w:rsid w:val="64431B5D"/>
    <w:rsid w:val="648A3A5C"/>
    <w:rsid w:val="64AD71A1"/>
    <w:rsid w:val="64C32164"/>
    <w:rsid w:val="655F480D"/>
    <w:rsid w:val="65AD61A6"/>
    <w:rsid w:val="65F13CC3"/>
    <w:rsid w:val="66450432"/>
    <w:rsid w:val="66852605"/>
    <w:rsid w:val="6768324F"/>
    <w:rsid w:val="67B709AC"/>
    <w:rsid w:val="68010838"/>
    <w:rsid w:val="690D189C"/>
    <w:rsid w:val="6A02739E"/>
    <w:rsid w:val="6A7F4A41"/>
    <w:rsid w:val="6EE12E70"/>
    <w:rsid w:val="6F067B12"/>
    <w:rsid w:val="6F2D17A1"/>
    <w:rsid w:val="6FB412CE"/>
    <w:rsid w:val="6FBA5042"/>
    <w:rsid w:val="7027347C"/>
    <w:rsid w:val="702C7A22"/>
    <w:rsid w:val="721B61A2"/>
    <w:rsid w:val="72835DC2"/>
    <w:rsid w:val="73E255D6"/>
    <w:rsid w:val="7416027F"/>
    <w:rsid w:val="7498388C"/>
    <w:rsid w:val="74CF2C15"/>
    <w:rsid w:val="75007BB6"/>
    <w:rsid w:val="75454B93"/>
    <w:rsid w:val="75D36EA1"/>
    <w:rsid w:val="78011AE6"/>
    <w:rsid w:val="78553368"/>
    <w:rsid w:val="78C704EC"/>
    <w:rsid w:val="78DC5222"/>
    <w:rsid w:val="795D4EC8"/>
    <w:rsid w:val="7A0915B2"/>
    <w:rsid w:val="7A7663DA"/>
    <w:rsid w:val="7AA8304D"/>
    <w:rsid w:val="7ACC20E1"/>
    <w:rsid w:val="7B711B14"/>
    <w:rsid w:val="7BFB29F6"/>
    <w:rsid w:val="7C0518E9"/>
    <w:rsid w:val="7CE57C1E"/>
    <w:rsid w:val="7DCE38F7"/>
    <w:rsid w:val="7DE16576"/>
    <w:rsid w:val="7E2953D1"/>
    <w:rsid w:val="7E2E4427"/>
    <w:rsid w:val="7E2F67AC"/>
    <w:rsid w:val="7E4939D9"/>
    <w:rsid w:val="7FA81A70"/>
    <w:rsid w:val="7FC9143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rPr>
  </w:style>
  <w:style w:type="paragraph" w:styleId="3">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nhideWhenUsed/>
    <w:qFormat/>
    <w:uiPriority w:val="99"/>
    <w:pPr>
      <w:spacing w:before="0" w:beforeAutospacing="1" w:after="0" w:afterAutospacing="1"/>
      <w:ind w:left="0" w:right="0"/>
      <w:jc w:val="left"/>
    </w:pPr>
    <w:rPr>
      <w:kern w:val="0"/>
      <w:sz w:val="24"/>
      <w:lang w:val="en-US" w:eastAsia="zh-CN" w:bidi="ar"/>
    </w:rPr>
  </w:style>
  <w:style w:type="character" w:styleId="7">
    <w:name w:val="FollowedHyperlink"/>
    <w:basedOn w:val="6"/>
    <w:unhideWhenUsed/>
    <w:qFormat/>
    <w:uiPriority w:val="99"/>
    <w:rPr>
      <w:rFonts w:ascii="微软雅黑" w:hAnsi="微软雅黑" w:eastAsia="微软雅黑" w:cs="微软雅黑"/>
      <w:color w:val="555555"/>
      <w:u w:val="none"/>
    </w:rPr>
  </w:style>
  <w:style w:type="character" w:styleId="8">
    <w:name w:val="Emphasis"/>
    <w:basedOn w:val="6"/>
    <w:qFormat/>
    <w:uiPriority w:val="20"/>
    <w:rPr>
      <w:i/>
    </w:rPr>
  </w:style>
  <w:style w:type="character" w:styleId="9">
    <w:name w:val="Hyperlink"/>
    <w:basedOn w:val="6"/>
    <w:unhideWhenUsed/>
    <w:qFormat/>
    <w:uiPriority w:val="99"/>
    <w:rPr>
      <w:rFonts w:hint="eastAsia" w:ascii="微软雅黑" w:hAnsi="微软雅黑" w:eastAsia="微软雅黑" w:cs="微软雅黑"/>
      <w:color w:val="555555"/>
      <w:u w:val="none"/>
    </w:rPr>
  </w:style>
  <w:style w:type="character" w:customStyle="1" w:styleId="10">
    <w:name w:val="xfg-fxdb"/>
    <w:basedOn w:val="6"/>
    <w:qFormat/>
    <w:uiPriority w:val="0"/>
  </w:style>
  <w:style w:type="character" w:customStyle="1" w:styleId="11">
    <w:name w:val="rong_zi2"/>
    <w:basedOn w:val="6"/>
    <w:qFormat/>
    <w:uiPriority w:val="0"/>
  </w:style>
  <w:style w:type="character" w:customStyle="1" w:styleId="12">
    <w:name w:val="mylnr-jj2"/>
    <w:basedOn w:val="6"/>
    <w:qFormat/>
    <w:uiPriority w:val="0"/>
  </w:style>
  <w:style w:type="character" w:customStyle="1" w:styleId="13">
    <w:name w:val="xfg-fxqq"/>
    <w:basedOn w:val="6"/>
    <w:qFormat/>
    <w:uiPriority w:val="0"/>
  </w:style>
  <w:style w:type="character" w:customStyle="1" w:styleId="14">
    <w:name w:val="w-zx-nr-tj-bt"/>
    <w:basedOn w:val="6"/>
    <w:qFormat/>
    <w:uiPriority w:val="0"/>
  </w:style>
  <w:style w:type="character" w:customStyle="1" w:styleId="15">
    <w:name w:val="xfg-fxsina"/>
    <w:basedOn w:val="6"/>
    <w:qFormat/>
    <w:uiPriority w:val="0"/>
  </w:style>
  <w:style w:type="character" w:customStyle="1" w:styleId="16">
    <w:name w:val="xfg-fxrr"/>
    <w:basedOn w:val="6"/>
    <w:qFormat/>
    <w:uiPriority w:val="0"/>
  </w:style>
  <w:style w:type="character" w:customStyle="1" w:styleId="17">
    <w:name w:val="mylnr-pdf"/>
    <w:basedOn w:val="6"/>
    <w:qFormat/>
    <w:uiPriority w:val="0"/>
  </w:style>
  <w:style w:type="character" w:customStyle="1" w:styleId="18">
    <w:name w:val="mylnr-dayin1"/>
    <w:basedOn w:val="6"/>
    <w:qFormat/>
    <w:uiPriority w:val="0"/>
  </w:style>
  <w:style w:type="character" w:customStyle="1" w:styleId="19">
    <w:name w:val="xfg-fxjh"/>
    <w:basedOn w:val="6"/>
    <w:qFormat/>
    <w:uiPriority w:val="0"/>
  </w:style>
  <w:style w:type="character" w:customStyle="1" w:styleId="20">
    <w:name w:val="layui-laypage-curr"/>
    <w:basedOn w:val="6"/>
    <w:qFormat/>
    <w:uiPriority w:val="0"/>
  </w:style>
  <w:style w:type="paragraph" w:customStyle="1" w:styleId="21">
    <w:name w:val="_Style 18"/>
    <w:basedOn w:val="1"/>
    <w:next w:val="1"/>
    <w:qFormat/>
    <w:uiPriority w:val="0"/>
    <w:pPr>
      <w:pBdr>
        <w:bottom w:val="single" w:color="auto" w:sz="6" w:space="1"/>
      </w:pBdr>
      <w:jc w:val="center"/>
    </w:pPr>
    <w:rPr>
      <w:rFonts w:ascii="Arial" w:eastAsia="宋体"/>
      <w:vanish/>
      <w:sz w:val="16"/>
    </w:rPr>
  </w:style>
  <w:style w:type="paragraph" w:customStyle="1" w:styleId="22">
    <w:name w:val="_Style 19"/>
    <w:basedOn w:val="1"/>
    <w:next w:val="1"/>
    <w:qFormat/>
    <w:uiPriority w:val="0"/>
    <w:pPr>
      <w:pBdr>
        <w:top w:val="single" w:color="auto" w:sz="6" w:space="1"/>
      </w:pBdr>
      <w:jc w:val="center"/>
    </w:pPr>
    <w:rPr>
      <w:rFonts w:ascii="Arial" w:eastAsia="宋体"/>
      <w:vanish/>
      <w:sz w:val="16"/>
    </w:rPr>
  </w:style>
  <w:style w:type="character" w:customStyle="1" w:styleId="23">
    <w:name w:val="font21"/>
    <w:basedOn w:val="6"/>
    <w:qFormat/>
    <w:uiPriority w:val="0"/>
    <w:rPr>
      <w:rFonts w:hint="default" w:ascii="仿宋_GB2312" w:eastAsia="仿宋_GB2312" w:cs="仿宋_GB2312"/>
      <w:color w:val="000000"/>
      <w:sz w:val="24"/>
      <w:szCs w:val="24"/>
      <w:u w:val="none"/>
    </w:rPr>
  </w:style>
  <w:style w:type="character" w:customStyle="1" w:styleId="24">
    <w:name w:val="font11"/>
    <w:basedOn w:val="6"/>
    <w:qFormat/>
    <w:uiPriority w:val="0"/>
    <w:rPr>
      <w:rFonts w:hint="eastAsia" w:ascii="宋体" w:hAnsi="宋体" w:eastAsia="宋体" w:cs="宋体"/>
      <w:color w:val="000000"/>
      <w:sz w:val="24"/>
      <w:szCs w:val="24"/>
      <w:u w:val="none"/>
    </w:rPr>
  </w:style>
  <w:style w:type="character" w:customStyle="1" w:styleId="25">
    <w:name w:val="font31"/>
    <w:basedOn w:val="6"/>
    <w:qFormat/>
    <w:uiPriority w:val="0"/>
    <w:rPr>
      <w:rFonts w:ascii="Arial" w:hAnsi="Arial" w:cs="Arial"/>
      <w:color w:val="000000"/>
      <w:sz w:val="24"/>
      <w:szCs w:val="24"/>
      <w:u w:val="none"/>
    </w:rPr>
  </w:style>
  <w:style w:type="character" w:customStyle="1" w:styleId="26">
    <w:name w:val="font01"/>
    <w:basedOn w:val="6"/>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63</Pages>
  <Words>6322</Words>
  <Characters>6377</Characters>
  <Lines>365</Lines>
  <Paragraphs>102</Paragraphs>
  <TotalTime>4</TotalTime>
  <ScaleCrop>false</ScaleCrop>
  <LinksUpToDate>false</LinksUpToDate>
  <CharactersWithSpaces>6387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晨曦</cp:lastModifiedBy>
  <cp:lastPrinted>2021-04-08T06:42:00Z</cp:lastPrinted>
  <dcterms:modified xsi:type="dcterms:W3CDTF">2026-03-10T02:54:03Z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20ACCA2BA0824E7BA4DD33EF6456D772</vt:lpwstr>
  </property>
  <property fmtid="{D5CDD505-2E9C-101B-9397-08002B2CF9AE}" pid="4" name="KSOTemplateDocerSaveRecord">
    <vt:lpwstr>eyJoZGlkIjoiMjUyYWFlYmY1MDgzZjVkMTIyZDNjNGU3MzRhOTU3MzYiLCJ1c2VySWQiOiIxMTMzNTQyMDk0In0=</vt:lpwstr>
  </property>
</Properties>
</file>