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曲阳县民族宗教事务局</w:t>
            </w:r>
          </w:p>
        </w:tc>
      </w:tr>
    </w:tbl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7967F7C8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465</Words>
  <Characters>498</Characters>
  <TotalTime>1</TotalTime>
  <ScaleCrop>false</ScaleCrop>
  <LinksUpToDate>false</LinksUpToDate>
  <CharactersWithSpaces>499</CharactersWithSpaces>
  <Application>WPS Office_11.8.2.12219_F1E327BC-269C-435d-A152-05C5408002CA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2025-04-11T22:58:00Z</dcterms:created>
  <dc:creator>HUAWEI</dc:creator>
  <cp:lastModifiedBy>kylin</cp:lastModifiedBy>
  <cp:lastPrinted>2025-04-11T23:55:00Z</cp:lastPrinted>
  <dcterms:modified xsi:type="dcterms:W3CDTF">2025-11-05T09:36:48Z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KSOTemplateDocerSaveRecord">
    <vt:lpwstr>eyJoZGlkIjoiNjE3MjNkYTBiOTg5ZWQxMmUyNzdlYWE5OTAzMzQ2ZWQifQ==</vt:lpwstr>
  </property>
  <property fmtid="{D5CDD505-2E9C-101B-9397-08002B2CF9AE}" pid="4" name="ICV">
    <vt:lpwstr>B3F1729472A7688593A10A69078E320C</vt:lpwstr>
  </property>
</Properties>
</file>