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0D2CF2">
      <w:pPr>
        <w:jc w:val="center"/>
        <w:rPr>
          <w:rFonts w:hint="eastAsia" w:ascii="宋体" w:hAnsi="宋体"/>
          <w:sz w:val="48"/>
          <w:szCs w:val="48"/>
          <w:lang w:val="en-US" w:eastAsia="zh-CN"/>
        </w:rPr>
      </w:pPr>
      <w:r>
        <w:rPr>
          <w:rFonts w:hint="eastAsia" w:ascii="宋体" w:hAnsi="宋体"/>
          <w:sz w:val="48"/>
          <w:szCs w:val="48"/>
          <w:lang w:val="en-US" w:eastAsia="zh-CN"/>
        </w:rPr>
        <w:t>晓林镇</w:t>
      </w:r>
      <w:r>
        <w:rPr>
          <w:rFonts w:hint="eastAsia" w:ascii="宋体" w:hAnsi="宋体" w:eastAsia="宋体"/>
          <w:sz w:val="48"/>
          <w:szCs w:val="48"/>
          <w:lang w:val="en-US" w:eastAsia="zh-CN"/>
        </w:rPr>
        <w:t>2025年</w:t>
      </w:r>
    </w:p>
    <w:p w14:paraId="04019D78">
      <w:pPr>
        <w:jc w:val="center"/>
        <w:rPr>
          <w:rFonts w:hint="eastAsia" w:ascii="宋体" w:hAnsi="宋体" w:eastAsia="宋体"/>
          <w:sz w:val="48"/>
          <w:szCs w:val="48"/>
          <w:lang w:val="en-US" w:eastAsia="zh-CN"/>
        </w:rPr>
      </w:pPr>
      <w:r>
        <w:rPr>
          <w:rFonts w:hint="eastAsia" w:ascii="宋体" w:hAnsi="宋体" w:eastAsia="宋体"/>
          <w:sz w:val="48"/>
          <w:szCs w:val="48"/>
          <w:lang w:val="en-US" w:eastAsia="zh-CN"/>
        </w:rPr>
        <w:t>涉企行政执法检查计划</w:t>
      </w:r>
    </w:p>
    <w:p w14:paraId="58C17367">
      <w:pPr>
        <w:rPr>
          <w:rFonts w:hint="eastAsia"/>
          <w:lang w:val="en-US" w:eastAsia="zh-CN"/>
        </w:rPr>
      </w:pPr>
    </w:p>
    <w:p w14:paraId="2C957E58">
      <w:pPr>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为持续优化法治化营商环境、提升行政执法质量，进一步规范公正文明执法，切实维护群众合法权益，现结合我镇工作实际，特制度2025年涉企行政执法检查计划。</w:t>
      </w:r>
    </w:p>
    <w:p w14:paraId="5F8DA3EB">
      <w:pPr>
        <w:numPr>
          <w:ilvl w:val="0"/>
          <w:numId w:val="0"/>
        </w:numPr>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一、执法主体</w:t>
      </w:r>
    </w:p>
    <w:p w14:paraId="44D311E7">
      <w:pPr>
        <w:numPr>
          <w:ilvl w:val="0"/>
          <w:numId w:val="1"/>
        </w:numPr>
        <w:ind w:left="640" w:leftChars="0" w:firstLine="0" w:firstLineChars="0"/>
        <w:rPr>
          <w:rFonts w:hint="eastAsia" w:ascii="仿宋" w:hAnsi="仿宋" w:eastAsia="仿宋"/>
          <w:sz w:val="32"/>
          <w:szCs w:val="32"/>
          <w:lang w:val="en-US" w:eastAsia="zh-CN"/>
        </w:rPr>
      </w:pPr>
      <w:r>
        <w:rPr>
          <w:rFonts w:hint="eastAsia" w:ascii="仿宋" w:hAnsi="仿宋" w:eastAsia="仿宋"/>
          <w:sz w:val="32"/>
          <w:szCs w:val="32"/>
          <w:lang w:val="en-US" w:eastAsia="zh-CN"/>
        </w:rPr>
        <w:t>执法机关：晓林镇人民政府</w:t>
      </w:r>
    </w:p>
    <w:p w14:paraId="4882D1CF">
      <w:pPr>
        <w:numPr>
          <w:ilvl w:val="0"/>
          <w:numId w:val="1"/>
        </w:numPr>
        <w:ind w:left="640" w:leftChars="0" w:firstLine="0" w:firstLineChars="0"/>
        <w:rPr>
          <w:rFonts w:hint="eastAsia" w:ascii="仿宋" w:hAnsi="仿宋" w:eastAsia="仿宋"/>
          <w:sz w:val="32"/>
          <w:szCs w:val="32"/>
          <w:lang w:val="en-US" w:eastAsia="zh-CN"/>
        </w:rPr>
      </w:pPr>
      <w:r>
        <w:rPr>
          <w:rFonts w:hint="eastAsia" w:ascii="仿宋" w:hAnsi="仿宋" w:eastAsia="仿宋"/>
          <w:sz w:val="32"/>
          <w:szCs w:val="32"/>
          <w:lang w:val="en-US" w:eastAsia="zh-CN"/>
        </w:rPr>
        <w:t>实施机构：晓林镇综合行政执法大队</w:t>
      </w:r>
    </w:p>
    <w:p w14:paraId="19B35BF1">
      <w:pPr>
        <w:numPr>
          <w:ilvl w:val="0"/>
          <w:numId w:val="0"/>
        </w:numPr>
        <w:ind w:leftChars="200" w:firstLine="320" w:firstLineChars="100"/>
        <w:rPr>
          <w:rFonts w:hint="eastAsia" w:ascii="仿宋" w:hAnsi="仿宋" w:eastAsia="仿宋"/>
          <w:sz w:val="32"/>
          <w:szCs w:val="32"/>
          <w:lang w:val="en-US" w:eastAsia="zh-CN"/>
        </w:rPr>
      </w:pPr>
      <w:r>
        <w:rPr>
          <w:rFonts w:hint="eastAsia" w:ascii="仿宋" w:hAnsi="仿宋" w:eastAsia="仿宋"/>
          <w:sz w:val="32"/>
          <w:szCs w:val="32"/>
          <w:lang w:val="en-US" w:eastAsia="zh-CN"/>
        </w:rPr>
        <w:t>二、检查依据</w:t>
      </w:r>
    </w:p>
    <w:p w14:paraId="0CB69A50">
      <w:pPr>
        <w:numPr>
          <w:ilvl w:val="0"/>
          <w:numId w:val="0"/>
        </w:numPr>
        <w:ind w:firstLine="640" w:firstLineChars="200"/>
        <w:rPr>
          <w:rFonts w:hint="eastAsia" w:ascii="仿宋" w:hAnsi="仿宋" w:eastAsia="仿宋"/>
          <w:color w:val="000000"/>
          <w:sz w:val="32"/>
          <w:szCs w:val="32"/>
        </w:rPr>
      </w:pPr>
      <w:r>
        <w:rPr>
          <w:rFonts w:hint="eastAsia" w:ascii="仿宋" w:hAnsi="仿宋" w:eastAsia="仿宋"/>
          <w:color w:val="000000"/>
          <w:sz w:val="32"/>
          <w:szCs w:val="32"/>
        </w:rPr>
        <w:t>《</w:t>
      </w:r>
      <w:r>
        <w:rPr>
          <w:rFonts w:hint="eastAsia" w:ascii="仿宋" w:hAnsi="仿宋" w:eastAsia="仿宋"/>
          <w:color w:val="000000"/>
          <w:sz w:val="32"/>
          <w:szCs w:val="32"/>
          <w:lang w:val="en-US" w:eastAsia="zh-CN"/>
        </w:rPr>
        <w:t>中华人民共和国行政处罚法</w:t>
      </w:r>
      <w:r>
        <w:rPr>
          <w:rFonts w:hint="eastAsia" w:ascii="仿宋" w:hAnsi="仿宋" w:eastAsia="仿宋"/>
          <w:color w:val="000000"/>
          <w:sz w:val="32"/>
          <w:szCs w:val="32"/>
        </w:rPr>
        <w:t>》</w:t>
      </w:r>
      <w:r>
        <w:rPr>
          <w:rFonts w:hint="eastAsia" w:ascii="仿宋" w:hAnsi="仿宋" w:eastAsia="仿宋"/>
          <w:color w:val="000000"/>
          <w:sz w:val="32"/>
          <w:szCs w:val="32"/>
          <w:lang w:eastAsia="zh-CN"/>
        </w:rPr>
        <w:t>、</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河北省城市市容和环境卫生条例</w:t>
      </w:r>
      <w:r>
        <w:rPr>
          <w:rFonts w:hint="eastAsia" w:ascii="仿宋" w:hAnsi="仿宋" w:eastAsia="仿宋"/>
          <w:color w:val="000000"/>
          <w:sz w:val="32"/>
          <w:szCs w:val="32"/>
        </w:rPr>
        <w:t>》</w:t>
      </w: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中华人民共和国大气污染防治法》、《河北省大气污染防治条例》、</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河北省人民代表大会常务委员会关于促进农作物秸秆综合利用和禁止露天焚烧的决定</w:t>
      </w:r>
      <w:r>
        <w:rPr>
          <w:rFonts w:hint="eastAsia" w:ascii="仿宋" w:hAnsi="仿宋" w:eastAsia="仿宋"/>
          <w:color w:val="000000"/>
          <w:sz w:val="32"/>
          <w:szCs w:val="32"/>
        </w:rPr>
        <w:t>》</w:t>
      </w:r>
      <w:r>
        <w:rPr>
          <w:rFonts w:hint="eastAsia" w:ascii="仿宋" w:hAnsi="仿宋" w:eastAsia="仿宋"/>
          <w:color w:val="000000"/>
          <w:sz w:val="32"/>
          <w:szCs w:val="32"/>
          <w:lang w:eastAsia="zh-CN"/>
        </w:rPr>
        <w:t>、</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河北省清真食品管理条例</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及其他涉及行政执法内容的法律法规。</w:t>
      </w:r>
    </w:p>
    <w:p w14:paraId="5D9F0535">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三、检查对象</w:t>
      </w:r>
    </w:p>
    <w:p w14:paraId="25C8304A">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辖区内所有农业合作社、家庭农场；从事车辆清洗、维修经营活动的个体工商户；生产、经营清真食品的个体工商户。</w:t>
      </w:r>
    </w:p>
    <w:p w14:paraId="5598B0E7">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四、检查时间、频次</w:t>
      </w:r>
    </w:p>
    <w:p w14:paraId="752051E6">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我镇综合行政执法对辖区内农业合作社、家庭农场每半年进行一次执法检查，对从事车辆清洗、维修经营活动的个体工商户每季度进行一次执法检查，对生产、经营清真食品的个体工商户每半年进行一次执法检查，以不干扰企业正常生产运行为前提，具体可根据企业实际灵活确定检查时间。</w:t>
      </w:r>
    </w:p>
    <w:p w14:paraId="6CBD3337">
      <w:pPr>
        <w:numPr>
          <w:ilvl w:val="0"/>
          <w:numId w:val="2"/>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检查方式</w:t>
      </w:r>
    </w:p>
    <w:p w14:paraId="7B788F19">
      <w:pPr>
        <w:numPr>
          <w:ilvl w:val="0"/>
          <w:numId w:val="0"/>
        </w:numPr>
        <w:ind w:firstLine="64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采取电话访问与实地检查相结合的方式进行督导检查，确保行政执法检查取得实效。</w:t>
      </w:r>
    </w:p>
    <w:p w14:paraId="494E9317">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六、检查任务</w:t>
      </w:r>
    </w:p>
    <w:p w14:paraId="66834745">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1、检查农业合作社、家庭农场是否未妥善采取综合利用措施，对农产品采收后的秸秆及树叶、荒草予以妥善处理，是否露天焚烧；</w:t>
      </w:r>
    </w:p>
    <w:p w14:paraId="0D4E3EC3">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2、检查从事车辆清洗、维修经营活动，是否在室内进行，是否占用道路、绿地、公共场所等；</w:t>
      </w:r>
    </w:p>
    <w:p w14:paraId="12480C2D">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3、检查生产、经营清真食品企业是否按照要求进行生产、经营活动。</w:t>
      </w:r>
    </w:p>
    <w:p w14:paraId="7930A8BF">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七、检查标准</w:t>
      </w:r>
    </w:p>
    <w:p w14:paraId="68697EE6">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1、合法性：行政执法检查必须依法进行，检查依据必须是已经公布的法律法规，确保检查行为本身不违反法律规定。</w:t>
      </w:r>
    </w:p>
    <w:p w14:paraId="0971E56D">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2、公正性：检查过程应当公正无私，避免任何可能影响检查结果公正性的因素。检查结果应当及时公开，接受社会监督。</w:t>
      </w:r>
    </w:p>
    <w:p w14:paraId="20C31C90">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3、透明性：行政执法检查的过程和结果应当公开透明，检查机关应当定期公布检查结果，接受公众查询和监督。</w:t>
      </w:r>
    </w:p>
    <w:p w14:paraId="3BF9C4D9">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4、效率性：检查应当高效进行，避免不必要的繁琐程序，确保检查活动对被检查对象的影响降到最低。</w:t>
      </w:r>
    </w:p>
    <w:p w14:paraId="77203307">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5、责任性：检查机关应当对检查结果负</w:t>
      </w:r>
      <w:bookmarkStart w:id="0" w:name="_GoBack"/>
      <w:bookmarkEnd w:id="0"/>
      <w:r>
        <w:rPr>
          <w:rFonts w:hint="eastAsia" w:ascii="仿宋" w:hAnsi="仿宋" w:eastAsia="仿宋"/>
          <w:color w:val="000000"/>
          <w:sz w:val="32"/>
          <w:szCs w:val="32"/>
          <w:lang w:val="en-US" w:eastAsia="zh-CN"/>
        </w:rPr>
        <w:t>责，对于检查中发现的问题需要依法进行处理，并对处理结果进行公开。</w:t>
      </w:r>
    </w:p>
    <w:p w14:paraId="649E2327">
      <w:pPr>
        <w:numPr>
          <w:ilvl w:val="0"/>
          <w:numId w:val="0"/>
        </w:numPr>
        <w:ind w:firstLine="640" w:firstLineChars="200"/>
        <w:rPr>
          <w:rFonts w:hint="eastAsia" w:ascii="仿宋" w:hAnsi="仿宋" w:eastAsia="仿宋"/>
          <w:color w:val="000000"/>
          <w:sz w:val="32"/>
          <w:szCs w:val="32"/>
          <w:lang w:val="en-US" w:eastAsia="zh-CN"/>
        </w:rPr>
      </w:pPr>
    </w:p>
    <w:p w14:paraId="68E262E5">
      <w:pPr>
        <w:numPr>
          <w:ilvl w:val="0"/>
          <w:numId w:val="0"/>
        </w:numPr>
        <w:ind w:firstLine="640" w:firstLineChars="200"/>
        <w:rPr>
          <w:rFonts w:hint="eastAsia" w:ascii="仿宋" w:hAnsi="仿宋" w:eastAsia="仿宋"/>
          <w:color w:val="000000"/>
          <w:sz w:val="32"/>
          <w:szCs w:val="32"/>
          <w:lang w:val="en-US" w:eastAsia="zh-CN"/>
        </w:rPr>
      </w:pPr>
    </w:p>
    <w:p w14:paraId="187EC6FB">
      <w:pPr>
        <w:numPr>
          <w:ilvl w:val="0"/>
          <w:numId w:val="0"/>
        </w:numPr>
        <w:ind w:firstLine="640" w:firstLineChars="200"/>
        <w:rPr>
          <w:rFonts w:hint="eastAsia" w:ascii="仿宋" w:hAnsi="仿宋" w:eastAsia="仿宋"/>
          <w:color w:val="000000"/>
          <w:sz w:val="32"/>
          <w:szCs w:val="32"/>
          <w:lang w:val="en-US" w:eastAsia="zh-CN"/>
        </w:rPr>
      </w:pPr>
    </w:p>
    <w:p w14:paraId="0DB75F55">
      <w:pPr>
        <w:numPr>
          <w:ilvl w:val="0"/>
          <w:numId w:val="0"/>
        </w:numPr>
        <w:rPr>
          <w:rFonts w:hint="eastAsia" w:ascii="仿宋" w:hAnsi="仿宋" w:eastAsia="仿宋"/>
          <w:color w:val="000000"/>
          <w:sz w:val="32"/>
          <w:szCs w:val="32"/>
          <w:lang w:val="en-US" w:eastAsia="zh-CN"/>
        </w:rPr>
      </w:pPr>
    </w:p>
    <w:p w14:paraId="4C9A62CE">
      <w:pPr>
        <w:numPr>
          <w:ilvl w:val="0"/>
          <w:numId w:val="0"/>
        </w:numPr>
        <w:ind w:firstLine="640" w:firstLineChars="200"/>
        <w:rPr>
          <w:rFonts w:hint="eastAsia" w:ascii="仿宋" w:hAnsi="仿宋" w:eastAsia="仿宋"/>
          <w:color w:val="000000"/>
          <w:sz w:val="32"/>
          <w:szCs w:val="32"/>
          <w:lang w:val="en-US" w:eastAsia="zh-CN"/>
        </w:rPr>
      </w:pPr>
    </w:p>
    <w:p w14:paraId="4B81B79F">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晓林镇人民政府</w:t>
      </w:r>
    </w:p>
    <w:p w14:paraId="74783EA4">
      <w:pPr>
        <w:numPr>
          <w:ilvl w:val="0"/>
          <w:numId w:val="0"/>
        </w:numPr>
        <w:ind w:left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w:t>
      </w:r>
    </w:p>
    <w:p w14:paraId="5ED8D9AB">
      <w:pPr>
        <w:numPr>
          <w:ilvl w:val="0"/>
          <w:numId w:val="0"/>
        </w:numPr>
        <w:ind w:left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w:t>
      </w:r>
    </w:p>
    <w:p w14:paraId="07BEDFE3">
      <w:pPr>
        <w:rPr>
          <w:rFonts w:ascii="仿宋" w:hAnsi="仿宋" w:eastAsia="仿宋"/>
          <w:sz w:val="32"/>
          <w:szCs w:val="32"/>
          <w:lang w:val="en-US" w:eastAsia="zh-C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D0972">
    <w:pPr>
      <w:pStyle w:val="6"/>
      <w:tabs>
        <w:tab w:val="clear" w:pos="4153"/>
        <w:tab w:val="clear" w:pos="8306"/>
      </w:tabs>
      <w:rPr>
        <w:rFonts w:hint="eastAsia"/>
        <w:lang w:val="en-US" w:eastAsia="zh-CN"/>
      </w:rPr>
    </w:pPr>
    <w:r>
      <w:rPr>
        <w:rFonts w:hint="eastAsia"/>
        <w:lang w:val="en-US" w:eastAsia="zh-CN"/>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D7CC47"/>
    <w:multiLevelType w:val="singleLevel"/>
    <w:tmpl w:val="E0D7CC47"/>
    <w:lvl w:ilvl="0" w:tentative="0">
      <w:start w:val="5"/>
      <w:numFmt w:val="chineseCounting"/>
      <w:suff w:val="nothing"/>
      <w:lvlText w:val="%1、"/>
      <w:lvlJc w:val="left"/>
      <w:rPr>
        <w:rFonts w:hint="eastAsia"/>
      </w:rPr>
    </w:lvl>
  </w:abstractNum>
  <w:abstractNum w:abstractNumId="1">
    <w:nsid w:val="6C706C75"/>
    <w:multiLevelType w:val="singleLevel"/>
    <w:tmpl w:val="6C706C75"/>
    <w:lvl w:ilvl="0" w:tentative="0">
      <w:start w:val="1"/>
      <w:numFmt w:val="decimal"/>
      <w:suff w:val="nothing"/>
      <w:lvlText w:val="%1、"/>
      <w:lvlJc w:val="left"/>
      <w:pPr>
        <w:ind w:left="64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isplayHorizontalDrawingGridEvery w:val="0"/>
  <w:displayVerticalDrawingGridEvery w:val="2"/>
  <w:characterSpacingControl w:val="compressPunctuation"/>
  <w:compat>
    <w:balanceSingleByteDoubleByteWidth/>
    <w:doNotLeaveBackslashAlone/>
    <w:ulTrailSpace/>
    <w:doNotExpandShiftReturn/>
    <w:adjustLineHeightInTable/>
    <w:useFELayout/>
    <w:compatSetting w:name="compatibilityMode" w:uri="http://schemas.microsoft.com/office/word" w:val="11"/>
  </w:compat>
  <w:rsids>
    <w:rsidRoot w:val="00000000"/>
    <w:rsid w:val="35D7426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默认段落字体1"/>
    <w:link w:val="1"/>
    <w:semiHidden/>
    <w:uiPriority w:val="0"/>
  </w:style>
  <w:style w:type="table" w:customStyle="1" w:styleId="5">
    <w:name w:val="普通表格1"/>
    <w:semiHidden/>
    <w:uiPriority w:val="0"/>
  </w:style>
  <w:style w:type="paragraph" w:customStyle="1" w:styleId="6">
    <w:name w:val="页脚1"/>
    <w:basedOn w:val="1"/>
    <w:qFormat/>
    <w:uiPriority w:val="0"/>
    <w:pPr>
      <w:tabs>
        <w:tab w:val="center" w:pos="4153"/>
        <w:tab w:val="right" w:pos="8306"/>
      </w:tabs>
      <w:snapToGrid w:val="0"/>
      <w:jc w:val="left"/>
    </w:pPr>
    <w:rPr>
      <w:sz w:val="18"/>
    </w:rPr>
  </w:style>
  <w:style w:type="paragraph" w:customStyle="1" w:styleId="7">
    <w:name w:val="页眉1"/>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896</Words>
  <Characters>903</Characters>
  <Lines>0</Lines>
  <Paragraphs>0</Paragraphs>
  <TotalTime>0</TotalTime>
  <ScaleCrop>false</ScaleCrop>
  <LinksUpToDate>false</LinksUpToDate>
  <CharactersWithSpaces>937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2025-11-05T05:20:50Z</dcterms:created>
  <dc:creator>听雨</dc:creator>
  <cp:lastModifiedBy>听雨</cp:lastModifiedBy>
  <dcterms:modified xsi:type="dcterms:W3CDTF">2025-11-05T05:21:46Z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eyJoZGlkIjoiNDM4Zjk0YTQzZWUwNjgwOWRlZTg3NzkzOGFhY2Y2OGUiLCJ1c2VySWQiOiI5NTUyNjcyNTEifQ==</vt:lpwstr>
  </property>
  <property fmtid="{D5CDD505-2E9C-101B-9397-08002B2CF9AE}" pid="3" name="KSOProductBuildVer">
    <vt:lpwstr>2052-12.1.0.23125</vt:lpwstr>
  </property>
  <property fmtid="{D5CDD505-2E9C-101B-9397-08002B2CF9AE}" pid="4" name="ICV">
    <vt:lpwstr>23981C55DC894D3B8FA9D6E5BC9B6810_12</vt:lpwstr>
  </property>
</Properties>
</file>