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A3B9CB">
      <w:pPr>
        <w:pStyle w:val="4"/>
        <w:widowControl w:val="0"/>
        <w:spacing w:before="0" w:beforeAutospacing="0" w:after="0" w:afterAutospacing="0" w:line="560" w:lineRule="exact"/>
        <w:jc w:val="center"/>
        <w:rPr>
          <w:color w:val="444444"/>
          <w:sz w:val="44"/>
          <w:szCs w:val="44"/>
        </w:rPr>
      </w:pPr>
      <w:r>
        <w:rPr>
          <w:rFonts w:hint="eastAsia"/>
          <w:color w:val="444444"/>
          <w:sz w:val="44"/>
          <w:szCs w:val="44"/>
        </w:rPr>
        <w:t>曲阳县自然资源和规划局</w:t>
      </w:r>
    </w:p>
    <w:p w14:paraId="3BE96615">
      <w:pPr>
        <w:pStyle w:val="4"/>
        <w:widowControl w:val="0"/>
        <w:spacing w:before="0" w:beforeAutospacing="0" w:after="0" w:afterAutospacing="0" w:line="560" w:lineRule="exact"/>
        <w:jc w:val="center"/>
        <w:rPr>
          <w:color w:val="444444"/>
          <w:sz w:val="44"/>
          <w:szCs w:val="44"/>
        </w:rPr>
      </w:pPr>
      <w:r>
        <w:rPr>
          <w:rFonts w:hint="eastAsia"/>
          <w:color w:val="444444"/>
          <w:sz w:val="44"/>
          <w:szCs w:val="44"/>
        </w:rPr>
        <w:t>202</w:t>
      </w:r>
      <w:r>
        <w:rPr>
          <w:color w:val="444444"/>
          <w:sz w:val="44"/>
          <w:szCs w:val="44"/>
        </w:rPr>
        <w:t>5</w:t>
      </w:r>
      <w:r>
        <w:rPr>
          <w:rFonts w:hint="eastAsia"/>
          <w:color w:val="444444"/>
          <w:sz w:val="44"/>
          <w:szCs w:val="44"/>
        </w:rPr>
        <w:t>年度行政执法监督检查工作计划</w:t>
      </w:r>
    </w:p>
    <w:p w14:paraId="3277CED8">
      <w:pPr>
        <w:pStyle w:val="11"/>
        <w:widowControl w:val="0"/>
        <w:spacing w:before="0" w:beforeAutospacing="0" w:after="0" w:afterAutospacing="0" w:line="560" w:lineRule="exact"/>
        <w:ind w:firstLine="420"/>
        <w:rPr>
          <w:rFonts w:ascii="仿宋_GB2312" w:eastAsia="仿宋_GB2312" w:cs="仿宋_GB2312"/>
          <w:color w:val="333333"/>
          <w:sz w:val="32"/>
          <w:szCs w:val="32"/>
        </w:rPr>
      </w:pPr>
    </w:p>
    <w:p w14:paraId="4836E308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color w:val="333333"/>
          <w:sz w:val="32"/>
          <w:szCs w:val="32"/>
        </w:rPr>
        <w:t>为进一步规范行政执法行为，提高执法效率，促进依法行政，依据上级相关要求，结合我县自然资源工作实际，制定202</w:t>
      </w:r>
      <w:r>
        <w:rPr>
          <w:rFonts w:ascii="仿宋_GB2312" w:eastAsia="仿宋_GB2312" w:cs="仿宋_GB2312"/>
          <w:color w:val="333333"/>
          <w:sz w:val="32"/>
          <w:szCs w:val="32"/>
        </w:rPr>
        <w:t>5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年度行政执法监督检查工作计划如下：</w:t>
      </w:r>
    </w:p>
    <w:p w14:paraId="4BDC951F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黑体" w:eastAsia="黑体" w:cs="黑体"/>
          <w:color w:val="333333"/>
          <w:sz w:val="32"/>
          <w:szCs w:val="32"/>
        </w:rPr>
      </w:pPr>
      <w:r>
        <w:rPr>
          <w:rFonts w:hint="eastAsia" w:ascii="黑体" w:eastAsia="黑体" w:cs="黑体"/>
          <w:color w:val="333333"/>
          <w:sz w:val="32"/>
          <w:szCs w:val="32"/>
        </w:rPr>
        <w:t>一、工作原则</w:t>
      </w:r>
    </w:p>
    <w:p w14:paraId="19260350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color w:val="333333"/>
          <w:sz w:val="32"/>
          <w:szCs w:val="32"/>
        </w:rPr>
        <w:t>坚持依法检查、公开透明、公正合理、廉洁高效的原则。</w:t>
      </w:r>
    </w:p>
    <w:p w14:paraId="29A488E7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黑体" w:eastAsia="黑体" w:cs="黑体"/>
          <w:color w:val="333333"/>
          <w:sz w:val="32"/>
          <w:szCs w:val="32"/>
        </w:rPr>
      </w:pPr>
      <w:r>
        <w:rPr>
          <w:rFonts w:hint="eastAsia" w:ascii="黑体" w:eastAsia="黑体" w:cs="黑体"/>
          <w:color w:val="333333"/>
          <w:sz w:val="32"/>
          <w:szCs w:val="32"/>
        </w:rPr>
        <w:t>二、主要任务</w:t>
      </w:r>
    </w:p>
    <w:p w14:paraId="78909D6E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楷体" w:eastAsia="楷体" w:cs="楷体"/>
          <w:b/>
          <w:color w:val="333333"/>
          <w:sz w:val="32"/>
          <w:szCs w:val="32"/>
        </w:rPr>
      </w:pPr>
      <w:r>
        <w:rPr>
          <w:rFonts w:hint="eastAsia" w:ascii="楷体" w:eastAsia="楷体" w:cs="楷体"/>
          <w:b/>
          <w:color w:val="333333"/>
          <w:sz w:val="32"/>
          <w:szCs w:val="32"/>
        </w:rPr>
        <w:t>（一）矿山领域执法监督检查</w:t>
      </w:r>
    </w:p>
    <w:p w14:paraId="614CB314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1、检查内容：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不按批准的开采矿种、开采方式采矿；越界开采；不履行矿山地质环境保护与土地复垦义务；非法转让矿业权。</w:t>
      </w:r>
    </w:p>
    <w:p w14:paraId="617DFF92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2、被检查单位：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全县有证矿山企业。</w:t>
      </w:r>
    </w:p>
    <w:p w14:paraId="5177A82B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3、时间安排：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实行每季度检查一次，时间分别安排在3月15日</w:t>
      </w:r>
      <w:r>
        <w:rPr>
          <w:rFonts w:ascii="仿宋_GB2312" w:eastAsia="仿宋_GB2312" w:cs="仿宋_GB2312"/>
          <w:color w:val="333333"/>
          <w:sz w:val="32"/>
          <w:szCs w:val="32"/>
        </w:rPr>
        <w:t>左右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、6月15</w:t>
      </w:r>
      <w:r>
        <w:rPr>
          <w:rFonts w:ascii="仿宋_GB2312" w:eastAsia="仿宋_GB2312" w:cs="仿宋_GB2312"/>
          <w:color w:val="333333"/>
          <w:sz w:val="32"/>
          <w:szCs w:val="32"/>
        </w:rPr>
        <w:t>日左右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、9月15日</w:t>
      </w:r>
      <w:r>
        <w:rPr>
          <w:rFonts w:ascii="仿宋_GB2312" w:eastAsia="仿宋_GB2312" w:cs="仿宋_GB2312"/>
          <w:color w:val="333333"/>
          <w:sz w:val="32"/>
          <w:szCs w:val="32"/>
        </w:rPr>
        <w:t>左右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、12月15日</w:t>
      </w:r>
      <w:r>
        <w:rPr>
          <w:rFonts w:ascii="仿宋_GB2312" w:eastAsia="仿宋_GB2312" w:cs="仿宋_GB2312"/>
          <w:color w:val="333333"/>
          <w:sz w:val="32"/>
          <w:szCs w:val="32"/>
        </w:rPr>
        <w:t>左右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。</w:t>
      </w:r>
    </w:p>
    <w:p w14:paraId="1E95B2CE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4、责任分工：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责任领导程强，责任股室为</w:t>
      </w:r>
      <w:r>
        <w:rPr>
          <w:rFonts w:hint="eastAsia" w:ascii="仿宋" w:eastAsia="仿宋" w:cs="仿宋"/>
          <w:sz w:val="32"/>
          <w:szCs w:val="32"/>
        </w:rPr>
        <w:t>生态修复和矿产资源管理股、执法监察股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。</w:t>
      </w:r>
    </w:p>
    <w:p w14:paraId="55C692BF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楷体" w:eastAsia="楷体" w:cs="楷体"/>
          <w:b/>
          <w:color w:val="333333"/>
          <w:sz w:val="32"/>
          <w:szCs w:val="32"/>
        </w:rPr>
      </w:pPr>
      <w:r>
        <w:rPr>
          <w:rFonts w:hint="eastAsia" w:ascii="楷体" w:eastAsia="楷体" w:cs="楷体"/>
          <w:b/>
          <w:color w:val="333333"/>
          <w:sz w:val="32"/>
          <w:szCs w:val="32"/>
        </w:rPr>
        <w:t>（二）测绘领域执法监督检查</w:t>
      </w:r>
    </w:p>
    <w:p w14:paraId="4F46B3E8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1、检查内容：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测绘行业安全生产管理制度建立及实施情况；外业等关键环节安全防范管理情况；关键岗位、重点部位、无人机等隐患排查整治开展情况。</w:t>
      </w:r>
    </w:p>
    <w:p w14:paraId="56036742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2、被检查单位：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全县测绘企业。</w:t>
      </w:r>
    </w:p>
    <w:p w14:paraId="0D5E6625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3、时间安排：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实行一年检查两次，上半年安排在6月15日</w:t>
      </w:r>
      <w:r>
        <w:rPr>
          <w:rFonts w:ascii="仿宋_GB2312" w:eastAsia="仿宋_GB2312" w:cs="仿宋_GB2312"/>
          <w:color w:val="333333"/>
          <w:sz w:val="32"/>
          <w:szCs w:val="32"/>
        </w:rPr>
        <w:t>左右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，下半年安排在12月15日</w:t>
      </w:r>
      <w:r>
        <w:rPr>
          <w:rFonts w:ascii="仿宋_GB2312" w:eastAsia="仿宋_GB2312" w:cs="仿宋_GB2312"/>
          <w:color w:val="333333"/>
          <w:sz w:val="32"/>
          <w:szCs w:val="32"/>
        </w:rPr>
        <w:t>左右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。</w:t>
      </w:r>
    </w:p>
    <w:p w14:paraId="356E4C9B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4、责任分工：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责任领导李言慧，责任股室为</w:t>
      </w:r>
      <w:r>
        <w:rPr>
          <w:rFonts w:hint="eastAsia" w:ascii="仿宋" w:eastAsia="仿宋" w:cs="仿宋"/>
          <w:sz w:val="32"/>
          <w:szCs w:val="32"/>
        </w:rPr>
        <w:t>调查确权登记和地理信息股。</w:t>
      </w:r>
    </w:p>
    <w:p w14:paraId="6007C453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楷体" w:eastAsia="楷体" w:cs="楷体"/>
          <w:b/>
          <w:color w:val="333333"/>
          <w:sz w:val="32"/>
          <w:szCs w:val="32"/>
        </w:rPr>
      </w:pPr>
      <w:r>
        <w:rPr>
          <w:rFonts w:hint="eastAsia" w:ascii="楷体" w:eastAsia="楷体" w:cs="楷体"/>
          <w:b/>
          <w:color w:val="333333"/>
          <w:sz w:val="32"/>
          <w:szCs w:val="32"/>
        </w:rPr>
        <w:t>（三）野生动物保护领域执法监督检查</w:t>
      </w:r>
    </w:p>
    <w:p w14:paraId="191A5D6D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hAnsi="仿宋_GB2312" w:eastAsia="仿宋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1、检查内容：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非法饲养野生动物行为；</w:t>
      </w:r>
      <w:r>
        <w:rPr>
          <w:rFonts w:hint="eastAsia" w:ascii="仿宋" w:eastAsia="仿宋" w:cs="仿宋"/>
          <w:color w:val="000000"/>
          <w:sz w:val="32"/>
          <w:szCs w:val="32"/>
        </w:rPr>
        <w:t>非法交易</w:t>
      </w:r>
      <w:r>
        <w:rPr>
          <w:rFonts w:hint="eastAsia" w:ascii="仿宋" w:eastAsia="仿宋"/>
          <w:sz w:val="32"/>
        </w:rPr>
        <w:t>野生动物及其制品行为</w:t>
      </w:r>
      <w:r>
        <w:rPr>
          <w:rFonts w:hint="eastAsia" w:ascii="仿宋" w:eastAsia="仿宋" w:cs="仿宋"/>
          <w:color w:val="000000"/>
          <w:sz w:val="32"/>
          <w:szCs w:val="32"/>
        </w:rPr>
        <w:t>。</w:t>
      </w:r>
    </w:p>
    <w:p w14:paraId="6C0779F4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" w:eastAsia="仿宋"/>
          <w:sz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2、被检查单位：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全县</w:t>
      </w:r>
      <w:r>
        <w:rPr>
          <w:rFonts w:hint="eastAsia" w:ascii="仿宋" w:eastAsia="仿宋"/>
          <w:sz w:val="32"/>
        </w:rPr>
        <w:t>野生动物人工繁殖场及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各类</w:t>
      </w:r>
      <w:r>
        <w:rPr>
          <w:rFonts w:hint="eastAsia" w:ascii="仿宋" w:eastAsia="仿宋"/>
          <w:sz w:val="32"/>
        </w:rPr>
        <w:t>餐饮场所、集贸市场、古玩市场、药材交易市场、花鸟宠物市场。</w:t>
      </w:r>
    </w:p>
    <w:p w14:paraId="6F1078E6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3、时间安排：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实行一年检查两次，上半年安排在6月15日</w:t>
      </w:r>
      <w:r>
        <w:rPr>
          <w:rFonts w:ascii="仿宋_GB2312" w:eastAsia="仿宋_GB2312" w:cs="仿宋_GB2312"/>
          <w:color w:val="333333"/>
          <w:sz w:val="32"/>
          <w:szCs w:val="32"/>
        </w:rPr>
        <w:t>左右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，下半年安排在12月15日</w:t>
      </w:r>
      <w:r>
        <w:rPr>
          <w:rFonts w:ascii="仿宋_GB2312" w:eastAsia="仿宋_GB2312" w:cs="仿宋_GB2312"/>
          <w:color w:val="333333"/>
          <w:sz w:val="32"/>
          <w:szCs w:val="32"/>
        </w:rPr>
        <w:t>左右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。</w:t>
      </w:r>
    </w:p>
    <w:p w14:paraId="7B0D0568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4、责任分工：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责任领导</w:t>
      </w:r>
      <w:r>
        <w:rPr>
          <w:rFonts w:ascii="仿宋_GB2312" w:eastAsia="仿宋_GB2312" w:cs="仿宋_GB2312"/>
          <w:color w:val="333333"/>
          <w:sz w:val="32"/>
          <w:szCs w:val="32"/>
        </w:rPr>
        <w:t>和少磊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，责任股室为林业执法队。</w:t>
      </w:r>
    </w:p>
    <w:p w14:paraId="6EE6B08E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楷体" w:eastAsia="楷体" w:cs="楷体"/>
          <w:b/>
          <w:color w:val="333333"/>
          <w:sz w:val="32"/>
          <w:szCs w:val="32"/>
        </w:rPr>
      </w:pPr>
      <w:r>
        <w:rPr>
          <w:rFonts w:hint="eastAsia" w:ascii="楷体" w:eastAsia="楷体" w:cs="楷体"/>
          <w:b/>
          <w:color w:val="333333"/>
          <w:sz w:val="32"/>
          <w:szCs w:val="32"/>
        </w:rPr>
        <w:t>（四）违法占地执法检查</w:t>
      </w:r>
    </w:p>
    <w:p w14:paraId="181144C0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1、检查内容：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土地林业卫片调查核实；群众投诉举报的违法行为调查核实；上级机关交办事项的现场调查核实。</w:t>
      </w:r>
    </w:p>
    <w:p w14:paraId="5DD732F6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2、被检查单位：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全县各类使用土地、林地场所。</w:t>
      </w:r>
    </w:p>
    <w:p w14:paraId="09BA8195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3、时间安排：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土地林业卫片调查核实按照国家、省、市安排进行，群众投诉举报违法行为的调查核实、上级机关交办事项的现场调查核实随时进行。</w:t>
      </w:r>
    </w:p>
    <w:p w14:paraId="6370B3D8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4、责任分工：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责任领导程强</w:t>
      </w:r>
      <w:r>
        <w:rPr>
          <w:rFonts w:ascii="仿宋_GB2312" w:eastAsia="仿宋_GB2312" w:cs="仿宋_GB2312"/>
          <w:color w:val="333333"/>
          <w:sz w:val="32"/>
          <w:szCs w:val="32"/>
        </w:rPr>
        <w:t>、和少磊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，责任股室为执法监察股、林业管理股、林业执法队。</w:t>
      </w:r>
    </w:p>
    <w:p w14:paraId="26C92781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黑体" w:eastAsia="黑体" w:cs="黑体"/>
          <w:color w:val="333333"/>
          <w:sz w:val="32"/>
          <w:szCs w:val="32"/>
        </w:rPr>
      </w:pPr>
      <w:r>
        <w:rPr>
          <w:rFonts w:hint="eastAsia" w:ascii="黑体" w:eastAsia="黑体" w:cs="黑体"/>
          <w:color w:val="333333"/>
          <w:sz w:val="32"/>
          <w:szCs w:val="32"/>
        </w:rPr>
        <w:t>三、工作要求</w:t>
      </w:r>
    </w:p>
    <w:p w14:paraId="02D88ED8">
      <w:pPr>
        <w:pStyle w:val="11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楷体" w:eastAsia="楷体" w:cs="楷体"/>
          <w:b/>
          <w:color w:val="333333"/>
          <w:sz w:val="32"/>
          <w:szCs w:val="32"/>
        </w:rPr>
        <w:t>1、坚持廉洁监督检查。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开展监督检查要轻车简从，不铺张浪费，不能要求被检查单位车接车送。检查过程客观公正，不接受被检查单位的宴请，不接受被检查单位的礼品礼金。</w:t>
      </w:r>
    </w:p>
    <w:p w14:paraId="4A38EF95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楷体" w:eastAsia="楷体" w:cs="楷体"/>
          <w:color w:val="333333"/>
          <w:sz w:val="32"/>
          <w:szCs w:val="32"/>
        </w:rPr>
        <w:t>2、</w:t>
      </w:r>
      <w:r>
        <w:rPr>
          <w:rStyle w:val="15"/>
          <w:rFonts w:hint="eastAsia" w:ascii="楷体" w:eastAsia="楷体" w:cs="楷体"/>
          <w:color w:val="333333"/>
          <w:sz w:val="32"/>
          <w:szCs w:val="32"/>
        </w:rPr>
        <w:t>依照程序组织检查。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监督检查必须严格按照法定程序行使检查职权，切实履行法定执法职责，必须2个及以上具备执法资格的人员共同实施，实行亮证检查，对检查中发现的问题依法依规处理。</w:t>
      </w:r>
    </w:p>
    <w:p w14:paraId="3CF9FE4A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楷体" w:eastAsia="楷体" w:cs="楷体"/>
          <w:color w:val="333333"/>
          <w:sz w:val="32"/>
          <w:szCs w:val="32"/>
        </w:rPr>
        <w:t>3、</w:t>
      </w:r>
      <w:r>
        <w:rPr>
          <w:rStyle w:val="15"/>
          <w:rFonts w:hint="eastAsia" w:ascii="楷体" w:eastAsia="楷体" w:cs="楷体"/>
          <w:color w:val="333333"/>
          <w:sz w:val="32"/>
          <w:szCs w:val="32"/>
        </w:rPr>
        <w:t>严厉查处违法违规行为。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对检查中发现涉嫌存在违法违规行为的，要按要求制作询问笔录、现场勘测记录、现场照片等相关证据材料，依法依规处理到位。</w:t>
      </w:r>
    </w:p>
    <w:p w14:paraId="1D140429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楷体" w:eastAsia="楷体" w:cs="楷体"/>
          <w:color w:val="333333"/>
          <w:sz w:val="32"/>
          <w:szCs w:val="32"/>
        </w:rPr>
        <w:t>4、</w:t>
      </w:r>
      <w:r>
        <w:rPr>
          <w:rStyle w:val="15"/>
          <w:rFonts w:hint="eastAsia" w:ascii="楷体" w:eastAsia="楷体" w:cs="楷体"/>
          <w:color w:val="333333"/>
          <w:sz w:val="32"/>
          <w:szCs w:val="32"/>
        </w:rPr>
        <w:t>跟踪落实整改。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对检查发现的违法违规问题，要做出相应的行政处罚，建立“谁检查、谁跟踪落实到位”的责任机制，跟踪督办，直至整改落实到位。</w:t>
      </w:r>
    </w:p>
    <w:p w14:paraId="640731CE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</w:p>
    <w:p w14:paraId="51451ECA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</w:p>
    <w:p w14:paraId="2F6CF216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color w:val="333333"/>
          <w:sz w:val="32"/>
          <w:szCs w:val="32"/>
        </w:rPr>
        <w:t xml:space="preserve"> </w:t>
      </w:r>
      <w:r>
        <w:rPr>
          <w:rFonts w:ascii="仿宋_GB2312" w:eastAsia="仿宋_GB2312" w:cs="仿宋_GB2312"/>
          <w:color w:val="333333"/>
          <w:sz w:val="32"/>
          <w:szCs w:val="32"/>
        </w:rPr>
        <w:t xml:space="preserve">                             </w:t>
      </w:r>
    </w:p>
    <w:p w14:paraId="265F0AE0">
      <w:pPr>
        <w:pStyle w:val="11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</w:p>
    <w:p w14:paraId="4D0F8541">
      <w:pPr>
        <w:pStyle w:val="11"/>
        <w:widowControl w:val="0"/>
        <w:spacing w:before="0" w:beforeAutospacing="0" w:after="0" w:afterAutospacing="0" w:line="560" w:lineRule="exact"/>
        <w:ind w:firstLine="5440" w:firstLineChars="17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曲阳县自然资源和规划局</w:t>
      </w:r>
    </w:p>
    <w:p w14:paraId="1F1B21BF">
      <w:pPr>
        <w:widowControl w:val="0"/>
        <w:spacing w:line="560" w:lineRule="exact"/>
        <w:ind w:firstLine="640" w:firstLineChars="200"/>
        <w:rPr>
          <w:rFonts w:ascii="仿宋_GB2312" w:eastAsia="仿宋_GB2312" w:cs="仿宋_GB2312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2240" w:h="15840"/>
      <w:pgMar w:top="1440" w:right="1587" w:bottom="1440" w:left="1587" w:header="720" w:footer="720" w:gutter="0"/>
      <w:cols w:space="720" w:num="1"/>
      <w:docGrid w:linePitch="28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01D3C1">
    <w:pPr>
      <w:pStyle w:val="9"/>
      <w:rPr>
        <w:szCs w:val="18"/>
      </w:rPr>
    </w:pPr>
    <w:r>
      <w:rPr>
        <w:rFonts w:eastAsia="宋体"/>
        <w:szCs w:val="18"/>
      </w:rPr>
      <mc:AlternateContent>
        <mc:Choice Requires="wps">
          <w:drawing>
            <wp:anchor distT="0" distB="0" distL="113665" distR="113665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6200" cy="131445"/>
              <wp:effectExtent l="0" t="0" r="0" b="0"/>
              <wp:wrapNone/>
              <wp:docPr id="1" name="文本框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98" cy="131559"/>
                      </a:xfrm>
                      <a:prstGeom prst="rect">
                        <a:avLst/>
                      </a:prstGeom>
                      <a:noFill/>
                      <a:ln w="9525" cap="flat" cmpd="sng">
                        <a:noFill/>
                        <a:prstDash val="solid"/>
                        <a:miter/>
                      </a:ln>
                    </wps:spPr>
                    <wps:txbx>
                      <w:txbxContent>
                        <w:p w14:paraId="73CA8B22">
                          <w:pPr>
                            <w:pStyle w:val="9"/>
                            <w:rPr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" o:spid="_x0000_s1026" o:spt="1" style="position:absolute;left:0pt;margin-top:0pt;height:10.35pt;width:6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p7aaotAAAAADAQAADwAAAAAAAAABACAAAAAiAAAAZHJzL2Rvd25yZXYueG1s&#10;UEsBAhQAFAAAAAgAh07iQExBqDIAAgAA8QMAAA4AAAAAAAAAAQAgAAAAHwEAAGRycy9lMm9Eb2Mu&#10;eG1sUEsFBgAAAAAGAAYAWQEAAJEFAAAAAA==&#10;">
              <v:fill on="f" focussize="0,0"/>
              <v:stroke on="f" joinstyle="miter"/>
              <v:imagedata o:title=""/>
              <o:lock v:ext="edit" aspectratio="f"/>
              <v:textbox inset="0mm,0mm,0mm,0mm" style="mso-fit-shape-to-text:t;">
                <w:txbxContent>
                  <w:p w14:paraId="73CA8B22">
                    <w:pPr>
                      <w:pStyle w:val="9"/>
                      <w:rPr>
                        <w:szCs w:val="18"/>
                      </w:rPr>
                    </w:pPr>
                    <w:r>
                      <w:rPr>
                        <w:rFonts w:hint="eastAsia"/>
                        <w:szCs w:val="18"/>
                      </w:rPr>
                      <w:fldChar w:fldCharType="begin"/>
                    </w:r>
                    <w:r>
                      <w:rPr>
                        <w:rFonts w:hint="eastAsia"/>
                        <w:szCs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Cs w:val="18"/>
                      </w:rPr>
                      <w:fldChar w:fldCharType="separate"/>
                    </w:r>
                    <w:r>
                      <w:rPr>
                        <w:rFonts w:hint="eastAsia"/>
                        <w:szCs w:val="18"/>
                      </w:rPr>
                      <w:t>1</w:t>
                    </w:r>
                    <w:r>
                      <w:rPr>
                        <w:rFonts w:hint="eastAsia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720"/>
  <w:drawingGridHorizontalSpacing w:val="120"/>
  <w:drawingGridVerticalSpacing w:val="120"/>
  <w:doNotUseMarginsForDrawingGridOrigin w:val="1"/>
  <w:drawingGridHorizontalOrigin w:val="1800"/>
  <w:drawingGridVerticalOrigin w:val="1440"/>
  <w:doNotShadeFormData w:val="1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1D9"/>
    <w:rsid w:val="001A01D9"/>
    <w:rsid w:val="00A155D3"/>
    <w:rsid w:val="00A35DB2"/>
    <w:rsid w:val="1CD6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Times New Roman" w:hAnsi="Times New Roman" w:eastAsia="Times New Roman" w:cs="Arial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spacing w:before="100" w:beforeAutospacing="1" w:after="100" w:afterAutospacing="1"/>
      <w:jc w:val="left"/>
      <w:outlineLvl w:val="0"/>
    </w:pPr>
    <w:rPr>
      <w:rFonts w:ascii="宋体" w:eastAsia="宋体" w:cs="宋体"/>
      <w:b/>
      <w:kern w:val="44"/>
      <w:sz w:val="48"/>
      <w:szCs w:val="48"/>
    </w:rPr>
  </w:style>
  <w:style w:type="paragraph" w:styleId="4">
    <w:name w:val="heading 2"/>
    <w:basedOn w:val="1"/>
    <w:next w:val="1"/>
    <w:unhideWhenUsed/>
    <w:qFormat/>
    <w:uiPriority w:val="9"/>
    <w:pPr>
      <w:spacing w:before="100" w:beforeAutospacing="1" w:after="100" w:afterAutospacing="1"/>
      <w:jc w:val="left"/>
      <w:outlineLvl w:val="1"/>
    </w:pPr>
    <w:rPr>
      <w:rFonts w:ascii="宋体" w:eastAsia="宋体" w:cs="宋体"/>
      <w:b/>
      <w:kern w:val="0"/>
      <w:sz w:val="36"/>
      <w:szCs w:val="36"/>
    </w:rPr>
  </w:style>
  <w:style w:type="paragraph" w:styleId="5">
    <w:name w:val="heading 3"/>
    <w:basedOn w:val="1"/>
    <w:next w:val="1"/>
    <w:semiHidden/>
    <w:unhideWhenUsed/>
    <w:qFormat/>
    <w:uiPriority w:val="9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uiPriority w:val="0"/>
    <w:pPr>
      <w:widowControl w:val="0"/>
      <w:ind w:left="200" w:leftChars="200"/>
    </w:pPr>
    <w:rPr>
      <w:rFonts w:ascii="Calibri" w:hAnsi="Calibri" w:eastAsia="宋体"/>
    </w:rPr>
  </w:style>
  <w:style w:type="paragraph" w:styleId="6">
    <w:name w:val="Normal Indent"/>
    <w:basedOn w:val="1"/>
    <w:qFormat/>
    <w:uiPriority w:val="0"/>
    <w:pPr>
      <w:widowControl w:val="0"/>
      <w:ind w:firstLine="200" w:firstLineChars="200"/>
    </w:pPr>
    <w:rPr>
      <w:rFonts w:ascii="Calibri" w:hAnsi="Calibri" w:eastAsia="宋体" w:cs="Times New Roman"/>
      <w:szCs w:val="24"/>
    </w:rPr>
  </w:style>
  <w:style w:type="paragraph" w:styleId="7">
    <w:name w:val="Body Text"/>
    <w:basedOn w:val="1"/>
    <w:qFormat/>
    <w:uiPriority w:val="0"/>
    <w:rPr>
      <w:sz w:val="32"/>
    </w:rPr>
  </w:style>
  <w:style w:type="paragraph" w:styleId="8">
    <w:name w:val="Plain Text"/>
    <w:basedOn w:val="1"/>
    <w:qFormat/>
    <w:uiPriority w:val="0"/>
    <w:pPr>
      <w:spacing w:line="480" w:lineRule="exact"/>
    </w:pPr>
    <w:rPr>
      <w:rFonts w:ascii="宋体" w:eastAsia="宋体" w:cs="宋体"/>
      <w:sz w:val="28"/>
      <w:szCs w:val="2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1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宋体" w:eastAsia="宋体" w:cs="Times New Roman"/>
      <w:b/>
      <w:sz w:val="32"/>
      <w:szCs w:val="32"/>
    </w:rPr>
  </w:style>
  <w:style w:type="character" w:styleId="15">
    <w:name w:val="Strong"/>
    <w:basedOn w:val="14"/>
    <w:uiPriority w:val="0"/>
    <w:rPr>
      <w:b/>
      <w:sz w:val="24"/>
    </w:rPr>
  </w:style>
  <w:style w:type="character" w:styleId="16">
    <w:name w:val="Hyperlink"/>
    <w:basedOn w:val="14"/>
    <w:uiPriority w:val="0"/>
    <w:rPr>
      <w:color w:val="0000FF"/>
      <w:sz w:val="24"/>
    </w:rPr>
  </w:style>
  <w:style w:type="character" w:customStyle="1" w:styleId="17">
    <w:name w:val="NormalCharacter"/>
    <w:uiPriority w:val="0"/>
    <w:rPr>
      <w:rFonts w:ascii="Times New Roman" w:hAnsi="Times New Roman" w:eastAsia="Times New Roman"/>
      <w:kern w:val="2"/>
      <w:sz w:val="21"/>
    </w:rPr>
  </w:style>
  <w:style w:type="paragraph" w:customStyle="1" w:styleId="18">
    <w:name w:val="纯文本1"/>
    <w:basedOn w:val="1"/>
    <w:qFormat/>
    <w:uiPriority w:val="0"/>
    <w:rPr>
      <w:rFonts w:ascii="宋体" w:eastAsia="宋体" w:cs="Courier New"/>
      <w:szCs w:val="24"/>
    </w:rPr>
  </w:style>
  <w:style w:type="paragraph" w:customStyle="1" w:styleId="19">
    <w:name w:val="正文缩进1"/>
    <w:qFormat/>
    <w:uiPriority w:val="0"/>
    <w:pPr>
      <w:widowControl w:val="0"/>
      <w:ind w:firstLine="20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0">
    <w:name w:val="TOC2"/>
    <w:basedOn w:val="1"/>
    <w:next w:val="1"/>
    <w:uiPriority w:val="0"/>
    <w:pPr>
      <w:textAlignment w:val="baseline"/>
    </w:pPr>
    <w:rPr>
      <w:rFonts w:ascii="仿宋_GB2312" w:eastAsia="仿宋_GB2312"/>
    </w:rPr>
  </w:style>
  <w:style w:type="paragraph" w:styleId="21">
    <w:name w:val="List Paragraph"/>
    <w:basedOn w:val="1"/>
    <w:uiPriority w:val="0"/>
    <w:pPr>
      <w:ind w:firstLine="200" w:firstLineChars="200"/>
    </w:pPr>
    <w:rPr>
      <w:rFonts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D69DB1-A0CD-4C31-99D3-6B6FEBBE97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1164</Words>
  <Characters>1185</Characters>
  <Lines>8</Lines>
  <Paragraphs>2</Paragraphs>
  <TotalTime>2</TotalTime>
  <ScaleCrop>false</ScaleCrop>
  <LinksUpToDate>false</LinksUpToDate>
  <CharactersWithSpaces>1215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2025-04-28T08:06:00Z</dcterms:created>
  <dc:creator>Administrator</dc:creator>
  <cp:lastModifiedBy>Administrator</cp:lastModifiedBy>
  <dcterms:modified xsi:type="dcterms:W3CDTF">2025-11-05T03:36:04Z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eyJoZGlkIjoiNjVhMDA4MTE3MzE3MTkwMTA4NmIyMjlhYmE5Mzc4ODkifQ==</vt:lpwstr>
  </property>
  <property fmtid="{D5CDD505-2E9C-101B-9397-08002B2CF9AE}" pid="3" name="KSOProductBuildVer">
    <vt:lpwstr>2052-12.1.0.23125</vt:lpwstr>
  </property>
  <property fmtid="{D5CDD505-2E9C-101B-9397-08002B2CF9AE}" pid="4" name="ICV">
    <vt:lpwstr>6F6CC56D72F3480FBF7C3A208009A155_12</vt:lpwstr>
  </property>
</Properties>
</file>