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CA9FC">
      <w:pPr>
        <w:pageBreakBefore w:val="0"/>
        <w:wordWrap w:val="0"/>
        <w:spacing w:before="0" w:after="0" w:line="500" w:lineRule="atLeast"/>
        <w:ind w:left="0" w:right="0"/>
        <w:jc w:val="center"/>
        <w:textAlignment w:val="baseline"/>
        <w:rPr>
          <w:sz w:val="33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33"/>
          <w:lang w:eastAsia="zh-CN"/>
        </w:rPr>
        <w:t>曲阳县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33"/>
        </w:rPr>
        <w:t>人力资源和社会保障局2025年度涉企行政检查频次上限</w:t>
      </w:r>
    </w:p>
    <w:tbl>
      <w:tblPr>
        <w:tblStyle w:val="2"/>
        <w:tblW w:w="0" w:type="auto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0"/>
        <w:gridCol w:w="2020"/>
        <w:gridCol w:w="3260"/>
        <w:gridCol w:w="2200"/>
        <w:gridCol w:w="820"/>
        <w:gridCol w:w="1680"/>
      </w:tblGrid>
      <w:tr w14:paraId="58CAEA0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40" w:type="dxa"/>
            <w:vAlign w:val="center"/>
          </w:tcPr>
          <w:p w14:paraId="136D6573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序号</w:t>
            </w:r>
          </w:p>
        </w:tc>
        <w:tc>
          <w:tcPr>
            <w:tcW w:w="2020" w:type="dxa"/>
            <w:vAlign w:val="center"/>
          </w:tcPr>
          <w:p w14:paraId="1971D52C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事项名称</w:t>
            </w:r>
          </w:p>
        </w:tc>
        <w:tc>
          <w:tcPr>
            <w:tcW w:w="3260" w:type="dxa"/>
            <w:vAlign w:val="center"/>
          </w:tcPr>
          <w:p w14:paraId="504DEC86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实施依据</w:t>
            </w:r>
          </w:p>
        </w:tc>
        <w:tc>
          <w:tcPr>
            <w:tcW w:w="2200" w:type="dxa"/>
            <w:vAlign w:val="center"/>
          </w:tcPr>
          <w:p w14:paraId="3E12B98A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实施主体</w:t>
            </w:r>
          </w:p>
        </w:tc>
        <w:tc>
          <w:tcPr>
            <w:tcW w:w="820" w:type="dxa"/>
            <w:vAlign w:val="center"/>
          </w:tcPr>
          <w:p w14:paraId="7EEB9527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检查对象</w:t>
            </w:r>
          </w:p>
        </w:tc>
        <w:tc>
          <w:tcPr>
            <w:tcW w:w="1680" w:type="dxa"/>
            <w:vAlign w:val="center"/>
          </w:tcPr>
          <w:p w14:paraId="6F207BC7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检查频次上限</w:t>
            </w:r>
          </w:p>
        </w:tc>
      </w:tr>
      <w:tr w14:paraId="063F970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0" w:hRule="atLeast"/>
          <w:jc w:val="center"/>
        </w:trPr>
        <w:tc>
          <w:tcPr>
            <w:tcW w:w="440" w:type="dxa"/>
            <w:vAlign w:val="center"/>
          </w:tcPr>
          <w:p w14:paraId="7BA97B36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</w:t>
            </w:r>
          </w:p>
        </w:tc>
        <w:tc>
          <w:tcPr>
            <w:tcW w:w="2020" w:type="dxa"/>
            <w:vAlign w:val="center"/>
          </w:tcPr>
          <w:p w14:paraId="6E8681D0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企业特殊工时制度落实情况检查</w:t>
            </w:r>
          </w:p>
        </w:tc>
        <w:tc>
          <w:tcPr>
            <w:tcW w:w="3260" w:type="dxa"/>
            <w:vAlign w:val="center"/>
          </w:tcPr>
          <w:p w14:paraId="5003917E">
            <w:pPr>
              <w:pageBreakBefore w:val="0"/>
              <w:wordWrap w:val="0"/>
              <w:spacing w:before="0" w:after="0" w:line="260" w:lineRule="atLeast"/>
              <w:ind w:left="0" w:right="0" w:firstLine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《中华人民共和国劳动法》《关于企业实行不定时工作制和综合计算工时工作制的审批办法》</w:t>
            </w:r>
          </w:p>
        </w:tc>
        <w:tc>
          <w:tcPr>
            <w:tcW w:w="2200" w:type="dxa"/>
            <w:vAlign w:val="center"/>
          </w:tcPr>
          <w:p w14:paraId="6C41C295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3EC2E5AC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企业</w:t>
            </w:r>
          </w:p>
        </w:tc>
        <w:tc>
          <w:tcPr>
            <w:tcW w:w="1680" w:type="dxa"/>
            <w:vAlign w:val="center"/>
          </w:tcPr>
          <w:p w14:paraId="7BAEE96D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  <w:tr w14:paraId="55E5634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  <w:jc w:val="center"/>
        </w:trPr>
        <w:tc>
          <w:tcPr>
            <w:tcW w:w="440" w:type="dxa"/>
            <w:vAlign w:val="center"/>
          </w:tcPr>
          <w:p w14:paraId="1F71A764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2</w:t>
            </w:r>
          </w:p>
        </w:tc>
        <w:tc>
          <w:tcPr>
            <w:tcW w:w="2020" w:type="dxa"/>
            <w:vAlign w:val="center"/>
          </w:tcPr>
          <w:p w14:paraId="1F25318A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社会保险基金监督检查</w:t>
            </w:r>
          </w:p>
        </w:tc>
        <w:tc>
          <w:tcPr>
            <w:tcW w:w="3260" w:type="dxa"/>
            <w:vAlign w:val="center"/>
          </w:tcPr>
          <w:p w14:paraId="410636D6">
            <w:pPr>
              <w:pageBreakBefore w:val="0"/>
              <w:wordWrap w:val="0"/>
              <w:spacing w:before="0" w:after="0" w:line="260" w:lineRule="atLeast"/>
              <w:ind w:left="0" w:right="0" w:firstLine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《中华人民共和国社会保险法》《社会保险经办条例》《社会保险基金行政监督办法》</w:t>
            </w:r>
          </w:p>
        </w:tc>
        <w:tc>
          <w:tcPr>
            <w:tcW w:w="2200" w:type="dxa"/>
            <w:vAlign w:val="center"/>
          </w:tcPr>
          <w:p w14:paraId="2CEBF60C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50A7CB83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用人单位</w:t>
            </w:r>
          </w:p>
        </w:tc>
        <w:tc>
          <w:tcPr>
            <w:tcW w:w="1680" w:type="dxa"/>
            <w:vAlign w:val="center"/>
          </w:tcPr>
          <w:p w14:paraId="0E8C77C6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  <w:tr w14:paraId="1C4B126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0" w:hRule="atLeast"/>
          <w:jc w:val="center"/>
        </w:trPr>
        <w:tc>
          <w:tcPr>
            <w:tcW w:w="440" w:type="dxa"/>
            <w:vAlign w:val="center"/>
          </w:tcPr>
          <w:p w14:paraId="1F4CFF82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3</w:t>
            </w:r>
          </w:p>
        </w:tc>
        <w:tc>
          <w:tcPr>
            <w:tcW w:w="2020" w:type="dxa"/>
            <w:vAlign w:val="center"/>
          </w:tcPr>
          <w:p w14:paraId="3298B38B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对《企业年金办法》执行情况的行政检查</w:t>
            </w:r>
          </w:p>
        </w:tc>
        <w:tc>
          <w:tcPr>
            <w:tcW w:w="3260" w:type="dxa"/>
            <w:vAlign w:val="center"/>
          </w:tcPr>
          <w:p w14:paraId="34F566A4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《企业年金办法》</w:t>
            </w:r>
          </w:p>
        </w:tc>
        <w:tc>
          <w:tcPr>
            <w:tcW w:w="2200" w:type="dxa"/>
            <w:vAlign w:val="center"/>
          </w:tcPr>
          <w:p w14:paraId="5F665DB9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43C1A1F9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企业</w:t>
            </w:r>
          </w:p>
        </w:tc>
        <w:tc>
          <w:tcPr>
            <w:tcW w:w="1680" w:type="dxa"/>
            <w:vAlign w:val="center"/>
          </w:tcPr>
          <w:p w14:paraId="28BE70EA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  <w:tr w14:paraId="143232F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0" w:hRule="atLeast"/>
          <w:jc w:val="center"/>
        </w:trPr>
        <w:tc>
          <w:tcPr>
            <w:tcW w:w="440" w:type="dxa"/>
            <w:vAlign w:val="center"/>
          </w:tcPr>
          <w:p w14:paraId="421CAFD3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4</w:t>
            </w:r>
          </w:p>
        </w:tc>
        <w:tc>
          <w:tcPr>
            <w:tcW w:w="2020" w:type="dxa"/>
            <w:vAlign w:val="center"/>
          </w:tcPr>
          <w:p w14:paraId="0DE5B223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经营性人力资源服务机构监督检查</w:t>
            </w:r>
          </w:p>
        </w:tc>
        <w:tc>
          <w:tcPr>
            <w:tcW w:w="3260" w:type="dxa"/>
            <w:vAlign w:val="center"/>
          </w:tcPr>
          <w:p w14:paraId="7033E097">
            <w:pPr>
              <w:pageBreakBefore w:val="0"/>
              <w:wordWrap w:val="0"/>
              <w:spacing w:before="0" w:after="0" w:line="260" w:lineRule="atLeast"/>
              <w:ind w:left="0" w:right="0" w:firstLine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《人力资源市场暂行条例》《人力资源服务机构管理规定》《河北省人力资源市场条例》《网络招聘服务管理规定》</w:t>
            </w:r>
          </w:p>
        </w:tc>
        <w:tc>
          <w:tcPr>
            <w:tcW w:w="2200" w:type="dxa"/>
            <w:vAlign w:val="center"/>
          </w:tcPr>
          <w:p w14:paraId="70FB1411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6986A8CC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经营性人力资源服务机构</w:t>
            </w:r>
          </w:p>
        </w:tc>
        <w:tc>
          <w:tcPr>
            <w:tcW w:w="1680" w:type="dxa"/>
            <w:vAlign w:val="center"/>
          </w:tcPr>
          <w:p w14:paraId="2B1F66E4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  <w:tr w14:paraId="7C7D111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0" w:hRule="atLeast"/>
          <w:jc w:val="center"/>
        </w:trPr>
        <w:tc>
          <w:tcPr>
            <w:tcW w:w="440" w:type="dxa"/>
            <w:vAlign w:val="center"/>
          </w:tcPr>
          <w:p w14:paraId="6C6B33EE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020" w:type="dxa"/>
            <w:vAlign w:val="center"/>
          </w:tcPr>
          <w:p w14:paraId="0BF5C6A0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用人单位遵守劳动保障法律、法规监督检查</w:t>
            </w:r>
          </w:p>
        </w:tc>
        <w:tc>
          <w:tcPr>
            <w:tcW w:w="3260" w:type="dxa"/>
            <w:vAlign w:val="center"/>
          </w:tcPr>
          <w:p w14:paraId="05FD917E">
            <w:pPr>
              <w:pageBreakBefore w:val="0"/>
              <w:wordWrap w:val="0"/>
              <w:spacing w:before="0" w:after="0" w:line="260" w:lineRule="atLeast"/>
              <w:ind w:left="0" w:right="0" w:firstLine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《中华人民共和国劳动合同法》《中华人民共和国就业促进法》《劳动保障监察条例》《保障农民工工资支付条例》等法律、法规、规章</w:t>
            </w:r>
          </w:p>
        </w:tc>
        <w:tc>
          <w:tcPr>
            <w:tcW w:w="2200" w:type="dxa"/>
            <w:vAlign w:val="center"/>
          </w:tcPr>
          <w:p w14:paraId="6DA793A8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17667563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用人单位</w:t>
            </w:r>
          </w:p>
        </w:tc>
        <w:tc>
          <w:tcPr>
            <w:tcW w:w="1680" w:type="dxa"/>
            <w:vAlign w:val="center"/>
          </w:tcPr>
          <w:p w14:paraId="525548FD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原则上1次。根据投诉举报等线索确需实施或应企业申请的，不受频次上限限制。</w:t>
            </w:r>
          </w:p>
        </w:tc>
      </w:tr>
      <w:tr w14:paraId="33883C6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jc w:val="center"/>
        </w:trPr>
        <w:tc>
          <w:tcPr>
            <w:tcW w:w="440" w:type="dxa"/>
            <w:vAlign w:val="center"/>
          </w:tcPr>
          <w:p w14:paraId="7ACB9B3A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6</w:t>
            </w:r>
          </w:p>
        </w:tc>
        <w:tc>
          <w:tcPr>
            <w:tcW w:w="2020" w:type="dxa"/>
            <w:vAlign w:val="center"/>
          </w:tcPr>
          <w:p w14:paraId="2C5E1134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对劳务派遣市场行为的监督检查</w:t>
            </w:r>
          </w:p>
        </w:tc>
        <w:tc>
          <w:tcPr>
            <w:tcW w:w="3260" w:type="dxa"/>
            <w:vAlign w:val="center"/>
          </w:tcPr>
          <w:p w14:paraId="3A25E3D8">
            <w:pPr>
              <w:pageBreakBefore w:val="0"/>
              <w:wordWrap w:val="0"/>
              <w:spacing w:before="0" w:after="0" w:line="260" w:lineRule="atLeast"/>
              <w:ind w:left="0" w:right="0" w:firstLine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《中华人民共和国劳动合同法》《劳务派遣行政许可实施办法》《劳务派遣暂行规定》</w:t>
            </w:r>
          </w:p>
        </w:tc>
        <w:tc>
          <w:tcPr>
            <w:tcW w:w="2200" w:type="dxa"/>
            <w:vAlign w:val="center"/>
          </w:tcPr>
          <w:p w14:paraId="6742F7D8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6A1FEAF1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劳务派遣单位</w:t>
            </w:r>
          </w:p>
        </w:tc>
        <w:tc>
          <w:tcPr>
            <w:tcW w:w="1680" w:type="dxa"/>
            <w:vAlign w:val="center"/>
          </w:tcPr>
          <w:p w14:paraId="5B516945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  <w:tr w14:paraId="3B06648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  <w:jc w:val="center"/>
        </w:trPr>
        <w:tc>
          <w:tcPr>
            <w:tcW w:w="440" w:type="dxa"/>
            <w:vAlign w:val="center"/>
          </w:tcPr>
          <w:p w14:paraId="185B0F60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7</w:t>
            </w:r>
          </w:p>
        </w:tc>
        <w:tc>
          <w:tcPr>
            <w:tcW w:w="2020" w:type="dxa"/>
            <w:vAlign w:val="center"/>
          </w:tcPr>
          <w:p w14:paraId="6B017322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对企业集体合同、工资集体合同和专项集体合同履行情况的监督检查</w:t>
            </w:r>
          </w:p>
        </w:tc>
        <w:tc>
          <w:tcPr>
            <w:tcW w:w="3260" w:type="dxa"/>
            <w:vAlign w:val="center"/>
          </w:tcPr>
          <w:p w14:paraId="349ED0EE">
            <w:pPr>
              <w:pageBreakBefore w:val="0"/>
              <w:wordWrap w:val="0"/>
              <w:spacing w:before="0" w:after="0" w:line="260" w:lineRule="atLeast"/>
              <w:ind w:left="0" w:right="0" w:firstLine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《集体合同规定》《工资集体协商试行办法》《河北省企业集体协商条例》</w:t>
            </w:r>
          </w:p>
        </w:tc>
        <w:tc>
          <w:tcPr>
            <w:tcW w:w="2200" w:type="dxa"/>
            <w:vAlign w:val="center"/>
          </w:tcPr>
          <w:p w14:paraId="3D2351D5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</w:t>
            </w:r>
          </w:p>
        </w:tc>
        <w:tc>
          <w:tcPr>
            <w:tcW w:w="820" w:type="dxa"/>
            <w:vAlign w:val="center"/>
          </w:tcPr>
          <w:p w14:paraId="7231AA4F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企业</w:t>
            </w:r>
          </w:p>
        </w:tc>
        <w:tc>
          <w:tcPr>
            <w:tcW w:w="1680" w:type="dxa"/>
            <w:vAlign w:val="center"/>
          </w:tcPr>
          <w:p w14:paraId="0A98D306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  <w:tr w14:paraId="0AE70AB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0" w:hRule="atLeast"/>
          <w:jc w:val="center"/>
        </w:trPr>
        <w:tc>
          <w:tcPr>
            <w:tcW w:w="440" w:type="dxa"/>
            <w:vAlign w:val="center"/>
          </w:tcPr>
          <w:p w14:paraId="4EAC7CAD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8</w:t>
            </w:r>
          </w:p>
        </w:tc>
        <w:tc>
          <w:tcPr>
            <w:tcW w:w="2020" w:type="dxa"/>
            <w:vAlign w:val="center"/>
          </w:tcPr>
          <w:p w14:paraId="445D26F9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社会保险登记和待遇享受情况、社会保险服务机构履行服务协议、执行费用结算项目和标准情况核查</w:t>
            </w:r>
          </w:p>
        </w:tc>
        <w:tc>
          <w:tcPr>
            <w:tcW w:w="3260" w:type="dxa"/>
            <w:vAlign w:val="center"/>
          </w:tcPr>
          <w:p w14:paraId="3C28F5C3">
            <w:pPr>
              <w:pageBreakBefore w:val="0"/>
              <w:wordWrap w:val="0"/>
              <w:spacing w:before="0" w:after="0" w:line="260" w:lineRule="atLeast"/>
              <w:ind w:left="0" w:right="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《社会保险经办条例》</w:t>
            </w:r>
          </w:p>
        </w:tc>
        <w:tc>
          <w:tcPr>
            <w:tcW w:w="2200" w:type="dxa"/>
            <w:vAlign w:val="center"/>
          </w:tcPr>
          <w:p w14:paraId="67A60D26">
            <w:pPr>
              <w:pageBreakBefore w:val="0"/>
              <w:wordWrap w:val="0"/>
              <w:spacing w:before="0" w:after="0" w:line="260" w:lineRule="atLeast"/>
              <w:ind w:left="60" w:right="0" w:hanging="60"/>
              <w:jc w:val="both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人力资源社会保障部门、社会保险事业服务中心</w:t>
            </w:r>
          </w:p>
        </w:tc>
        <w:tc>
          <w:tcPr>
            <w:tcW w:w="820" w:type="dxa"/>
            <w:vAlign w:val="center"/>
          </w:tcPr>
          <w:p w14:paraId="5EAA1018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用人单位</w:t>
            </w:r>
          </w:p>
        </w:tc>
        <w:tc>
          <w:tcPr>
            <w:tcW w:w="1680" w:type="dxa"/>
            <w:vAlign w:val="center"/>
          </w:tcPr>
          <w:p w14:paraId="2CF0F101">
            <w:pPr>
              <w:pageBreakBefore w:val="0"/>
              <w:wordWrap w:val="0"/>
              <w:spacing w:before="0" w:after="0" w:line="260" w:lineRule="atLeast"/>
              <w:ind w:left="0" w:right="0"/>
              <w:jc w:val="center"/>
              <w:textAlignment w:val="baseline"/>
              <w:rPr>
                <w:sz w:val="20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0"/>
              </w:rPr>
              <w:t>1次</w:t>
            </w:r>
          </w:p>
        </w:tc>
      </w:tr>
    </w:tbl>
    <w:p w14:paraId="32A5D389"/>
    <w:sectPr>
      <w:headerReference r:id="rId3" w:type="default"/>
      <w:footerReference r:id="rId4" w:type="default"/>
      <w:pgSz w:w="11900" w:h="16820"/>
      <w:pgMar w:top="980" w:right="700" w:bottom="980" w:left="700" w:header="680" w:footer="68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8B155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B8AC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55CB3983"/>
    <w:rsid w:val="58FC743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677</Words>
  <Characters>680</Characters>
  <TotalTime>0</TotalTime>
  <ScaleCrop>false</ScaleCrop>
  <LinksUpToDate>false</LinksUpToDate>
  <CharactersWithSpaces>680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2025-11-05T02:58:00Z</dcterms:created>
  <dc:creator>Apache POI</dc:creator>
  <cp:lastModifiedBy>旧事离人</cp:lastModifiedBy>
  <dcterms:modified xsi:type="dcterms:W3CDTF">2025-11-05T03:00:48Z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eyJoZGlkIjoiZmNhMGRhYTcwNjI1MmMxMjIwNDQzMTA0MDU4ZmJmZWYiLCJ1c2VySWQiOiI5NDUxNDY1ODIifQ==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5F0262C12D0A4C6D9D5D5067299E8971_12</vt:lpwstr>
  </property>
</Properties>
</file>