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594D60">
      <w:pPr>
        <w:pageBreakBefore w:val="0"/>
        <w:wordWrap w:val="0"/>
        <w:spacing w:before="0" w:after="0" w:line="520" w:lineRule="atLeast"/>
        <w:ind w:left="0" w:right="0"/>
        <w:jc w:val="center"/>
        <w:textAlignment w:val="baseline"/>
        <w:rPr>
          <w:sz w:val="36"/>
        </w:rPr>
      </w:pPr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36"/>
          <w:lang w:eastAsia="zh-CN"/>
        </w:rPr>
        <w:t>曲阳县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36"/>
        </w:rPr>
        <w:t>人社领域涉企行政检查事项清单</w:t>
      </w:r>
    </w:p>
    <w:tbl>
      <w:tblPr>
        <w:tblStyle w:val="2"/>
        <w:tblW w:w="0" w:type="auto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1700"/>
        <w:gridCol w:w="2600"/>
        <w:gridCol w:w="1300"/>
        <w:gridCol w:w="4300"/>
      </w:tblGrid>
      <w:tr w14:paraId="497EC1F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520" w:type="dxa"/>
            <w:vAlign w:val="center"/>
          </w:tcPr>
          <w:p w14:paraId="135251CE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21"/>
              </w:rPr>
              <w:t>序号</w:t>
            </w:r>
          </w:p>
        </w:tc>
        <w:tc>
          <w:tcPr>
            <w:tcW w:w="1700" w:type="dxa"/>
            <w:vAlign w:val="center"/>
          </w:tcPr>
          <w:p w14:paraId="2DD26B72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21"/>
              </w:rPr>
              <w:t>事项名称</w:t>
            </w:r>
          </w:p>
        </w:tc>
        <w:tc>
          <w:tcPr>
            <w:tcW w:w="2600" w:type="dxa"/>
            <w:vAlign w:val="center"/>
          </w:tcPr>
          <w:p w14:paraId="2F7108D3">
            <w:pPr>
              <w:pageBreakBefore w:val="0"/>
              <w:wordWrap w:val="0"/>
              <w:spacing w:before="0" w:after="0" w:line="280" w:lineRule="exac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1"/>
              </w:rPr>
              <w:t xml:space="preserve"> </w:t>
            </w:r>
          </w:p>
        </w:tc>
        <w:tc>
          <w:tcPr>
            <w:tcW w:w="1300" w:type="dxa"/>
            <w:vAlign w:val="center"/>
          </w:tcPr>
          <w:p w14:paraId="4E16B4B6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21"/>
              </w:rPr>
              <w:t>实施主体</w:t>
            </w:r>
          </w:p>
        </w:tc>
        <w:tc>
          <w:tcPr>
            <w:tcW w:w="4300" w:type="dxa"/>
            <w:vAlign w:val="center"/>
          </w:tcPr>
          <w:p w14:paraId="1E2E0D0E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黑体" w:hAnsi="黑体" w:eastAsia="黑体" w:cs="黑体"/>
                <w:b w:val="0"/>
                <w:i w:val="0"/>
                <w:color w:val="000000"/>
                <w:spacing w:val="0"/>
                <w:sz w:val="21"/>
              </w:rPr>
              <w:t>检查标准</w:t>
            </w:r>
          </w:p>
        </w:tc>
      </w:tr>
      <w:tr w14:paraId="2D9768A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 w:hRule="atLeast"/>
          <w:jc w:val="center"/>
        </w:trPr>
        <w:tc>
          <w:tcPr>
            <w:tcW w:w="520" w:type="dxa"/>
            <w:vAlign w:val="center"/>
          </w:tcPr>
          <w:p w14:paraId="668F0426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1</w:t>
            </w:r>
          </w:p>
        </w:tc>
        <w:tc>
          <w:tcPr>
            <w:tcW w:w="1700" w:type="dxa"/>
            <w:vAlign w:val="center"/>
          </w:tcPr>
          <w:p w14:paraId="6BC8E029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企业特殊工时制度落实情况检查</w:t>
            </w:r>
          </w:p>
        </w:tc>
        <w:tc>
          <w:tcPr>
            <w:tcW w:w="2600" w:type="dxa"/>
            <w:vAlign w:val="center"/>
          </w:tcPr>
          <w:p w14:paraId="2CB8E900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《中华人民共和国劳动法》《关于企业实行不定时工作制和综合计算工时工作制的审批办法》</w:t>
            </w:r>
          </w:p>
        </w:tc>
        <w:tc>
          <w:tcPr>
            <w:tcW w:w="1300" w:type="dxa"/>
            <w:vAlign w:val="center"/>
          </w:tcPr>
          <w:p w14:paraId="50D3A276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0DB94812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对企业特殊工时管理办法、特殊工时岗位实施范围(包括涉及具体企业、岗位及人员范围)、劳动者工作时间与休息时间台账(集中休息时间、轮休调休安排等)、履行公示告知义务等进行检查。</w:t>
            </w:r>
          </w:p>
        </w:tc>
      </w:tr>
      <w:tr w14:paraId="4A0C47B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0" w:hRule="atLeast"/>
          <w:jc w:val="center"/>
        </w:trPr>
        <w:tc>
          <w:tcPr>
            <w:tcW w:w="520" w:type="dxa"/>
            <w:vAlign w:val="center"/>
          </w:tcPr>
          <w:p w14:paraId="5DBCDA6B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2</w:t>
            </w:r>
          </w:p>
        </w:tc>
        <w:tc>
          <w:tcPr>
            <w:tcW w:w="1700" w:type="dxa"/>
            <w:vAlign w:val="center"/>
          </w:tcPr>
          <w:p w14:paraId="5C097549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社会保险基金监督检查</w:t>
            </w:r>
          </w:p>
        </w:tc>
        <w:tc>
          <w:tcPr>
            <w:tcW w:w="2600" w:type="dxa"/>
            <w:vAlign w:val="center"/>
          </w:tcPr>
          <w:p w14:paraId="612DF64C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《中华人民共和国社会保险法》《社会保险经办条例》《社会保险基金行政监督办法》</w:t>
            </w:r>
          </w:p>
        </w:tc>
        <w:tc>
          <w:tcPr>
            <w:tcW w:w="1300" w:type="dxa"/>
            <w:vAlign w:val="center"/>
          </w:tcPr>
          <w:p w14:paraId="6A5E25ED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264047B0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按照《社会保险基金行政监督办法》、《社会保障基金现场监督规则》(劳社部发〔2003〕5号)等规定执行。</w:t>
            </w:r>
          </w:p>
        </w:tc>
      </w:tr>
      <w:tr w14:paraId="4C4961BD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0" w:hRule="atLeast"/>
          <w:jc w:val="center"/>
        </w:trPr>
        <w:tc>
          <w:tcPr>
            <w:tcW w:w="520" w:type="dxa"/>
            <w:vAlign w:val="center"/>
          </w:tcPr>
          <w:p w14:paraId="63705066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3</w:t>
            </w:r>
          </w:p>
        </w:tc>
        <w:tc>
          <w:tcPr>
            <w:tcW w:w="1700" w:type="dxa"/>
            <w:vAlign w:val="center"/>
          </w:tcPr>
          <w:p w14:paraId="149A7E87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对《企业年金办法》执行情况的行政检查</w:t>
            </w:r>
          </w:p>
        </w:tc>
        <w:tc>
          <w:tcPr>
            <w:tcW w:w="2600" w:type="dxa"/>
            <w:vAlign w:val="center"/>
          </w:tcPr>
          <w:p w14:paraId="0DDC97F7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《企业年金办法》</w:t>
            </w:r>
          </w:p>
        </w:tc>
        <w:tc>
          <w:tcPr>
            <w:tcW w:w="1300" w:type="dxa"/>
            <w:vAlign w:val="center"/>
          </w:tcPr>
          <w:p w14:paraId="1A0751ED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6BC0DEBD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查</w:t>
            </w:r>
            <w:bookmarkStart w:id="0" w:name="_GoBack"/>
            <w:bookmarkEnd w:id="0"/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看企业年金方案、了解企业年金基金筹集情况及其他政策执行情况</w:t>
            </w:r>
          </w:p>
        </w:tc>
      </w:tr>
      <w:tr w14:paraId="292B1FF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80" w:hRule="atLeast"/>
          <w:jc w:val="center"/>
        </w:trPr>
        <w:tc>
          <w:tcPr>
            <w:tcW w:w="520" w:type="dxa"/>
            <w:vAlign w:val="center"/>
          </w:tcPr>
          <w:p w14:paraId="3295F5AD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4</w:t>
            </w:r>
          </w:p>
        </w:tc>
        <w:tc>
          <w:tcPr>
            <w:tcW w:w="1700" w:type="dxa"/>
            <w:vAlign w:val="center"/>
          </w:tcPr>
          <w:p w14:paraId="36AB437E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经营性人力资源服务机构监督检查</w:t>
            </w:r>
          </w:p>
        </w:tc>
        <w:tc>
          <w:tcPr>
            <w:tcW w:w="2600" w:type="dxa"/>
            <w:vAlign w:val="center"/>
          </w:tcPr>
          <w:p w14:paraId="07B05EDC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《人力资源市场暂行条例》《人力资源服务机构管理规定》《河北省人力资源市场条例》《网络招聘服务管理规定》</w:t>
            </w:r>
          </w:p>
        </w:tc>
        <w:tc>
          <w:tcPr>
            <w:tcW w:w="1300" w:type="dxa"/>
            <w:vAlign w:val="center"/>
          </w:tcPr>
          <w:p w14:paraId="11463EB2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3F9F9CF6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按照《人力资源市场暂行条例》《人力资源服务机构管理规定》《河北省人力资源市场条例》《网络招聘服务管理规定》规定的相关检查内容执行。</w:t>
            </w:r>
          </w:p>
        </w:tc>
      </w:tr>
      <w:tr w14:paraId="614E23B4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 w:hRule="atLeast"/>
          <w:jc w:val="center"/>
        </w:trPr>
        <w:tc>
          <w:tcPr>
            <w:tcW w:w="520" w:type="dxa"/>
            <w:vAlign w:val="center"/>
          </w:tcPr>
          <w:p w14:paraId="09DEEABE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5</w:t>
            </w:r>
          </w:p>
        </w:tc>
        <w:tc>
          <w:tcPr>
            <w:tcW w:w="1700" w:type="dxa"/>
            <w:vAlign w:val="center"/>
          </w:tcPr>
          <w:p w14:paraId="51E10582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用人单位遵守劳动保障法律、法规监督检查</w:t>
            </w:r>
          </w:p>
        </w:tc>
        <w:tc>
          <w:tcPr>
            <w:tcW w:w="2600" w:type="dxa"/>
            <w:vAlign w:val="center"/>
          </w:tcPr>
          <w:p w14:paraId="39153877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《中华人民共和国劳动合同法》《中华人民共和国就业促进法》《劳动保障监察条例》《保障农民工工资支付条例》等法律、法规、规章</w:t>
            </w:r>
          </w:p>
        </w:tc>
        <w:tc>
          <w:tcPr>
            <w:tcW w:w="1300" w:type="dxa"/>
            <w:vAlign w:val="center"/>
          </w:tcPr>
          <w:p w14:paraId="29FE0DE5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0867F70F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按照《劳动保障监察条例》《关于实施&lt;劳动保障监察条例&gt;若干规定》规定的标准进行检查。</w:t>
            </w:r>
          </w:p>
        </w:tc>
      </w:tr>
      <w:tr w14:paraId="4D19450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0" w:hRule="atLeast"/>
          <w:jc w:val="center"/>
        </w:trPr>
        <w:tc>
          <w:tcPr>
            <w:tcW w:w="520" w:type="dxa"/>
            <w:vAlign w:val="center"/>
          </w:tcPr>
          <w:p w14:paraId="36E937A6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6</w:t>
            </w:r>
          </w:p>
        </w:tc>
        <w:tc>
          <w:tcPr>
            <w:tcW w:w="1700" w:type="dxa"/>
            <w:vAlign w:val="center"/>
          </w:tcPr>
          <w:p w14:paraId="4B47A430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对劳务派遣市场行为的监督检查</w:t>
            </w:r>
          </w:p>
        </w:tc>
        <w:tc>
          <w:tcPr>
            <w:tcW w:w="2600" w:type="dxa"/>
            <w:vAlign w:val="center"/>
          </w:tcPr>
          <w:p w14:paraId="5907641B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《中华人民共和国劳动合同法》《劳务派遣行政许可实施办法》《劳务派遣暂行规定》</w:t>
            </w:r>
          </w:p>
        </w:tc>
        <w:tc>
          <w:tcPr>
            <w:tcW w:w="1300" w:type="dxa"/>
            <w:vAlign w:val="center"/>
          </w:tcPr>
          <w:p w14:paraId="32A3F153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643D0CE9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按照《中华人民共和国劳动合同法》《劳务派遣行政许可实施办法》《劳务派遣暂行规定》相关检查内容执行。</w:t>
            </w:r>
          </w:p>
        </w:tc>
      </w:tr>
      <w:tr w14:paraId="6385236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  <w:jc w:val="center"/>
        </w:trPr>
        <w:tc>
          <w:tcPr>
            <w:tcW w:w="520" w:type="dxa"/>
            <w:vAlign w:val="center"/>
          </w:tcPr>
          <w:p w14:paraId="6600B97D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7</w:t>
            </w:r>
          </w:p>
        </w:tc>
        <w:tc>
          <w:tcPr>
            <w:tcW w:w="1700" w:type="dxa"/>
            <w:vAlign w:val="center"/>
          </w:tcPr>
          <w:p w14:paraId="1E1C3D4A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对企业集体合同、工资集体合同和专项集体合同履行情况的监督检查</w:t>
            </w:r>
          </w:p>
        </w:tc>
        <w:tc>
          <w:tcPr>
            <w:tcW w:w="2600" w:type="dxa"/>
            <w:vAlign w:val="center"/>
          </w:tcPr>
          <w:p w14:paraId="63ECA061">
            <w:pPr>
              <w:pageBreakBefore w:val="0"/>
              <w:wordWrap w:val="0"/>
              <w:spacing w:before="0" w:after="0" w:line="280" w:lineRule="atLeast"/>
              <w:ind w:left="0" w:right="0" w:firstLine="8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《集体合同规定》《工资集体协商试行办法》《河北省企业集体协商条例》</w:t>
            </w:r>
          </w:p>
        </w:tc>
        <w:tc>
          <w:tcPr>
            <w:tcW w:w="1300" w:type="dxa"/>
            <w:vAlign w:val="center"/>
          </w:tcPr>
          <w:p w14:paraId="650E56B3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</w:t>
            </w:r>
          </w:p>
        </w:tc>
        <w:tc>
          <w:tcPr>
            <w:tcW w:w="4300" w:type="dxa"/>
            <w:vAlign w:val="center"/>
          </w:tcPr>
          <w:p w14:paraId="62B78276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按照《集体合同规定》《工资集体协商试行办法》《河北省企业集体协商条例》相关检查内容执行</w:t>
            </w:r>
          </w:p>
        </w:tc>
      </w:tr>
      <w:tr w14:paraId="2754B8E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0" w:hRule="atLeast"/>
          <w:jc w:val="center"/>
        </w:trPr>
        <w:tc>
          <w:tcPr>
            <w:tcW w:w="520" w:type="dxa"/>
            <w:vAlign w:val="center"/>
          </w:tcPr>
          <w:p w14:paraId="62EA9D08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8</w:t>
            </w:r>
          </w:p>
        </w:tc>
        <w:tc>
          <w:tcPr>
            <w:tcW w:w="1700" w:type="dxa"/>
            <w:vAlign w:val="center"/>
          </w:tcPr>
          <w:p w14:paraId="48A901C7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社会保险登记和待遇享受情况、社会保险服务机构履行服务协议、执行费用结算项目和标准情况核查</w:t>
            </w:r>
          </w:p>
        </w:tc>
        <w:tc>
          <w:tcPr>
            <w:tcW w:w="2600" w:type="dxa"/>
            <w:vAlign w:val="center"/>
          </w:tcPr>
          <w:p w14:paraId="341FDA70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《社会保险经办条例》</w:t>
            </w:r>
          </w:p>
        </w:tc>
        <w:tc>
          <w:tcPr>
            <w:tcW w:w="1300" w:type="dxa"/>
            <w:vAlign w:val="center"/>
          </w:tcPr>
          <w:p w14:paraId="348D11B9">
            <w:pPr>
              <w:pageBreakBefore w:val="0"/>
              <w:wordWrap w:val="0"/>
              <w:spacing w:before="0" w:after="0" w:line="280" w:lineRule="atLeast"/>
              <w:ind w:left="0" w:right="0"/>
              <w:jc w:val="center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人力资源社会保障部门、社会保险事业服务中心</w:t>
            </w:r>
          </w:p>
        </w:tc>
        <w:tc>
          <w:tcPr>
            <w:tcW w:w="4300" w:type="dxa"/>
            <w:vAlign w:val="center"/>
          </w:tcPr>
          <w:p w14:paraId="1253E0C8">
            <w:pPr>
              <w:pageBreakBefore w:val="0"/>
              <w:wordWrap w:val="0"/>
              <w:spacing w:before="0" w:after="0" w:line="280" w:lineRule="atLeast"/>
              <w:ind w:left="0" w:right="0"/>
              <w:jc w:val="both"/>
              <w:textAlignment w:val="baseline"/>
              <w:rPr>
                <w:sz w:val="21"/>
              </w:rPr>
            </w:pPr>
            <w:r>
              <w:rPr>
                <w:rFonts w:ascii="仿宋" w:hAnsi="仿宋" w:eastAsia="仿宋" w:cs="仿宋"/>
                <w:b/>
                <w:i w:val="0"/>
                <w:color w:val="000000"/>
                <w:spacing w:val="0"/>
                <w:sz w:val="21"/>
              </w:rPr>
              <w:t>查看劳动合同、财务报表、相关账册、会计凭证等有关资料；查看社会保险服务机构履行服务协议、执行费用结算项目和标准情况。</w:t>
            </w:r>
          </w:p>
        </w:tc>
      </w:tr>
    </w:tbl>
    <w:p w14:paraId="463BB640"/>
    <w:sectPr>
      <w:headerReference r:id="rId3" w:type="default"/>
      <w:footerReference r:id="rId4" w:type="default"/>
      <w:pgSz w:w="11900" w:h="16820"/>
      <w:pgMar w:top="700" w:right="700" w:bottom="700" w:left="700" w:header="400" w:footer="40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96ED3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CA324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386E155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994</Words>
  <Characters>997</Characters>
  <TotalTime>0</TotalTime>
  <ScaleCrop>false</ScaleCrop>
  <LinksUpToDate>false</LinksUpToDate>
  <CharactersWithSpaces>998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2025-11-05T03:06:00Z</dcterms:created>
  <dc:creator>Apache POI</dc:creator>
  <cp:lastModifiedBy>旧事离人</cp:lastModifiedBy>
  <dcterms:modified xsi:type="dcterms:W3CDTF">2025-11-05T03:07:21Z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eyJoZGlkIjoiZmNhMGRhYTcwNjI1MmMxMjIwNDQzMTA0MDU4ZmJmZWYiLCJ1c2VySWQiOiI5NDUxNDY1ODIifQ==</vt:lpwstr>
  </property>
  <property fmtid="{D5CDD505-2E9C-101B-9397-08002B2CF9AE}" pid="3" name="KSOProductBuildVer">
    <vt:lpwstr>2052-12.1.0.23125</vt:lpwstr>
  </property>
  <property fmtid="{D5CDD505-2E9C-101B-9397-08002B2CF9AE}" pid="4" name="ICV">
    <vt:lpwstr>1D83C6B55B1A40F1BBA5BD1C0F5A5C57_12</vt:lpwstr>
  </property>
</Properties>
</file>