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cs="仿宋"/>
          <w:b/>
          <w:color w:val="000000"/>
          <w:spacing w:val="-4"/>
          <w:kern w:val="44"/>
          <w:sz w:val="44"/>
          <w:szCs w:val="44"/>
        </w:rPr>
      </w:pPr>
    </w:p>
    <w:p>
      <w:pPr>
        <w:spacing w:line="560" w:lineRule="exact"/>
        <w:jc w:val="center"/>
        <w:rPr>
          <w:rFonts w:ascii="宋体" w:hAnsi="宋体" w:cs="仿宋"/>
          <w:b/>
          <w:color w:val="000000"/>
          <w:spacing w:val="-4"/>
          <w:kern w:val="44"/>
          <w:sz w:val="44"/>
          <w:szCs w:val="44"/>
        </w:rPr>
      </w:pPr>
    </w:p>
    <w:p>
      <w:pPr>
        <w:spacing w:line="560" w:lineRule="exact"/>
        <w:jc w:val="center"/>
        <w:rPr>
          <w:rFonts w:ascii="宋体" w:hAnsi="宋体" w:cs="仿宋"/>
          <w:b/>
          <w:color w:val="000000"/>
          <w:spacing w:val="-4"/>
          <w:kern w:val="44"/>
          <w:sz w:val="44"/>
          <w:szCs w:val="44"/>
        </w:rPr>
      </w:pPr>
    </w:p>
    <w:p>
      <w:pPr>
        <w:spacing w:line="560" w:lineRule="exact"/>
        <w:jc w:val="center"/>
        <w:rPr>
          <w:rFonts w:ascii="宋体" w:hAnsi="宋体" w:cs="仿宋"/>
          <w:b/>
          <w:color w:val="000000"/>
          <w:spacing w:val="-4"/>
          <w:kern w:val="44"/>
          <w:sz w:val="44"/>
          <w:szCs w:val="44"/>
        </w:rPr>
      </w:pPr>
    </w:p>
    <w:p>
      <w:pPr>
        <w:keepNext w:val="0"/>
        <w:keepLines w:val="0"/>
        <w:pageBreakBefore w:val="0"/>
        <w:kinsoku/>
        <w:wordWrap/>
        <w:overflowPunct/>
        <w:topLinePunct w:val="0"/>
        <w:autoSpaceDE/>
        <w:autoSpaceDN/>
        <w:bidi w:val="0"/>
        <w:spacing w:after="0" w:line="500" w:lineRule="exact"/>
        <w:ind w:firstLine="6080" w:firstLineChars="1900"/>
        <w:textAlignment w:val="auto"/>
        <w:rPr>
          <w:rFonts w:ascii="仿宋_GB2312" w:eastAsia="仿宋_GB2312"/>
          <w:color w:val="000000"/>
          <w:sz w:val="32"/>
          <w:szCs w:val="32"/>
        </w:rPr>
      </w:pPr>
      <w:r>
        <w:rPr>
          <w:rFonts w:hint="eastAsia" w:ascii="仿宋_GB2312" w:eastAsia="仿宋_GB2312" w:cs="仿宋_GB2312"/>
          <w:color w:val="000000"/>
          <w:sz w:val="32"/>
          <w:szCs w:val="32"/>
        </w:rPr>
        <w:t>〔</w:t>
      </w:r>
      <w:r>
        <w:rPr>
          <w:rFonts w:ascii="仿宋_GB2312" w:eastAsia="仿宋_GB2312" w:cs="仿宋_GB2312"/>
          <w:color w:val="000000"/>
          <w:sz w:val="32"/>
          <w:szCs w:val="32"/>
        </w:rPr>
        <w:t>20</w:t>
      </w:r>
      <w:r>
        <w:rPr>
          <w:rFonts w:hint="eastAsia" w:ascii="仿宋_GB2312" w:eastAsia="仿宋_GB2312" w:cs="仿宋_GB2312"/>
          <w:color w:val="000000"/>
          <w:sz w:val="32"/>
          <w:szCs w:val="32"/>
          <w:lang w:val="en-US" w:eastAsia="zh-CN"/>
        </w:rPr>
        <w:t>21</w:t>
      </w:r>
      <w:r>
        <w:rPr>
          <w:rFonts w:hint="eastAsia" w:ascii="仿宋_GB2312" w:eastAsia="仿宋_GB2312" w:cs="仿宋_GB2312"/>
          <w:color w:val="000000"/>
          <w:sz w:val="32"/>
          <w:szCs w:val="32"/>
        </w:rPr>
        <w:t>〕曲府</w:t>
      </w:r>
      <w:r>
        <w:rPr>
          <w:rFonts w:hint="eastAsia" w:ascii="仿宋_GB2312" w:eastAsia="仿宋_GB2312" w:cs="仿宋_GB2312"/>
          <w:color w:val="000000"/>
          <w:sz w:val="32"/>
          <w:szCs w:val="32"/>
          <w:lang w:val="en-US" w:eastAsia="zh-CN"/>
        </w:rPr>
        <w:t>106</w:t>
      </w:r>
      <w:r>
        <w:rPr>
          <w:rFonts w:hint="eastAsia" w:ascii="仿宋_GB2312" w:eastAsia="仿宋_GB2312" w:cs="仿宋_GB2312"/>
          <w:color w:val="000000"/>
          <w:sz w:val="32"/>
          <w:szCs w:val="32"/>
        </w:rPr>
        <w:t>号</w:t>
      </w:r>
    </w:p>
    <w:p>
      <w:pPr>
        <w:keepNext w:val="0"/>
        <w:keepLines w:val="0"/>
        <w:pageBreakBefore w:val="0"/>
        <w:widowControl/>
        <w:kinsoku/>
        <w:wordWrap/>
        <w:overflowPunct/>
        <w:topLinePunct w:val="0"/>
        <w:autoSpaceDE/>
        <w:autoSpaceDN/>
        <w:bidi w:val="0"/>
        <w:adjustRightInd w:val="0"/>
        <w:snapToGrid w:val="0"/>
        <w:spacing w:after="0" w:line="500" w:lineRule="exact"/>
        <w:ind w:firstLine="0"/>
        <w:jc w:val="both"/>
        <w:textAlignment w:val="auto"/>
        <w:rPr>
          <w:b/>
          <w:bCs/>
          <w:color w:val="000000"/>
        </w:rPr>
      </w:pPr>
    </w:p>
    <w:p>
      <w:pPr>
        <w:spacing w:line="560" w:lineRule="exact"/>
        <w:jc w:val="center"/>
        <w:rPr>
          <w:rFonts w:ascii="仿宋_GB2312" w:hAnsi="仿宋" w:eastAsia="仿宋_GB2312" w:cs="仿宋"/>
          <w:bCs/>
          <w:color w:val="000000"/>
          <w:spacing w:val="-6"/>
          <w:sz w:val="32"/>
          <w:szCs w:val="32"/>
        </w:rPr>
      </w:pPr>
    </w:p>
    <w:p>
      <w:pPr>
        <w:spacing w:line="560" w:lineRule="exact"/>
        <w:rPr>
          <w:rFonts w:hint="eastAsia"/>
          <w:b/>
          <w:color w:val="000000"/>
          <w:spacing w:val="-6"/>
          <w:sz w:val="52"/>
          <w:szCs w:val="52"/>
        </w:rPr>
      </w:pPr>
    </w:p>
    <w:p>
      <w:pPr>
        <w:spacing w:line="560" w:lineRule="exact"/>
        <w:jc w:val="center"/>
        <w:rPr>
          <w:rFonts w:ascii="宋体" w:hAnsi="宋体" w:cs="仿宋"/>
          <w:b/>
          <w:color w:val="000000"/>
          <w:sz w:val="44"/>
          <w:szCs w:val="44"/>
        </w:rPr>
      </w:pPr>
      <w:r>
        <w:rPr>
          <w:rFonts w:hint="eastAsia" w:ascii="宋体" w:hAnsi="宋体" w:cs="仿宋"/>
          <w:b/>
          <w:color w:val="000000"/>
          <w:sz w:val="44"/>
          <w:szCs w:val="44"/>
        </w:rPr>
        <w:t>曲阳县人民政府</w:t>
      </w:r>
    </w:p>
    <w:p>
      <w:pPr>
        <w:spacing w:line="560" w:lineRule="exact"/>
        <w:jc w:val="center"/>
        <w:rPr>
          <w:rFonts w:ascii="宋体" w:hAnsi="宋体" w:cs="仿宋"/>
          <w:b/>
          <w:color w:val="000000"/>
          <w:sz w:val="44"/>
          <w:szCs w:val="44"/>
        </w:rPr>
      </w:pPr>
      <w:r>
        <w:rPr>
          <w:rFonts w:hint="eastAsia" w:ascii="宋体" w:hAnsi="宋体" w:cs="仿宋"/>
          <w:b/>
          <w:color w:val="000000"/>
          <w:sz w:val="44"/>
          <w:szCs w:val="44"/>
        </w:rPr>
        <w:t>关于印发《曲阳县2021年度财政涉农资金统筹整合使用实施方案》的通知</w:t>
      </w:r>
    </w:p>
    <w:p>
      <w:pPr>
        <w:spacing w:line="560" w:lineRule="exact"/>
        <w:jc w:val="center"/>
        <w:rPr>
          <w:rFonts w:ascii="宋体" w:hAnsi="宋体" w:cs="仿宋"/>
          <w:b/>
          <w:color w:val="000000"/>
          <w:sz w:val="44"/>
          <w:szCs w:val="44"/>
        </w:rPr>
      </w:pPr>
    </w:p>
    <w:p>
      <w:pPr>
        <w:spacing w:line="560" w:lineRule="exact"/>
        <w:rPr>
          <w:rFonts w:ascii="仿宋_GB2312" w:hAnsi="仿宋" w:eastAsia="仿宋_GB2312"/>
          <w:sz w:val="32"/>
          <w:szCs w:val="32"/>
        </w:rPr>
      </w:pPr>
      <w:r>
        <w:rPr>
          <w:rFonts w:hint="eastAsia" w:ascii="仿宋_GB2312" w:hAnsi="仿宋" w:eastAsia="仿宋_GB2312"/>
          <w:sz w:val="32"/>
          <w:szCs w:val="32"/>
        </w:rPr>
        <w:t>各乡镇人民政府、县政府相关部门：</w:t>
      </w:r>
    </w:p>
    <w:p>
      <w:pPr>
        <w:spacing w:line="560" w:lineRule="exact"/>
        <w:jc w:val="left"/>
        <w:rPr>
          <w:rFonts w:ascii="仿宋_GB2312" w:hAnsi="仿宋" w:eastAsia="仿宋_GB2312" w:cs="仿宋"/>
          <w:sz w:val="32"/>
          <w:szCs w:val="32"/>
        </w:rPr>
      </w:pPr>
      <w:r>
        <w:rPr>
          <w:rFonts w:hint="eastAsia" w:ascii="宋体" w:hAnsi="宋体" w:cs="仿宋"/>
          <w:b/>
          <w:color w:val="000000"/>
          <w:sz w:val="44"/>
          <w:szCs w:val="44"/>
        </w:rPr>
        <w:t xml:space="preserve">   </w:t>
      </w:r>
      <w:r>
        <w:rPr>
          <w:rFonts w:hint="eastAsia" w:ascii="仿宋_GB2312" w:hAnsi="仿宋" w:eastAsia="仿宋_GB2312" w:cs="仿宋"/>
          <w:color w:val="000000"/>
          <w:sz w:val="32"/>
          <w:szCs w:val="32"/>
        </w:rPr>
        <w:t>《曲阳县2021年度财政涉农资金统筹整合使用实施方案》已经县政府同意</w:t>
      </w:r>
      <w:r>
        <w:rPr>
          <w:rFonts w:hint="eastAsia" w:ascii="仿宋" w:hAnsi="仿宋" w:eastAsia="仿宋" w:cs="仿宋"/>
          <w:color w:val="000000"/>
          <w:sz w:val="32"/>
          <w:szCs w:val="32"/>
        </w:rPr>
        <w:t>，</w:t>
      </w:r>
      <w:r>
        <w:rPr>
          <w:rFonts w:hint="eastAsia" w:ascii="仿宋_GB2312" w:hAnsi="仿宋" w:eastAsia="仿宋_GB2312" w:cs="仿宋"/>
          <w:sz w:val="32"/>
          <w:szCs w:val="32"/>
        </w:rPr>
        <w:t>现印发给你们，请结合工作实际，认真抓好贯彻落实。</w:t>
      </w:r>
    </w:p>
    <w:p>
      <w:pPr>
        <w:spacing w:line="560" w:lineRule="exact"/>
        <w:jc w:val="left"/>
        <w:rPr>
          <w:rFonts w:ascii="仿宋_GB2312" w:hAnsi="仿宋" w:eastAsia="仿宋_GB2312" w:cs="仿宋"/>
          <w:sz w:val="32"/>
          <w:szCs w:val="32"/>
        </w:rPr>
      </w:pPr>
    </w:p>
    <w:p>
      <w:pPr>
        <w:spacing w:line="560" w:lineRule="exact"/>
        <w:jc w:val="left"/>
        <w:rPr>
          <w:rFonts w:ascii="仿宋_GB2312" w:hAnsi="仿宋" w:eastAsia="仿宋_GB2312" w:cs="仿宋"/>
          <w:sz w:val="32"/>
          <w:szCs w:val="32"/>
        </w:rPr>
      </w:pPr>
    </w:p>
    <w:p>
      <w:pPr>
        <w:spacing w:line="560" w:lineRule="exact"/>
        <w:jc w:val="left"/>
        <w:rPr>
          <w:rFonts w:ascii="仿宋_GB2312" w:hAnsi="仿宋" w:eastAsia="仿宋_GB2312" w:cs="仿宋"/>
          <w:sz w:val="32"/>
          <w:szCs w:val="32"/>
        </w:rPr>
      </w:pPr>
    </w:p>
    <w:p>
      <w:pPr>
        <w:spacing w:line="560" w:lineRule="exact"/>
        <w:ind w:right="640"/>
        <w:jc w:val="center"/>
        <w:rPr>
          <w:rFonts w:ascii="仿宋_GB2312" w:hAnsi="仿宋" w:eastAsia="仿宋_GB2312" w:cs="仿宋"/>
          <w:sz w:val="32"/>
          <w:szCs w:val="32"/>
        </w:rPr>
      </w:pPr>
      <w:r>
        <w:rPr>
          <w:rFonts w:hint="eastAsia" w:ascii="仿宋_GB2312" w:hAnsi="仿宋" w:eastAsia="仿宋_GB2312" w:cs="仿宋"/>
          <w:sz w:val="32"/>
          <w:szCs w:val="32"/>
        </w:rPr>
        <w:t xml:space="preserve">                                   曲阳县人民政府</w:t>
      </w:r>
    </w:p>
    <w:p>
      <w:pPr>
        <w:spacing w:line="560" w:lineRule="exact"/>
        <w:ind w:right="640"/>
        <w:jc w:val="center"/>
        <w:rPr>
          <w:rFonts w:ascii="宋体" w:hAnsi="宋体" w:cs="仿宋"/>
          <w:b/>
          <w:color w:val="000000"/>
          <w:sz w:val="44"/>
          <w:szCs w:val="44"/>
        </w:rPr>
      </w:pPr>
      <w:r>
        <w:rPr>
          <w:rFonts w:hint="eastAsia" w:ascii="仿宋_GB2312" w:hAnsi="仿宋" w:eastAsia="仿宋_GB2312" w:cs="仿宋"/>
          <w:sz w:val="32"/>
          <w:szCs w:val="32"/>
        </w:rPr>
        <w:t xml:space="preserve">                           </w:t>
      </w:r>
      <w:bookmarkStart w:id="0" w:name="_GoBack"/>
      <w:bookmarkEnd w:id="0"/>
      <w:r>
        <w:rPr>
          <w:rFonts w:hint="eastAsia" w:ascii="仿宋_GB2312" w:hAnsi="仿宋" w:eastAsia="仿宋_GB2312" w:cs="仿宋"/>
          <w:sz w:val="32"/>
          <w:szCs w:val="32"/>
        </w:rPr>
        <w:t xml:space="preserve">          2021年8月19日</w:t>
      </w:r>
    </w:p>
    <w:p>
      <w:pPr>
        <w:spacing w:line="560" w:lineRule="exact"/>
        <w:jc w:val="right"/>
        <w:rPr>
          <w:rFonts w:ascii="仿宋_GB2312" w:hAnsi="仿宋" w:eastAsia="仿宋_GB2312" w:cs="仿宋"/>
          <w:sz w:val="32"/>
          <w:szCs w:val="32"/>
        </w:rPr>
      </w:pPr>
    </w:p>
    <w:p>
      <w:pPr>
        <w:spacing w:line="560" w:lineRule="exact"/>
        <w:jc w:val="center"/>
        <w:rPr>
          <w:rFonts w:ascii="宋体" w:hAnsi="宋体" w:cs="仿宋"/>
          <w:b/>
          <w:color w:val="000000"/>
          <w:spacing w:val="-4"/>
          <w:kern w:val="44"/>
          <w:sz w:val="44"/>
          <w:szCs w:val="44"/>
        </w:rPr>
      </w:pPr>
    </w:p>
    <w:p>
      <w:pPr>
        <w:spacing w:line="560" w:lineRule="exact"/>
        <w:jc w:val="center"/>
        <w:rPr>
          <w:rFonts w:ascii="宋体" w:hAnsi="宋体" w:cs="仿宋"/>
          <w:b/>
          <w:color w:val="000000"/>
          <w:spacing w:val="-4"/>
          <w:kern w:val="44"/>
          <w:sz w:val="44"/>
          <w:szCs w:val="44"/>
        </w:rPr>
      </w:pPr>
    </w:p>
    <w:p>
      <w:pPr>
        <w:spacing w:line="560" w:lineRule="exact"/>
        <w:jc w:val="center"/>
        <w:rPr>
          <w:rFonts w:ascii="宋体" w:hAnsi="宋体" w:cs="仿宋"/>
          <w:b/>
          <w:color w:val="000000"/>
          <w:spacing w:val="-4"/>
          <w:kern w:val="44"/>
          <w:sz w:val="44"/>
          <w:szCs w:val="44"/>
        </w:rPr>
      </w:pPr>
    </w:p>
    <w:p>
      <w:pPr>
        <w:spacing w:line="560" w:lineRule="exact"/>
        <w:ind w:firstLine="867" w:firstLineChars="200"/>
        <w:jc w:val="both"/>
        <w:rPr>
          <w:rFonts w:ascii="宋体" w:hAnsi="宋体" w:cs="仿宋"/>
          <w:b/>
          <w:color w:val="000000"/>
          <w:spacing w:val="-4"/>
          <w:kern w:val="44"/>
          <w:sz w:val="44"/>
          <w:szCs w:val="44"/>
        </w:rPr>
      </w:pPr>
      <w:r>
        <w:rPr>
          <w:rFonts w:hint="eastAsia" w:ascii="宋体" w:hAnsi="宋体" w:cs="仿宋"/>
          <w:b/>
          <w:color w:val="000000"/>
          <w:spacing w:val="-4"/>
          <w:kern w:val="44"/>
          <w:sz w:val="44"/>
          <w:szCs w:val="44"/>
        </w:rPr>
        <w:t>曲阳县2021年度财政涉农资金统筹整合</w:t>
      </w:r>
    </w:p>
    <w:p>
      <w:pPr>
        <w:spacing w:line="560" w:lineRule="exact"/>
        <w:jc w:val="center"/>
        <w:rPr>
          <w:rFonts w:ascii="宋体" w:hAnsi="宋体" w:cs="仿宋"/>
          <w:b/>
          <w:color w:val="000000"/>
          <w:spacing w:val="-4"/>
          <w:kern w:val="44"/>
          <w:sz w:val="44"/>
          <w:szCs w:val="44"/>
        </w:rPr>
      </w:pPr>
      <w:r>
        <w:rPr>
          <w:rFonts w:hint="eastAsia" w:ascii="宋体" w:hAnsi="宋体" w:cs="仿宋"/>
          <w:b/>
          <w:color w:val="000000"/>
          <w:spacing w:val="-4"/>
          <w:kern w:val="44"/>
          <w:sz w:val="44"/>
          <w:szCs w:val="44"/>
        </w:rPr>
        <w:t>使用实施方案</w:t>
      </w:r>
    </w:p>
    <w:p>
      <w:pPr>
        <w:spacing w:line="560" w:lineRule="exact"/>
        <w:jc w:val="center"/>
        <w:rPr>
          <w:rFonts w:ascii="宋体" w:hAnsi="宋体" w:cs="仿宋"/>
          <w:color w:val="000000"/>
          <w:sz w:val="32"/>
          <w:szCs w:val="32"/>
        </w:rPr>
      </w:pPr>
    </w:p>
    <w:p>
      <w:pPr>
        <w:spacing w:line="560" w:lineRule="exact"/>
        <w:ind w:firstLine="640" w:firstLineChars="200"/>
        <w:jc w:val="left"/>
        <w:rPr>
          <w:rFonts w:ascii="黑体" w:hAnsi="宋体" w:eastAsia="黑体"/>
          <w:bCs/>
          <w:color w:val="000000"/>
          <w:sz w:val="32"/>
          <w:szCs w:val="32"/>
        </w:rPr>
      </w:pPr>
      <w:r>
        <w:rPr>
          <w:rFonts w:hint="eastAsia" w:ascii="仿宋_GB2312" w:hAnsi="宋体" w:eastAsia="仿宋_GB2312"/>
          <w:bCs/>
          <w:color w:val="000000"/>
          <w:sz w:val="32"/>
          <w:szCs w:val="32"/>
        </w:rPr>
        <w:t>根据《关于继续支持脱贫县统筹整合使用财政涉农资金工作的通知》(财农〔2021〕22号)、《河北省财政厅等11部门关于继续支持脱贫县统筹整合使用财政涉农资金工作的通知》（冀财农〔2021〕53号）文件要求，</w:t>
      </w:r>
      <w:r>
        <w:rPr>
          <w:rFonts w:hint="eastAsia" w:ascii="仿宋_GB2312" w:hAnsi="仿宋" w:eastAsia="仿宋_GB2312"/>
          <w:color w:val="000000"/>
          <w:sz w:val="32"/>
          <w:szCs w:val="32"/>
        </w:rPr>
        <w:t>切实提高财政涉农资金使用精准度和效益，做好2021年脱贫攻坚巩固提升与乡村振兴有效衔接，</w:t>
      </w:r>
      <w:r>
        <w:rPr>
          <w:rFonts w:hint="eastAsia" w:ascii="仿宋_GB2312" w:hAnsi="宋体" w:eastAsia="仿宋_GB2312"/>
          <w:bCs/>
          <w:color w:val="000000"/>
          <w:sz w:val="32"/>
          <w:szCs w:val="32"/>
        </w:rPr>
        <w:t>结合我县实际，制定如下实施方案。</w:t>
      </w:r>
    </w:p>
    <w:p>
      <w:pPr>
        <w:spacing w:line="560" w:lineRule="exact"/>
        <w:ind w:firstLine="800" w:firstLineChars="250"/>
        <w:jc w:val="left"/>
        <w:rPr>
          <w:rFonts w:ascii="黑体" w:hAnsi="宋体" w:eastAsia="黑体"/>
          <w:bCs/>
          <w:color w:val="000000"/>
          <w:sz w:val="32"/>
          <w:szCs w:val="32"/>
        </w:rPr>
      </w:pPr>
      <w:r>
        <w:rPr>
          <w:rFonts w:hint="eastAsia" w:ascii="黑体" w:hAnsi="宋体" w:eastAsia="黑体"/>
          <w:bCs/>
          <w:color w:val="000000"/>
          <w:sz w:val="32"/>
          <w:szCs w:val="32"/>
        </w:rPr>
        <w:t>一、总体要求</w:t>
      </w:r>
    </w:p>
    <w:p>
      <w:pPr>
        <w:spacing w:line="560" w:lineRule="exact"/>
        <w:ind w:firstLine="643" w:firstLineChars="200"/>
        <w:rPr>
          <w:rFonts w:ascii="仿宋_GB2312" w:hAnsi="宋体" w:eastAsia="仿宋_GB2312" w:cs="仿宋"/>
          <w:color w:val="000000"/>
          <w:sz w:val="32"/>
          <w:szCs w:val="32"/>
        </w:rPr>
      </w:pPr>
      <w:r>
        <w:rPr>
          <w:rFonts w:hint="eastAsia" w:ascii="楷体_GB2312" w:hAnsi="宋体" w:eastAsia="楷体_GB2312" w:cs="楷体"/>
          <w:b/>
          <w:color w:val="000000"/>
          <w:sz w:val="32"/>
          <w:szCs w:val="32"/>
        </w:rPr>
        <w:t>（一）指导思想。</w:t>
      </w:r>
      <w:r>
        <w:rPr>
          <w:rFonts w:hint="eastAsia" w:ascii="仿宋_GB2312" w:hAnsi="宋体" w:eastAsia="仿宋_GB2312" w:cs="仿宋"/>
          <w:color w:val="000000"/>
          <w:spacing w:val="-6"/>
          <w:sz w:val="32"/>
          <w:szCs w:val="32"/>
        </w:rPr>
        <w:t>认真贯彻落实习近平总书记扶贫脱贫工作重要论述，全面贯彻中央、省、市关于支持脱贫县开展统筹整合涉农资金试点的文件精神，以项目为抓手，以规划为引领，以脱贫村为主战场，切实提高财政涉农资金使用使用效益。</w:t>
      </w:r>
    </w:p>
    <w:p>
      <w:pPr>
        <w:spacing w:line="560" w:lineRule="exact"/>
        <w:ind w:firstLine="643" w:firstLineChars="200"/>
        <w:rPr>
          <w:rFonts w:ascii="仿宋_GB2312" w:hAnsi="宋体" w:eastAsia="仿宋_GB2312" w:cs="仿宋"/>
          <w:color w:val="000000"/>
          <w:sz w:val="32"/>
          <w:szCs w:val="32"/>
        </w:rPr>
      </w:pPr>
      <w:r>
        <w:rPr>
          <w:rFonts w:hint="eastAsia" w:ascii="楷体_GB2312" w:hAnsi="宋体" w:eastAsia="楷体_GB2312" w:cs="楷体"/>
          <w:b/>
          <w:color w:val="000000"/>
          <w:sz w:val="32"/>
          <w:szCs w:val="32"/>
        </w:rPr>
        <w:t>（二）编制的必要性。</w:t>
      </w:r>
      <w:r>
        <w:rPr>
          <w:rFonts w:hint="eastAsia" w:ascii="仿宋_GB2312" w:hAnsi="宋体" w:eastAsia="仿宋_GB2312" w:cs="仿宋"/>
          <w:color w:val="000000"/>
          <w:sz w:val="32"/>
          <w:szCs w:val="32"/>
        </w:rPr>
        <w:t>严格执行财政涉农资金整合试点政策，因需而整，进一步提高整合质量。科学编制项目实施方案，做好项目实施。切实加强资金项目绩效管理，明确绩效目标，落实资金使用部门的绩效主体责任，强化评价结果运用。</w:t>
      </w:r>
    </w:p>
    <w:p>
      <w:pPr>
        <w:spacing w:line="560" w:lineRule="exact"/>
        <w:ind w:firstLine="643" w:firstLineChars="200"/>
        <w:rPr>
          <w:rFonts w:ascii="仿宋_GB2312" w:hAnsi="宋体" w:eastAsia="仿宋_GB2312" w:cs="仿宋"/>
          <w:color w:val="000000"/>
          <w:sz w:val="32"/>
          <w:szCs w:val="32"/>
        </w:rPr>
      </w:pPr>
      <w:r>
        <w:rPr>
          <w:rFonts w:hint="eastAsia" w:ascii="楷体_GB2312" w:hAnsi="宋体" w:eastAsia="楷体_GB2312" w:cs="楷体"/>
          <w:b/>
          <w:color w:val="000000"/>
          <w:sz w:val="32"/>
          <w:szCs w:val="32"/>
        </w:rPr>
        <w:t>（三）预期综合效果。</w:t>
      </w:r>
      <w:r>
        <w:rPr>
          <w:rFonts w:hint="eastAsia" w:ascii="仿宋_GB2312" w:hAnsi="宋体" w:eastAsia="仿宋_GB2312" w:cs="仿宋"/>
          <w:color w:val="000000"/>
          <w:sz w:val="32"/>
          <w:szCs w:val="32"/>
        </w:rPr>
        <w:t>以提高脱贫质量和后续巩固提升为核心，通过整合财政涉农资金的投入使用，大力开展产业质量水平提升行动，激发群众内生动力，实现产业全覆盖，稳定增加脱贫人口收入和脱贫村集体经济收入。推行新型经营主体特色产业项目，建立稳定的利益联结机制。加强乡村道路和水利等基础设施建设，不断提升生产生活条件。</w:t>
      </w:r>
    </w:p>
    <w:p>
      <w:pPr>
        <w:spacing w:line="518" w:lineRule="exact"/>
        <w:ind w:firstLine="627" w:firstLineChars="196"/>
        <w:jc w:val="left"/>
        <w:rPr>
          <w:rFonts w:ascii="黑体" w:hAnsi="黑体" w:eastAsia="黑体"/>
          <w:color w:val="000000"/>
          <w:sz w:val="32"/>
          <w:szCs w:val="32"/>
        </w:rPr>
      </w:pPr>
    </w:p>
    <w:p>
      <w:pPr>
        <w:spacing w:line="518" w:lineRule="exact"/>
        <w:ind w:firstLine="627" w:firstLineChars="196"/>
        <w:jc w:val="left"/>
        <w:rPr>
          <w:rFonts w:ascii="黑体" w:hAnsi="黑体" w:eastAsia="黑体"/>
          <w:bCs/>
          <w:color w:val="000000"/>
          <w:sz w:val="32"/>
          <w:szCs w:val="32"/>
        </w:rPr>
      </w:pPr>
      <w:r>
        <w:rPr>
          <w:rFonts w:hint="eastAsia" w:ascii="黑体" w:hAnsi="黑体" w:eastAsia="黑体"/>
          <w:color w:val="000000"/>
          <w:sz w:val="32"/>
          <w:szCs w:val="32"/>
        </w:rPr>
        <w:t>二、</w:t>
      </w:r>
      <w:r>
        <w:rPr>
          <w:rFonts w:hint="eastAsia" w:ascii="黑体" w:hAnsi="黑体" w:eastAsia="黑体"/>
          <w:bCs/>
          <w:color w:val="000000"/>
          <w:sz w:val="32"/>
          <w:szCs w:val="32"/>
        </w:rPr>
        <w:t>整合资金范围及规模</w:t>
      </w:r>
    </w:p>
    <w:p>
      <w:pPr>
        <w:pStyle w:val="12"/>
        <w:spacing w:line="536" w:lineRule="exact"/>
        <w:ind w:firstLine="645" w:firstLineChars="0"/>
        <w:rPr>
          <w:rFonts w:ascii="仿宋_GB2312" w:hAnsi="仿宋" w:eastAsia="仿宋_GB2312"/>
          <w:color w:val="000000"/>
          <w:sz w:val="32"/>
          <w:szCs w:val="32"/>
        </w:rPr>
      </w:pPr>
      <w:r>
        <w:rPr>
          <w:rFonts w:hint="eastAsia" w:ascii="仿宋_GB2312" w:hAnsi="仿宋" w:eastAsia="仿宋_GB2312"/>
          <w:sz w:val="32"/>
          <w:szCs w:val="32"/>
        </w:rPr>
        <w:t>按照</w:t>
      </w:r>
      <w:r>
        <w:rPr>
          <w:rFonts w:hint="eastAsia" w:ascii="仿宋_GB2312" w:hAnsi="仿宋" w:eastAsia="仿宋_GB2312" w:cs="仿宋"/>
          <w:color w:val="000000"/>
          <w:sz w:val="32"/>
          <w:szCs w:val="32"/>
        </w:rPr>
        <w:t>国家和省财政、乡村振兴部门要求，</w:t>
      </w:r>
      <w:r>
        <w:rPr>
          <w:rFonts w:hint="eastAsia" w:ascii="仿宋_GB2312" w:hAnsi="仿宋" w:eastAsia="仿宋_GB2312"/>
          <w:color w:val="000000"/>
          <w:sz w:val="32"/>
          <w:szCs w:val="32"/>
        </w:rPr>
        <w:t>充分发挥涉农资金支持脱贫攻坚巩固提升和乡村振兴的积极作用。共整合财政涉农资金18022万元。</w:t>
      </w:r>
    </w:p>
    <w:p>
      <w:pPr>
        <w:pStyle w:val="12"/>
        <w:spacing w:line="510" w:lineRule="exact"/>
        <w:ind w:firstLine="640"/>
        <w:rPr>
          <w:rFonts w:ascii="仿宋_GB2312" w:hAnsi="仿宋" w:eastAsia="仿宋_GB2312"/>
          <w:color w:val="000000"/>
          <w:sz w:val="32"/>
          <w:szCs w:val="32"/>
        </w:rPr>
      </w:pPr>
      <w:r>
        <w:rPr>
          <w:rFonts w:hint="eastAsia" w:ascii="楷体_GB2312" w:hAnsi="仿宋" w:eastAsia="楷体_GB2312"/>
          <w:b/>
          <w:color w:val="000000"/>
          <w:sz w:val="32"/>
          <w:szCs w:val="32"/>
        </w:rPr>
        <w:t>（一）中央资金。</w:t>
      </w:r>
      <w:r>
        <w:rPr>
          <w:rFonts w:hint="eastAsia" w:ascii="仿宋_GB2312" w:hAnsi="仿宋" w:eastAsia="仿宋_GB2312"/>
          <w:color w:val="000000"/>
          <w:sz w:val="32"/>
          <w:szCs w:val="32"/>
        </w:rPr>
        <w:t>到县资金总量17086.94万元，其中：中央财政衔接推进乡村振兴补助资金6216万元，中央水利发展资金595.4万元，中央农业生产发展资金2297.54万元，林业改革发展资金450万元，中央农田水利建设补助资金3960万元，中央农村综合改革转移支付资金1383万元，车辆购置税收入补助地方用于一般公路建设项目资金（支持农村公路部分）1810万元，中央农村危房改造补助资金365万元，农业资源及生态保护补助资金10万元；实际整合9169万元，其中：财政衔接推进乡村振兴补助资金6216万元，中央农村综合改革转移支付资金1143万元，车辆购置税收入补助地方用于一般公路建设项目资金（支持农村公路部分）1810万元。</w:t>
      </w:r>
    </w:p>
    <w:p>
      <w:pPr>
        <w:pStyle w:val="12"/>
        <w:spacing w:line="510" w:lineRule="exact"/>
        <w:ind w:firstLine="640"/>
        <w:rPr>
          <w:rFonts w:ascii="仿宋_GB2312" w:hAnsi="仿宋" w:eastAsia="仿宋_GB2312"/>
          <w:color w:val="000000"/>
          <w:sz w:val="32"/>
          <w:szCs w:val="32"/>
        </w:rPr>
      </w:pPr>
      <w:r>
        <w:rPr>
          <w:rFonts w:hint="eastAsia" w:ascii="楷体_GB2312" w:hAnsi="仿宋" w:eastAsia="楷体_GB2312"/>
          <w:b/>
          <w:color w:val="000000"/>
          <w:sz w:val="32"/>
          <w:szCs w:val="32"/>
        </w:rPr>
        <w:t>（二）省级资金。</w:t>
      </w:r>
      <w:r>
        <w:rPr>
          <w:rFonts w:hint="eastAsia" w:ascii="仿宋_GB2312" w:hAnsi="仿宋" w:eastAsia="仿宋_GB2312"/>
          <w:color w:val="000000"/>
          <w:sz w:val="32"/>
          <w:szCs w:val="32"/>
        </w:rPr>
        <w:t>到县资金总量</w:t>
      </w:r>
      <w:r>
        <w:rPr>
          <w:rFonts w:hint="eastAsia" w:ascii="仿宋_GB2312" w:hAnsi="仿宋" w:eastAsia="仿宋_GB2312"/>
          <w:color w:val="auto"/>
          <w:sz w:val="32"/>
          <w:szCs w:val="32"/>
        </w:rPr>
        <w:t>8140.3万元，其中：省级财政衔接推进乡村振兴补助资金6710万元，省级水利发展资金113.3万元，省级现代农业生产发展资金870</w:t>
      </w:r>
      <w:r>
        <w:rPr>
          <w:rFonts w:hint="eastAsia" w:ascii="仿宋_GB2312" w:hAnsi="仿宋" w:eastAsia="仿宋_GB2312"/>
          <w:color w:val="000000"/>
          <w:sz w:val="32"/>
          <w:szCs w:val="32"/>
        </w:rPr>
        <w:t>万元，省级林业补助资金10万元，省级农村综合改革转移支付资金299万元，省级农村危房改造补助资金138万元；实际整合6877万元，其中：财政衔接推进乡村振兴补助资金6710万元，农村综合改革转移支付资金167万元。</w:t>
      </w:r>
    </w:p>
    <w:p>
      <w:pPr>
        <w:pStyle w:val="12"/>
        <w:spacing w:line="510" w:lineRule="exact"/>
        <w:ind w:firstLine="643"/>
        <w:rPr>
          <w:rFonts w:ascii="仿宋_GB2312" w:hAnsi="仿宋" w:eastAsia="仿宋_GB2312"/>
          <w:color w:val="FF0000"/>
          <w:sz w:val="32"/>
          <w:szCs w:val="32"/>
        </w:rPr>
      </w:pPr>
      <w:r>
        <w:rPr>
          <w:rFonts w:ascii="楷体" w:hAnsi="楷体" w:eastAsia="楷体"/>
          <w:b/>
          <w:color w:val="000000"/>
          <w:sz w:val="32"/>
          <w:szCs w:val="32"/>
        </w:rPr>
        <w:t>（三）市级资金。</w:t>
      </w:r>
      <w:r>
        <w:rPr>
          <w:rFonts w:ascii="仿宋_GB2312" w:hAnsi="仿宋" w:eastAsia="仿宋_GB2312"/>
          <w:color w:val="000000"/>
          <w:sz w:val="32"/>
          <w:szCs w:val="32"/>
        </w:rPr>
        <w:t>到县资金总量</w:t>
      </w:r>
      <w:r>
        <w:rPr>
          <w:rFonts w:hint="eastAsia" w:ascii="仿宋_GB2312" w:hAnsi="仿宋" w:eastAsia="仿宋_GB2312"/>
          <w:color w:val="000000"/>
          <w:sz w:val="32"/>
          <w:szCs w:val="32"/>
        </w:rPr>
        <w:t>1109万元，其中：财政衔接推进乡村振兴补助资金972万元，市级农业生产发展资金7万元，市级乡村振兴资金90万元，市级扶持村集体经济补助资金40万元；实际整合资金676万元，其中：市级财政衔接推进乡村振兴补助资金676万元。</w:t>
      </w:r>
    </w:p>
    <w:p>
      <w:pPr>
        <w:pStyle w:val="12"/>
        <w:spacing w:line="560" w:lineRule="exact"/>
        <w:ind w:firstLine="640"/>
        <w:rPr>
          <w:rFonts w:ascii="仿宋_GB2312" w:hAnsi="仿宋" w:eastAsia="仿宋_GB2312"/>
          <w:color w:val="000000"/>
          <w:sz w:val="32"/>
          <w:szCs w:val="32"/>
        </w:rPr>
      </w:pPr>
      <w:r>
        <w:rPr>
          <w:rFonts w:hint="eastAsia" w:ascii="楷体_GB2312" w:hAnsi="仿宋" w:eastAsia="楷体_GB2312"/>
          <w:b/>
          <w:color w:val="000000"/>
          <w:sz w:val="32"/>
          <w:szCs w:val="32"/>
        </w:rPr>
        <w:t>（四）县级资金。</w:t>
      </w:r>
      <w:r>
        <w:rPr>
          <w:rFonts w:hint="eastAsia" w:ascii="楷体_GB2312" w:hAnsi="仿宋" w:eastAsia="楷体_GB2312"/>
          <w:color w:val="000000"/>
          <w:sz w:val="32"/>
          <w:szCs w:val="32"/>
        </w:rPr>
        <w:t>到县资金</w:t>
      </w:r>
      <w:r>
        <w:rPr>
          <w:rFonts w:hint="eastAsia" w:ascii="仿宋_GB2312" w:hAnsi="仿宋" w:eastAsia="仿宋_GB2312"/>
          <w:color w:val="000000"/>
          <w:sz w:val="32"/>
          <w:szCs w:val="32"/>
        </w:rPr>
        <w:t>总量2480万元，实际整合县级财政衔接推进乡村振兴补助资金1300万元。</w:t>
      </w:r>
    </w:p>
    <w:p>
      <w:pPr>
        <w:pStyle w:val="12"/>
        <w:spacing w:line="560" w:lineRule="exact"/>
        <w:ind w:firstLine="0" w:firstLineChars="0"/>
        <w:rPr>
          <w:rFonts w:ascii="仿宋_GB2312" w:hAnsi="仿宋" w:eastAsia="仿宋_GB2312"/>
          <w:sz w:val="32"/>
          <w:szCs w:val="32"/>
        </w:rPr>
      </w:pPr>
      <w:r>
        <w:rPr>
          <w:rFonts w:hint="eastAsia" w:ascii="仿宋_GB2312" w:hAnsi="楷体" w:eastAsia="仿宋_GB2312"/>
          <w:sz w:val="32"/>
          <w:szCs w:val="32"/>
        </w:rPr>
        <w:t>（详见附件2《</w:t>
      </w:r>
      <w:r>
        <w:rPr>
          <w:rFonts w:hint="eastAsia" w:ascii="仿宋_GB2312" w:hAnsi="宋体" w:eastAsia="仿宋_GB2312"/>
          <w:sz w:val="32"/>
          <w:szCs w:val="32"/>
        </w:rPr>
        <w:t>曲阳县2021年度统筹整合使用财政涉农资金清单</w:t>
      </w:r>
      <w:r>
        <w:rPr>
          <w:rFonts w:hint="eastAsia" w:ascii="仿宋_GB2312" w:hAnsi="楷体" w:eastAsia="仿宋_GB2312"/>
          <w:sz w:val="32"/>
          <w:szCs w:val="32"/>
        </w:rPr>
        <w:t>》）</w:t>
      </w:r>
    </w:p>
    <w:p>
      <w:pPr>
        <w:spacing w:line="560" w:lineRule="exact"/>
        <w:ind w:firstLine="640" w:firstLineChars="200"/>
        <w:jc w:val="left"/>
        <w:rPr>
          <w:rFonts w:ascii="黑体" w:hAnsi="黑体" w:eastAsia="黑体"/>
          <w:bCs/>
          <w:color w:val="000000"/>
          <w:sz w:val="32"/>
          <w:szCs w:val="32"/>
        </w:rPr>
      </w:pPr>
      <w:r>
        <w:rPr>
          <w:rFonts w:hint="eastAsia" w:ascii="黑体" w:hAnsi="黑体" w:eastAsia="黑体"/>
          <w:bCs/>
          <w:color w:val="000000"/>
          <w:sz w:val="32"/>
          <w:szCs w:val="32"/>
        </w:rPr>
        <w:t>三、建设任务</w:t>
      </w:r>
    </w:p>
    <w:p>
      <w:pPr>
        <w:spacing w:line="560" w:lineRule="exact"/>
        <w:ind w:firstLine="614" w:firstLineChars="197"/>
        <w:jc w:val="left"/>
        <w:rPr>
          <w:rFonts w:ascii="仿宋" w:hAnsi="仿宋" w:eastAsia="仿宋"/>
          <w:bCs/>
          <w:spacing w:val="-4"/>
          <w:sz w:val="32"/>
          <w:szCs w:val="32"/>
        </w:rPr>
      </w:pPr>
      <w:r>
        <w:rPr>
          <w:rFonts w:hint="eastAsia" w:ascii="仿宋_GB2312" w:hAnsi="宋体" w:eastAsia="仿宋_GB2312"/>
          <w:bCs/>
          <w:spacing w:val="-4"/>
          <w:sz w:val="32"/>
          <w:szCs w:val="32"/>
        </w:rPr>
        <w:t>项目安排统筹整合财政涉农资金18022万元</w:t>
      </w:r>
      <w:r>
        <w:rPr>
          <w:rFonts w:hint="eastAsia" w:ascii="楷体_GB2312" w:hAnsi="宋体" w:eastAsia="楷体_GB2312"/>
          <w:b/>
          <w:bCs/>
          <w:spacing w:val="-4"/>
          <w:sz w:val="32"/>
          <w:szCs w:val="32"/>
        </w:rPr>
        <w:t>。</w:t>
      </w:r>
    </w:p>
    <w:p>
      <w:pPr>
        <w:snapToGrid w:val="0"/>
        <w:spacing w:line="560" w:lineRule="exact"/>
        <w:ind w:firstLine="559" w:firstLineChars="196"/>
        <w:rPr>
          <w:rFonts w:ascii="楷体_GB2312" w:hAnsi="楷体" w:eastAsia="楷体_GB2312"/>
          <w:b/>
          <w:spacing w:val="-18"/>
          <w:sz w:val="32"/>
          <w:szCs w:val="32"/>
        </w:rPr>
      </w:pPr>
      <w:r>
        <w:rPr>
          <w:rFonts w:hint="eastAsia" w:ascii="楷体_GB2312" w:hAnsi="楷体" w:eastAsia="楷体_GB2312"/>
          <w:b/>
          <w:spacing w:val="-18"/>
          <w:sz w:val="32"/>
          <w:szCs w:val="32"/>
        </w:rPr>
        <w:t>（一）产业帮扶项目。</w:t>
      </w:r>
      <w:r>
        <w:rPr>
          <w:rFonts w:hint="eastAsia" w:ascii="仿宋_GB2312" w:hAnsi="楷体" w:eastAsia="仿宋_GB2312"/>
          <w:spacing w:val="-18"/>
          <w:sz w:val="32"/>
          <w:szCs w:val="32"/>
        </w:rPr>
        <w:t>安排统筹整合财政涉农资金11006.921604万元</w:t>
      </w:r>
      <w:r>
        <w:rPr>
          <w:rFonts w:hint="eastAsia" w:ascii="仿宋_GB2312" w:hAnsi="宋体" w:eastAsia="仿宋_GB2312"/>
          <w:bCs/>
          <w:spacing w:val="-4"/>
          <w:sz w:val="32"/>
          <w:szCs w:val="32"/>
        </w:rPr>
        <w:t>。</w:t>
      </w:r>
    </w:p>
    <w:p>
      <w:pPr>
        <w:snapToGrid w:val="0"/>
        <w:spacing w:line="600" w:lineRule="exact"/>
        <w:ind w:firstLine="627" w:firstLineChars="196"/>
        <w:jc w:val="left"/>
        <w:rPr>
          <w:rFonts w:ascii="仿宋_GB2312" w:hAnsi="楷体" w:eastAsia="仿宋_GB2312"/>
          <w:sz w:val="32"/>
          <w:szCs w:val="32"/>
        </w:rPr>
      </w:pPr>
      <w:r>
        <w:rPr>
          <w:rFonts w:hint="eastAsia" w:ascii="仿宋_GB2312" w:hAnsi="楷体" w:eastAsia="仿宋_GB2312"/>
          <w:sz w:val="32"/>
          <w:szCs w:val="32"/>
        </w:rPr>
        <w:t>1、种养产业扶贫项目。安排财政涉农资金3187.4万元。包含养殖业、种植业等资产收益类项目，形成的资产归村集体所有，采取“保底收益+按股分红”的利益联结机制，脱贫户通过公益岗位就业实现薪金收益，土地流转获得租金收益，财政资金入股获得资产收益等多种途径，激发脱贫人口内生动力，实现稳定增收，预计6522户脱贫户受益，户均年增收360元。</w:t>
      </w:r>
    </w:p>
    <w:p>
      <w:pPr>
        <w:snapToGrid w:val="0"/>
        <w:spacing w:line="560" w:lineRule="exact"/>
        <w:ind w:firstLine="627" w:firstLineChars="196"/>
        <w:jc w:val="left"/>
        <w:rPr>
          <w:rFonts w:ascii="仿宋_GB2312" w:hAnsi="楷体" w:eastAsia="仿宋_GB2312"/>
          <w:sz w:val="32"/>
          <w:szCs w:val="32"/>
        </w:rPr>
      </w:pPr>
      <w:r>
        <w:rPr>
          <w:rFonts w:hint="eastAsia" w:ascii="仿宋_GB2312" w:hAnsi="楷体" w:eastAsia="仿宋_GB2312"/>
          <w:sz w:val="32"/>
          <w:szCs w:val="32"/>
        </w:rPr>
        <w:t>2、扶贫车间项目。安排财政涉农资金3520.304671万元，政府全资建设扶贫车间，对接雄安新区毛绒玩具、服装加工、箱包加工等企业，采取资产收益的联结机制，激发脱贫人口内生动力，实现稳定增收，预计带动脱贫户14214人，户均年增收600元以上，财政资金投入形成的资产归村集体所有。</w:t>
      </w:r>
    </w:p>
    <w:p>
      <w:pPr>
        <w:snapToGrid w:val="0"/>
        <w:spacing w:line="560" w:lineRule="exact"/>
        <w:ind w:firstLine="627" w:firstLineChars="196"/>
        <w:rPr>
          <w:rFonts w:ascii="仿宋" w:hAnsi="仿宋" w:eastAsia="仿宋_GB2312" w:cs="仿宋"/>
          <w:bCs/>
          <w:sz w:val="32"/>
          <w:szCs w:val="32"/>
        </w:rPr>
      </w:pPr>
      <w:r>
        <w:rPr>
          <w:rFonts w:hint="eastAsia" w:ascii="仿宋_GB2312" w:hAnsi="楷体" w:eastAsia="仿宋_GB2312"/>
          <w:sz w:val="32"/>
          <w:szCs w:val="32"/>
        </w:rPr>
        <w:t>3、田间道路项目。安排财政涉农资金4299.216933万元，建成后可改善脱贫村生产生活条件，促进产业发展。</w:t>
      </w:r>
    </w:p>
    <w:p>
      <w:pPr>
        <w:snapToGrid w:val="0"/>
        <w:spacing w:line="560" w:lineRule="exact"/>
        <w:ind w:firstLine="630" w:firstLineChars="196"/>
        <w:rPr>
          <w:rFonts w:ascii="仿宋_GB2312" w:hAnsi="楷体" w:eastAsia="仿宋_GB2312"/>
          <w:sz w:val="32"/>
          <w:szCs w:val="32"/>
        </w:rPr>
      </w:pPr>
      <w:r>
        <w:rPr>
          <w:rFonts w:hint="eastAsia" w:ascii="楷体_GB2312" w:hAnsi="楷体" w:eastAsia="楷体_GB2312"/>
          <w:b/>
          <w:sz w:val="32"/>
          <w:szCs w:val="32"/>
        </w:rPr>
        <w:t>（二）基础设施建设项目。</w:t>
      </w:r>
      <w:r>
        <w:rPr>
          <w:rFonts w:hint="eastAsia" w:ascii="仿宋_GB2312" w:hAnsi="楷体" w:eastAsia="仿宋_GB2312"/>
          <w:sz w:val="32"/>
          <w:szCs w:val="32"/>
        </w:rPr>
        <w:t>安排统筹整合财政涉农资金6349.858396万元。</w:t>
      </w:r>
    </w:p>
    <w:p>
      <w:pPr>
        <w:snapToGrid w:val="0"/>
        <w:spacing w:line="560" w:lineRule="exact"/>
        <w:ind w:firstLine="627" w:firstLineChars="196"/>
        <w:rPr>
          <w:rFonts w:ascii="仿宋_GB2312" w:hAnsi="楷体" w:eastAsia="仿宋_GB2312"/>
          <w:sz w:val="32"/>
          <w:szCs w:val="32"/>
        </w:rPr>
      </w:pPr>
      <w:r>
        <w:rPr>
          <w:rFonts w:hint="eastAsia" w:ascii="仿宋_GB2312" w:hAnsi="楷体" w:eastAsia="仿宋_GB2312"/>
          <w:sz w:val="32"/>
          <w:szCs w:val="32"/>
        </w:rPr>
        <w:t>1、饮水安全。安排统筹整合财政涉农资金1286.62万元，建设内容：安全饮水管道及配套设施，打井及配套设施，改善饮用水水质，减少微量元素在国际限值以内等。受益户54201户171576人。</w:t>
      </w:r>
    </w:p>
    <w:p>
      <w:pPr>
        <w:snapToGrid w:val="0"/>
        <w:spacing w:line="560" w:lineRule="exact"/>
        <w:ind w:firstLine="627" w:firstLineChars="196"/>
        <w:rPr>
          <w:rFonts w:ascii="仿宋_GB2312" w:hAnsi="楷体" w:eastAsia="仿宋_GB2312"/>
          <w:sz w:val="32"/>
          <w:szCs w:val="32"/>
        </w:rPr>
      </w:pPr>
      <w:r>
        <w:rPr>
          <w:rFonts w:hint="eastAsia" w:ascii="仿宋_GB2312" w:hAnsi="楷体" w:eastAsia="仿宋_GB2312"/>
          <w:sz w:val="32"/>
          <w:szCs w:val="32"/>
        </w:rPr>
        <w:t>2、</w:t>
      </w:r>
      <w:r>
        <w:rPr>
          <w:rFonts w:hint="eastAsia" w:ascii="仿宋_GB2312" w:hAnsi="楷体" w:eastAsia="仿宋_GB2312"/>
          <w:kern w:val="0"/>
          <w:sz w:val="32"/>
          <w:szCs w:val="32"/>
        </w:rPr>
        <w:t>水利建设。安排</w:t>
      </w:r>
      <w:r>
        <w:rPr>
          <w:rFonts w:hint="eastAsia" w:ascii="仿宋_GB2312" w:hAnsi="楷体" w:eastAsia="仿宋_GB2312"/>
          <w:sz w:val="32"/>
          <w:szCs w:val="32"/>
        </w:rPr>
        <w:t>统筹整合财政涉农资金</w:t>
      </w:r>
      <w:r>
        <w:rPr>
          <w:rFonts w:hint="eastAsia" w:ascii="仿宋_GB2312" w:hAnsi="楷体" w:eastAsia="仿宋_GB2312"/>
          <w:kern w:val="0"/>
          <w:sz w:val="32"/>
          <w:szCs w:val="32"/>
        </w:rPr>
        <w:t>100.03万元，水利环境治理，脱贫村农田水利建设及配套，提高脱贫村水利设施使用效益。</w:t>
      </w:r>
      <w:r>
        <w:rPr>
          <w:rFonts w:hint="eastAsia" w:ascii="仿宋_GB2312" w:hAnsi="楷体" w:eastAsia="仿宋_GB2312"/>
          <w:sz w:val="32"/>
          <w:szCs w:val="32"/>
        </w:rPr>
        <w:t>受益户1645户5325人</w:t>
      </w:r>
      <w:r>
        <w:rPr>
          <w:rFonts w:hint="eastAsia" w:ascii="仿宋_GB2312" w:hAnsi="楷体" w:eastAsia="仿宋_GB2312"/>
          <w:kern w:val="0"/>
          <w:sz w:val="32"/>
          <w:szCs w:val="32"/>
        </w:rPr>
        <w:t>。</w:t>
      </w:r>
    </w:p>
    <w:p>
      <w:pPr>
        <w:snapToGrid w:val="0"/>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3、桥涵建设。安排</w:t>
      </w:r>
      <w:r>
        <w:rPr>
          <w:rFonts w:hint="eastAsia" w:ascii="仿宋_GB2312" w:hAnsi="楷体" w:eastAsia="仿宋_GB2312"/>
          <w:sz w:val="32"/>
          <w:szCs w:val="32"/>
        </w:rPr>
        <w:t>统筹整合财政涉农资金629.762156万元，建设内容：拆除危桥、新建桥梁及桥涵顶面硬化等。通过修建桥涵工程改善群众出行条件。受益户6501户20166人</w:t>
      </w:r>
    </w:p>
    <w:p>
      <w:pPr>
        <w:snapToGrid w:val="0"/>
        <w:spacing w:line="560" w:lineRule="exact"/>
        <w:ind w:firstLine="640" w:firstLineChars="200"/>
        <w:rPr>
          <w:rFonts w:ascii="仿宋_GB2312" w:hAnsi="楷体" w:eastAsia="仿宋_GB2312"/>
          <w:sz w:val="32"/>
          <w:szCs w:val="32"/>
        </w:rPr>
      </w:pPr>
      <w:r>
        <w:rPr>
          <w:rFonts w:hint="eastAsia" w:ascii="仿宋_GB2312" w:hAnsi="楷体" w:eastAsia="仿宋_GB2312"/>
          <w:kern w:val="0"/>
          <w:sz w:val="32"/>
          <w:szCs w:val="32"/>
        </w:rPr>
        <w:t>4、</w:t>
      </w:r>
      <w:r>
        <w:rPr>
          <w:rFonts w:hint="eastAsia" w:ascii="仿宋_GB2312" w:hAnsi="楷体" w:eastAsia="仿宋_GB2312"/>
          <w:sz w:val="32"/>
          <w:szCs w:val="32"/>
        </w:rPr>
        <w:t>道路建设。安排统筹整合财政涉农资金3773.44624万元，建设内容：村级道路硬化、田间路硬化、饮水工程路面修复硬化，桥涵建设，改善脱贫村生产发展条件等。受益户45697户144856人。</w:t>
      </w:r>
    </w:p>
    <w:p>
      <w:pPr>
        <w:snapToGrid w:val="0"/>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5、产业配套。安排统筹整合财政涉农资金560万元，建设内容：田间路硬化、饮水工程路面修复硬化，安装变压器，改善扶贫项目生产发展条件。受益户2487户7650人。</w:t>
      </w:r>
    </w:p>
    <w:p>
      <w:pPr>
        <w:snapToGrid w:val="0"/>
        <w:spacing w:line="560" w:lineRule="exact"/>
        <w:ind w:firstLine="643" w:firstLineChars="200"/>
        <w:rPr>
          <w:rFonts w:ascii="仿宋_GB2312" w:hAnsi="楷体" w:eastAsia="仿宋_GB2312"/>
          <w:sz w:val="32"/>
          <w:szCs w:val="32"/>
        </w:rPr>
      </w:pPr>
      <w:r>
        <w:rPr>
          <w:rFonts w:hint="eastAsia" w:ascii="楷体_GB2312" w:hAnsi="楷体" w:eastAsia="楷体_GB2312"/>
          <w:b/>
          <w:sz w:val="32"/>
          <w:szCs w:val="32"/>
        </w:rPr>
        <w:t>（三）污水处理项目。</w:t>
      </w:r>
      <w:r>
        <w:rPr>
          <w:rFonts w:hint="eastAsia" w:ascii="仿宋_GB2312" w:hAnsi="楷体" w:eastAsia="仿宋_GB2312"/>
          <w:sz w:val="32"/>
          <w:szCs w:val="32"/>
        </w:rPr>
        <w:t>安排统筹整合财政涉农资金200万元。涉及8个乡镇，每个乡镇建设一套大三格厕所粪污无害化集中处理设施，受益户90426户361704人。</w:t>
      </w:r>
    </w:p>
    <w:p>
      <w:pPr>
        <w:snapToGrid w:val="0"/>
        <w:spacing w:line="560" w:lineRule="exact"/>
        <w:ind w:firstLine="643" w:firstLineChars="200"/>
        <w:rPr>
          <w:rFonts w:ascii="仿宋_GB2312" w:hAnsi="楷体" w:eastAsia="仿宋_GB2312"/>
          <w:sz w:val="32"/>
          <w:szCs w:val="32"/>
        </w:rPr>
      </w:pPr>
      <w:r>
        <w:rPr>
          <w:rFonts w:hint="eastAsia" w:ascii="楷体_GB2312" w:hAnsi="楷体" w:eastAsia="楷体_GB2312"/>
          <w:b/>
          <w:sz w:val="32"/>
          <w:szCs w:val="32"/>
        </w:rPr>
        <w:t>（四）教育扶贫项目。</w:t>
      </w:r>
      <w:r>
        <w:rPr>
          <w:rFonts w:hint="eastAsia" w:ascii="仿宋_GB2312" w:hAnsi="楷体" w:eastAsia="仿宋_GB2312"/>
          <w:sz w:val="32"/>
          <w:szCs w:val="32"/>
        </w:rPr>
        <w:t>实施“雨露计划”项目，安排统筹整合财政涉农资金225万元，对建档立卡学生中、高等职业教育补助，通过政策扶持，提升家庭新成长劳动力创业就业能力。预计帮扶1200人次，1500元/学期/生。</w:t>
      </w:r>
    </w:p>
    <w:p>
      <w:pPr>
        <w:snapToGrid w:val="0"/>
        <w:spacing w:line="560" w:lineRule="exact"/>
        <w:ind w:firstLine="643" w:firstLineChars="200"/>
        <w:jc w:val="left"/>
        <w:rPr>
          <w:rFonts w:ascii="楷体_GB2312" w:hAnsi="楷体" w:eastAsia="楷体_GB2312"/>
          <w:b/>
          <w:spacing w:val="-4"/>
          <w:sz w:val="32"/>
          <w:szCs w:val="32"/>
        </w:rPr>
      </w:pPr>
      <w:r>
        <w:rPr>
          <w:rFonts w:hint="eastAsia" w:ascii="楷体_GB2312" w:hAnsi="楷体" w:eastAsia="楷体_GB2312"/>
          <w:b/>
          <w:sz w:val="32"/>
          <w:szCs w:val="32"/>
        </w:rPr>
        <w:t>（五）</w:t>
      </w:r>
      <w:r>
        <w:rPr>
          <w:rFonts w:hint="eastAsia" w:ascii="楷体_GB2312" w:hAnsi="楷体" w:eastAsia="楷体_GB2312"/>
          <w:b/>
          <w:spacing w:val="-4"/>
          <w:sz w:val="32"/>
          <w:szCs w:val="32"/>
        </w:rPr>
        <w:t>金融扶贫项目。</w:t>
      </w:r>
      <w:r>
        <w:rPr>
          <w:rFonts w:hint="eastAsia" w:ascii="仿宋_GB2312" w:hAnsi="楷体" w:eastAsia="仿宋_GB2312"/>
          <w:spacing w:val="-4"/>
          <w:sz w:val="32"/>
          <w:szCs w:val="32"/>
        </w:rPr>
        <w:t>金融扶贫，安排统筹整合财政涉农资金104.22万元，预计涉及脱贫户285户，用于金融担保贷款贴息。</w:t>
      </w:r>
    </w:p>
    <w:p>
      <w:pPr>
        <w:snapToGrid w:val="0"/>
        <w:spacing w:line="560" w:lineRule="exact"/>
        <w:ind w:firstLine="627" w:firstLineChars="200"/>
        <w:jc w:val="left"/>
        <w:rPr>
          <w:rFonts w:ascii="仿宋_GB2312" w:hAnsi="楷体" w:eastAsia="仿宋_GB2312"/>
          <w:spacing w:val="-4"/>
          <w:sz w:val="32"/>
          <w:szCs w:val="32"/>
        </w:rPr>
      </w:pPr>
      <w:r>
        <w:rPr>
          <w:rFonts w:hint="eastAsia" w:ascii="楷体_GB2312" w:hAnsi="楷体" w:eastAsia="楷体_GB2312"/>
          <w:b/>
          <w:spacing w:val="-4"/>
          <w:sz w:val="32"/>
          <w:szCs w:val="32"/>
        </w:rPr>
        <w:t>（六）消费扶贫项目。</w:t>
      </w:r>
      <w:r>
        <w:rPr>
          <w:rFonts w:hint="eastAsia" w:ascii="楷体_GB2312" w:hAnsi="楷体" w:eastAsia="楷体_GB2312"/>
          <w:bCs/>
          <w:spacing w:val="-4"/>
          <w:sz w:val="32"/>
          <w:szCs w:val="32"/>
        </w:rPr>
        <w:t>消费扶贫项目，安排</w:t>
      </w:r>
      <w:r>
        <w:rPr>
          <w:rFonts w:hint="eastAsia" w:ascii="仿宋_GB2312" w:hAnsi="楷体" w:eastAsia="仿宋_GB2312"/>
          <w:spacing w:val="-4"/>
          <w:sz w:val="32"/>
          <w:szCs w:val="32"/>
        </w:rPr>
        <w:t xml:space="preserve">统筹整合财政涉农资金75万元。切实拓宽我县特色农产品销售渠道，促进消费扶贫。      </w:t>
      </w:r>
    </w:p>
    <w:p>
      <w:pPr>
        <w:snapToGrid w:val="0"/>
        <w:spacing w:line="560" w:lineRule="exact"/>
        <w:ind w:firstLine="627" w:firstLineChars="200"/>
        <w:jc w:val="left"/>
        <w:rPr>
          <w:rFonts w:ascii="仿宋_GB2312" w:hAnsi="楷体" w:eastAsia="仿宋_GB2312"/>
          <w:spacing w:val="-4"/>
          <w:sz w:val="32"/>
          <w:szCs w:val="32"/>
        </w:rPr>
      </w:pPr>
      <w:r>
        <w:rPr>
          <w:rFonts w:hint="eastAsia" w:ascii="楷体_GB2312" w:hAnsi="楷体" w:eastAsia="楷体_GB2312"/>
          <w:b/>
          <w:spacing w:val="-4"/>
          <w:sz w:val="32"/>
          <w:szCs w:val="32"/>
        </w:rPr>
        <w:t>（七）</w:t>
      </w:r>
      <w:r>
        <w:rPr>
          <w:rFonts w:hint="eastAsia" w:ascii="楷体_GB2312" w:hAnsi="楷体" w:eastAsia="楷体_GB2312"/>
          <w:b/>
          <w:sz w:val="32"/>
          <w:szCs w:val="32"/>
        </w:rPr>
        <w:t>项目管理费。</w:t>
      </w:r>
      <w:r>
        <w:rPr>
          <w:rFonts w:hint="eastAsia" w:ascii="仿宋_GB2312" w:hAnsi="楷体" w:eastAsia="仿宋_GB2312"/>
          <w:sz w:val="32"/>
          <w:szCs w:val="32"/>
        </w:rPr>
        <w:t>安排统筹整合财政涉农资金61万元，对扶贫项目进行评估论证、跟踪审计、监督检查、验收等管理，确保监督资金安全使用，发挥扶贫项目效益。</w:t>
      </w:r>
    </w:p>
    <w:p>
      <w:pPr>
        <w:spacing w:line="560" w:lineRule="exact"/>
        <w:ind w:firstLine="800" w:firstLineChars="250"/>
        <w:jc w:val="left"/>
        <w:rPr>
          <w:rFonts w:ascii="黑体" w:hAnsi="黑体" w:eastAsia="黑体"/>
          <w:bCs/>
          <w:sz w:val="32"/>
          <w:szCs w:val="32"/>
        </w:rPr>
      </w:pPr>
      <w:r>
        <w:rPr>
          <w:rFonts w:hint="eastAsia" w:ascii="黑体" w:hAnsi="黑体" w:eastAsia="黑体"/>
          <w:bCs/>
          <w:sz w:val="32"/>
          <w:szCs w:val="32"/>
        </w:rPr>
        <w:t>四、项目实施</w:t>
      </w:r>
    </w:p>
    <w:p>
      <w:pPr>
        <w:spacing w:line="560" w:lineRule="exact"/>
        <w:ind w:firstLine="630" w:firstLineChars="196"/>
        <w:rPr>
          <w:rFonts w:hint="eastAsia" w:ascii="仿宋_GB2312" w:eastAsia="仿宋_GB2312"/>
          <w:sz w:val="32"/>
          <w:szCs w:val="32"/>
        </w:rPr>
      </w:pPr>
      <w:r>
        <w:rPr>
          <w:rFonts w:hint="eastAsia" w:ascii="楷体_GB2312" w:hAnsi="楷体" w:eastAsia="楷体_GB2312"/>
          <w:b/>
          <w:sz w:val="32"/>
          <w:szCs w:val="32"/>
        </w:rPr>
        <w:t>（一）项目申报。</w:t>
      </w:r>
      <w:r>
        <w:rPr>
          <w:rFonts w:hint="eastAsia" w:ascii="仿宋_GB2312" w:hAnsi="仿宋" w:eastAsia="仿宋_GB2312"/>
          <w:sz w:val="32"/>
          <w:szCs w:val="32"/>
        </w:rPr>
        <w:t>根据我县年度巩固拓展脱贫攻坚成果和乡村振兴需要，以村为主体申报项目，各乡（镇）审核汇总后上报到县各相关部门，县各相关部门科学制定本部门巩固拓展脱贫攻坚成果和乡村振兴项目库，县乡村振兴局根据部门申报情况，建立完善县级巩固拓展脱贫攻坚成果和乡村振兴项目库，并实行项目库动态管理。</w:t>
      </w:r>
    </w:p>
    <w:p>
      <w:pPr>
        <w:pStyle w:val="12"/>
        <w:spacing w:line="560" w:lineRule="exact"/>
        <w:ind w:firstLine="643"/>
        <w:rPr>
          <w:rFonts w:ascii="仿宋_GB2312" w:hAnsi="仿宋_GB2312" w:eastAsia="仿宋_GB2312"/>
          <w:sz w:val="32"/>
          <w:szCs w:val="32"/>
        </w:rPr>
      </w:pPr>
      <w:r>
        <w:rPr>
          <w:rFonts w:hint="eastAsia" w:ascii="楷体_GB2312" w:hAnsi="楷体" w:eastAsia="楷体_GB2312"/>
          <w:b/>
          <w:sz w:val="32"/>
          <w:szCs w:val="32"/>
        </w:rPr>
        <w:t>（二）项目论证。</w:t>
      </w:r>
      <w:r>
        <w:rPr>
          <w:rFonts w:hint="eastAsia" w:ascii="仿宋_GB2312" w:hAnsi="仿宋" w:eastAsia="仿宋_GB2312"/>
          <w:sz w:val="32"/>
          <w:szCs w:val="32"/>
        </w:rPr>
        <w:t>涉农资金整合项目的论证由责任单位组织进行评估论证。</w:t>
      </w:r>
    </w:p>
    <w:p>
      <w:pPr>
        <w:pStyle w:val="12"/>
        <w:spacing w:line="560" w:lineRule="exact"/>
        <w:ind w:firstLine="643"/>
        <w:rPr>
          <w:rFonts w:ascii="仿宋_GB2312" w:hAnsi="仿宋" w:eastAsia="仿宋_GB2312"/>
          <w:sz w:val="32"/>
          <w:szCs w:val="32"/>
        </w:rPr>
      </w:pPr>
      <w:r>
        <w:rPr>
          <w:rFonts w:hint="eastAsia" w:ascii="楷体_GB2312" w:hAnsi="楷体" w:eastAsia="楷体_GB2312"/>
          <w:b/>
          <w:sz w:val="32"/>
          <w:szCs w:val="32"/>
        </w:rPr>
        <w:t>（三）项目审批。</w:t>
      </w:r>
      <w:r>
        <w:rPr>
          <w:rFonts w:hint="eastAsia" w:ascii="仿宋_GB2312" w:hAnsi="仿宋" w:eastAsia="仿宋_GB2312"/>
          <w:sz w:val="32"/>
          <w:szCs w:val="32"/>
        </w:rPr>
        <w:t>由县政府组织对编报的项目进行审定，经审定确认的项目，以县政府文件批复。</w:t>
      </w:r>
    </w:p>
    <w:p>
      <w:pPr>
        <w:pStyle w:val="12"/>
        <w:spacing w:line="560" w:lineRule="exact"/>
        <w:ind w:firstLine="643"/>
        <w:rPr>
          <w:rFonts w:hint="eastAsia" w:ascii="仿宋_GB2312" w:eastAsia="仿宋_GB2312"/>
          <w:sz w:val="32"/>
          <w:szCs w:val="32"/>
        </w:rPr>
      </w:pPr>
      <w:r>
        <w:rPr>
          <w:rFonts w:hint="eastAsia" w:ascii="楷体_GB2312" w:hAnsi="仿宋" w:eastAsia="楷体_GB2312"/>
          <w:b/>
          <w:sz w:val="32"/>
          <w:szCs w:val="32"/>
        </w:rPr>
        <w:t>（四）项目公示。</w:t>
      </w:r>
      <w:r>
        <w:rPr>
          <w:rFonts w:hint="eastAsia" w:ascii="仿宋_GB2312" w:hAnsi="仿宋" w:eastAsia="仿宋_GB2312"/>
          <w:sz w:val="32"/>
          <w:szCs w:val="32"/>
        </w:rPr>
        <w:t>涉农资金整合项目审批后，在县政府网站予以公示，各责任部门及有关乡镇村也要进行公开公示，接受群众监督。</w:t>
      </w:r>
    </w:p>
    <w:p>
      <w:pPr>
        <w:pStyle w:val="12"/>
        <w:spacing w:line="560" w:lineRule="exact"/>
        <w:ind w:firstLine="643"/>
        <w:rPr>
          <w:rFonts w:hint="eastAsia" w:ascii="仿宋_GB2312" w:eastAsia="仿宋_GB2312"/>
          <w:sz w:val="32"/>
          <w:szCs w:val="32"/>
        </w:rPr>
      </w:pPr>
      <w:r>
        <w:rPr>
          <w:rFonts w:hint="eastAsia" w:ascii="楷体_GB2312" w:hAnsi="楷体" w:eastAsia="楷体_GB2312"/>
          <w:b/>
          <w:sz w:val="32"/>
          <w:szCs w:val="32"/>
        </w:rPr>
        <w:t>（五）项目实施。</w:t>
      </w:r>
      <w:r>
        <w:rPr>
          <w:rFonts w:hint="eastAsia" w:ascii="仿宋_GB2312" w:hAnsi="仿宋" w:eastAsia="仿宋_GB2312"/>
          <w:sz w:val="32"/>
          <w:szCs w:val="32"/>
        </w:rPr>
        <w:t>符合财政涉农统筹整合资金的项目经公示无异议后，相关责任部门尽快按程序和项目实施方案组织实施，加快项目实施进度，确保按期完工。</w:t>
      </w:r>
    </w:p>
    <w:p>
      <w:pPr>
        <w:pStyle w:val="12"/>
        <w:spacing w:line="560" w:lineRule="exact"/>
        <w:ind w:firstLine="643"/>
        <w:rPr>
          <w:rFonts w:ascii="仿宋_GB2312" w:hAnsi="仿宋" w:eastAsia="仿宋_GB2312"/>
          <w:sz w:val="32"/>
          <w:szCs w:val="32"/>
        </w:rPr>
      </w:pPr>
      <w:r>
        <w:rPr>
          <w:rFonts w:hint="eastAsia" w:ascii="楷体_GB2312" w:hAnsi="楷体" w:eastAsia="楷体_GB2312"/>
          <w:b/>
          <w:sz w:val="32"/>
          <w:szCs w:val="32"/>
        </w:rPr>
        <w:t>（六）项目验收。</w:t>
      </w:r>
      <w:r>
        <w:rPr>
          <w:rFonts w:hint="eastAsia" w:ascii="仿宋_GB2312" w:hAnsi="仿宋" w:eastAsia="仿宋_GB2312"/>
          <w:sz w:val="32"/>
          <w:szCs w:val="32"/>
        </w:rPr>
        <w:t>财政涉农统筹整合资金项目完工后，相应责任部门组织行业部门人员或是委托第三方对涉农资金项目进行验收，严把质量关和签字关，谁验收谁签字，谁签字谁负责。</w:t>
      </w:r>
    </w:p>
    <w:p>
      <w:pPr>
        <w:pStyle w:val="12"/>
        <w:spacing w:line="560" w:lineRule="exact"/>
        <w:ind w:firstLine="643"/>
        <w:rPr>
          <w:rFonts w:hint="eastAsia" w:ascii="仿宋_GB2312" w:eastAsia="仿宋_GB2312"/>
          <w:sz w:val="32"/>
          <w:szCs w:val="32"/>
        </w:rPr>
      </w:pPr>
      <w:r>
        <w:rPr>
          <w:rFonts w:hint="eastAsia" w:ascii="楷体_GB2312" w:hAnsi="楷体" w:eastAsia="楷体_GB2312"/>
          <w:b/>
          <w:sz w:val="32"/>
          <w:szCs w:val="32"/>
        </w:rPr>
        <w:t>（七）资金拨付。</w:t>
      </w:r>
      <w:r>
        <w:rPr>
          <w:rFonts w:hint="eastAsia" w:ascii="仿宋_GB2312" w:hAnsi="仿宋_GB2312" w:eastAsia="仿宋_GB2312" w:cs="仿宋_GB2312"/>
          <w:sz w:val="32"/>
          <w:szCs w:val="32"/>
        </w:rPr>
        <w:t>资金拨付按国库集中支付有关规定执行。</w:t>
      </w:r>
    </w:p>
    <w:p>
      <w:pPr>
        <w:pStyle w:val="12"/>
        <w:spacing w:line="560" w:lineRule="exact"/>
        <w:ind w:firstLine="0" w:firstLineChars="0"/>
        <w:rPr>
          <w:rFonts w:ascii="黑体" w:hAnsi="宋体" w:eastAsia="黑体"/>
          <w:sz w:val="32"/>
          <w:szCs w:val="32"/>
        </w:rPr>
      </w:pPr>
      <w:r>
        <w:rPr>
          <w:rFonts w:hint="eastAsia" w:ascii="黑体" w:hAnsi="仿宋_GB2312" w:eastAsia="黑体"/>
          <w:sz w:val="32"/>
          <w:szCs w:val="32"/>
        </w:rPr>
        <w:t xml:space="preserve">    </w:t>
      </w:r>
      <w:r>
        <w:rPr>
          <w:rFonts w:hint="eastAsia" w:ascii="黑体" w:hAnsi="黑体" w:eastAsia="黑体"/>
          <w:sz w:val="32"/>
          <w:szCs w:val="32"/>
        </w:rPr>
        <w:t xml:space="preserve"> 五</w:t>
      </w:r>
      <w:r>
        <w:rPr>
          <w:rFonts w:hint="eastAsia" w:ascii="黑体" w:hAnsi="宋体" w:eastAsia="黑体"/>
          <w:sz w:val="32"/>
          <w:szCs w:val="32"/>
        </w:rPr>
        <w:t>、组织保障</w:t>
      </w:r>
    </w:p>
    <w:p>
      <w:pPr>
        <w:pStyle w:val="12"/>
        <w:spacing w:line="560" w:lineRule="exact"/>
        <w:ind w:firstLine="630" w:firstLineChars="196"/>
        <w:rPr>
          <w:rFonts w:ascii="仿宋_GB2312" w:hAnsi="仿宋" w:eastAsia="仿宋_GB2312"/>
          <w:color w:val="000000"/>
          <w:sz w:val="32"/>
          <w:szCs w:val="32"/>
        </w:rPr>
      </w:pPr>
      <w:r>
        <w:rPr>
          <w:rFonts w:hint="eastAsia" w:ascii="楷体_GB2312" w:hAnsi="楷体" w:eastAsia="楷体_GB2312"/>
          <w:b/>
          <w:sz w:val="32"/>
          <w:szCs w:val="32"/>
        </w:rPr>
        <w:t>（一）成立领导小组。</w:t>
      </w:r>
      <w:r>
        <w:rPr>
          <w:rFonts w:hint="eastAsia" w:ascii="仿宋_GB2312" w:hAnsi="仿宋" w:eastAsia="仿宋_GB2312"/>
          <w:sz w:val="32"/>
          <w:szCs w:val="32"/>
        </w:rPr>
        <w:t>成立由县政府常务副县长为组长，有关县领导为副组长、相关部门主要负责人为成员的</w:t>
      </w:r>
      <w:r>
        <w:rPr>
          <w:rFonts w:hint="eastAsia" w:ascii="仿宋_GB2312" w:hAnsi="宋体" w:eastAsia="仿宋_GB2312"/>
          <w:sz w:val="32"/>
          <w:szCs w:val="32"/>
        </w:rPr>
        <w:t>曲阳县统筹整合使用财政涉农资金试点工作领导小组</w:t>
      </w:r>
      <w:r>
        <w:rPr>
          <w:rFonts w:hint="eastAsia" w:ascii="仿宋_GB2312" w:hAnsi="仿宋" w:eastAsia="仿宋_GB2312"/>
          <w:sz w:val="32"/>
          <w:szCs w:val="32"/>
        </w:rPr>
        <w:t>。领导小组下设办公室，负责涉农资金整合使用的协调、沟通工作，办公室设在县乡村振兴局，办公室主任由县政府分管乡村振兴工作副县长兼任，办公室副主任由县财政局局长、县乡村振兴局局长担任</w:t>
      </w:r>
      <w:r>
        <w:rPr>
          <w:rFonts w:hint="eastAsia" w:ascii="仿宋_GB2312" w:hAnsi="仿宋" w:eastAsia="仿宋_GB2312"/>
          <w:color w:val="000000"/>
          <w:sz w:val="32"/>
          <w:szCs w:val="32"/>
        </w:rPr>
        <w:t>。</w:t>
      </w:r>
    </w:p>
    <w:p>
      <w:pPr>
        <w:autoSpaceDE w:val="0"/>
        <w:spacing w:line="560" w:lineRule="exact"/>
        <w:ind w:firstLine="630" w:firstLineChars="196"/>
        <w:rPr>
          <w:rFonts w:ascii="仿宋_GB2312" w:hAnsi="仿宋" w:eastAsia="仿宋_GB2312"/>
          <w:color w:val="000000"/>
          <w:sz w:val="32"/>
          <w:szCs w:val="32"/>
        </w:rPr>
      </w:pPr>
      <w:r>
        <w:rPr>
          <w:rFonts w:hint="eastAsia" w:ascii="楷体_GB2312" w:hAnsi="仿宋" w:eastAsia="楷体_GB2312"/>
          <w:b/>
          <w:color w:val="000000"/>
          <w:sz w:val="32"/>
          <w:szCs w:val="32"/>
        </w:rPr>
        <w:t>（二）加强组织领导。</w:t>
      </w:r>
      <w:r>
        <w:rPr>
          <w:rFonts w:hint="eastAsia" w:ascii="仿宋_GB2312" w:hAnsi="仿宋" w:eastAsia="仿宋_GB2312"/>
          <w:color w:val="000000"/>
          <w:sz w:val="32"/>
          <w:szCs w:val="32"/>
        </w:rPr>
        <w:t>各项目责任单位要认真</w:t>
      </w:r>
      <w:r>
        <w:rPr>
          <w:rFonts w:hint="eastAsia" w:ascii="仿宋_GB2312" w:hAnsi="仿宋" w:eastAsia="仿宋_GB2312"/>
          <w:sz w:val="32"/>
          <w:szCs w:val="32"/>
        </w:rPr>
        <w:t>研究项目实施方案、组织项目申报、监督项目实施、监管资金使用和项目后期管理维护等，及时向分管县级领导汇报项目有关情况。</w:t>
      </w:r>
      <w:r>
        <w:rPr>
          <w:rFonts w:hint="eastAsia" w:ascii="仿宋_GB2312" w:hAnsi="仿宋" w:eastAsia="仿宋_GB2312"/>
          <w:color w:val="000000"/>
          <w:sz w:val="32"/>
          <w:szCs w:val="32"/>
        </w:rPr>
        <w:t>各有关县级领导，根据分管职责和分管部门对责任部门负责的项目负总责，协调</w:t>
      </w:r>
      <w:r>
        <w:rPr>
          <w:rFonts w:hint="eastAsia" w:ascii="仿宋_GB2312" w:hAnsi="仿宋" w:eastAsia="仿宋_GB2312"/>
          <w:sz w:val="32"/>
          <w:szCs w:val="32"/>
        </w:rPr>
        <w:t>解决资金整合使用中的困难和问题，</w:t>
      </w:r>
      <w:r>
        <w:rPr>
          <w:rFonts w:hint="eastAsia" w:ascii="仿宋_GB2312" w:hAnsi="仿宋" w:eastAsia="仿宋_GB2312"/>
          <w:color w:val="000000"/>
          <w:sz w:val="32"/>
          <w:szCs w:val="32"/>
        </w:rPr>
        <w:t>督促指导各责任部门按时按质按要求完成工作。</w:t>
      </w:r>
    </w:p>
    <w:p>
      <w:pPr>
        <w:autoSpaceDE w:val="0"/>
        <w:spacing w:line="560" w:lineRule="exact"/>
        <w:ind w:firstLine="643" w:firstLineChars="200"/>
        <w:rPr>
          <w:rFonts w:ascii="仿宋_GB2312" w:hAnsi="仿宋" w:eastAsia="仿宋_GB2312"/>
          <w:color w:val="000000"/>
          <w:sz w:val="32"/>
          <w:szCs w:val="32"/>
        </w:rPr>
      </w:pPr>
      <w:r>
        <w:rPr>
          <w:rFonts w:hint="eastAsia" w:ascii="楷体_GB2312" w:hAnsi="楷体" w:eastAsia="楷体_GB2312"/>
          <w:b/>
          <w:sz w:val="32"/>
          <w:szCs w:val="32"/>
        </w:rPr>
        <w:t>（三）加强项目公开公示与资金管理。</w:t>
      </w:r>
      <w:r>
        <w:rPr>
          <w:rFonts w:hint="eastAsia" w:eastAsia="仿宋_GB2312"/>
          <w:bCs/>
          <w:color w:val="000000"/>
          <w:sz w:val="32"/>
          <w:szCs w:val="32"/>
        </w:rPr>
        <w:t>实行扶贫项目阳光化管理，</w:t>
      </w:r>
      <w:r>
        <w:rPr>
          <w:rFonts w:hint="eastAsia" w:ascii="仿宋_GB2312" w:hAnsi="仿宋" w:eastAsia="仿宋_GB2312"/>
          <w:sz w:val="32"/>
          <w:szCs w:val="32"/>
        </w:rPr>
        <w:t>积极推行项目公示制、项目法人负责制、重点工程项目建设招投标制、项目建设监理制，确保整合项目顺利实施。</w:t>
      </w:r>
      <w:r>
        <w:rPr>
          <w:rFonts w:hint="eastAsia" w:eastAsia="仿宋_GB2312"/>
          <w:bCs/>
          <w:color w:val="000000"/>
          <w:sz w:val="32"/>
          <w:szCs w:val="32"/>
        </w:rPr>
        <w:t>加大政务信息公开力度，提高涉农政策和项目资金申请的透明度，杜绝涉农资金无序申报、重复申报和骗取套取涉农资金的行为。</w:t>
      </w:r>
      <w:r>
        <w:rPr>
          <w:rFonts w:hint="eastAsia" w:ascii="仿宋_GB2312" w:hAnsi="仿宋" w:eastAsia="仿宋_GB2312"/>
          <w:sz w:val="32"/>
          <w:szCs w:val="32"/>
        </w:rPr>
        <w:t>发挥审计和项目主管部门的监督作用，对各项整合资金的安排使用情况及时进行检查，依托中介机构，对重点项目进行评审，对巩固拓展脱贫攻坚成果资金使用绩效进行监测评价，提高使用效益。</w:t>
      </w:r>
    </w:p>
    <w:p>
      <w:pPr>
        <w:spacing w:line="560" w:lineRule="exact"/>
        <w:ind w:firstLine="643" w:firstLineChars="200"/>
        <w:rPr>
          <w:rFonts w:ascii="仿宋_GB2312" w:hAnsi="仿宋" w:eastAsia="仿宋_GB2312"/>
          <w:spacing w:val="-6"/>
          <w:sz w:val="32"/>
          <w:szCs w:val="32"/>
        </w:rPr>
      </w:pPr>
      <w:r>
        <w:rPr>
          <w:rFonts w:hint="eastAsia" w:ascii="楷体_GB2312" w:hAnsi="楷体" w:eastAsia="楷体_GB2312"/>
          <w:b/>
          <w:sz w:val="32"/>
          <w:szCs w:val="32"/>
        </w:rPr>
        <w:t>（四）完善绩效评价考核办法。</w:t>
      </w:r>
      <w:r>
        <w:rPr>
          <w:rFonts w:hint="eastAsia" w:ascii="仿宋_GB2312" w:hAnsi="仿宋" w:eastAsia="仿宋_GB2312"/>
          <w:spacing w:val="-6"/>
          <w:sz w:val="32"/>
          <w:szCs w:val="32"/>
        </w:rPr>
        <w:t>进一步完善统筹整合使用财政涉农资金的绩效评价制度。项目主管部门要科学设定绩效指标，并报县财政部门审核、批复，对项目资金开展自评，真正从制度层面推进整合使用涉农资金绩效评价工作，并将其纳入县巩固脱贫攻坚成果工作考核。</w:t>
      </w:r>
    </w:p>
    <w:p>
      <w:pPr>
        <w:pStyle w:val="12"/>
        <w:spacing w:line="560" w:lineRule="exact"/>
        <w:ind w:firstLine="0" w:firstLineChars="0"/>
        <w:rPr>
          <w:rFonts w:ascii="仿宋_GB2312" w:hAnsi="宋体" w:eastAsia="仿宋_GB2312"/>
          <w:sz w:val="32"/>
          <w:szCs w:val="32"/>
        </w:rPr>
      </w:pPr>
      <w:r>
        <w:rPr>
          <w:rFonts w:hint="eastAsia" w:ascii="仿宋_GB2312" w:hAnsi="仿宋_GB2312" w:eastAsia="仿宋_GB2312"/>
          <w:sz w:val="32"/>
          <w:szCs w:val="32"/>
        </w:rPr>
        <w:t>附件：1.</w:t>
      </w:r>
      <w:r>
        <w:rPr>
          <w:rFonts w:hint="eastAsia" w:ascii="仿宋_GB2312" w:hAnsi="宋体" w:eastAsia="仿宋_GB2312"/>
          <w:sz w:val="32"/>
          <w:szCs w:val="32"/>
        </w:rPr>
        <w:t>曲阳县统筹整合使用财政涉农资金试点工作领导小组</w:t>
      </w:r>
    </w:p>
    <w:p>
      <w:pPr>
        <w:pStyle w:val="12"/>
        <w:spacing w:line="560" w:lineRule="exact"/>
        <w:ind w:firstLine="960" w:firstLineChars="300"/>
        <w:rPr>
          <w:rFonts w:ascii="仿宋_GB2312" w:hAnsi="仿宋_GB2312" w:eastAsia="仿宋_GB2312"/>
          <w:sz w:val="32"/>
          <w:szCs w:val="32"/>
        </w:rPr>
      </w:pPr>
      <w:r>
        <w:rPr>
          <w:rFonts w:hint="eastAsia" w:ascii="仿宋_GB2312" w:hAnsi="仿宋_GB2312" w:eastAsia="仿宋_GB2312"/>
          <w:sz w:val="32"/>
          <w:szCs w:val="32"/>
        </w:rPr>
        <w:t>2</w:t>
      </w:r>
      <w:r>
        <w:rPr>
          <w:rFonts w:hint="eastAsia" w:ascii="仿宋_GB2312" w:hAnsi="宋体" w:eastAsia="仿宋_GB2312"/>
          <w:sz w:val="32"/>
          <w:szCs w:val="32"/>
        </w:rPr>
        <w:t>.曲阳县2021年度统筹整合使用财政涉农资金清单</w:t>
      </w:r>
    </w:p>
    <w:p>
      <w:pPr>
        <w:pStyle w:val="12"/>
        <w:spacing w:line="560" w:lineRule="exact"/>
        <w:ind w:firstLine="960" w:firstLineChars="300"/>
        <w:rPr>
          <w:rFonts w:ascii="仿宋_GB2312" w:hAnsi="仿宋_GB2312" w:eastAsia="仿宋_GB2312"/>
          <w:sz w:val="32"/>
          <w:szCs w:val="32"/>
        </w:rPr>
      </w:pPr>
      <w:r>
        <w:rPr>
          <w:rFonts w:hint="eastAsia" w:ascii="仿宋_GB2312" w:hAnsi="仿宋_GB2312" w:eastAsia="仿宋_GB2312"/>
          <w:sz w:val="32"/>
          <w:szCs w:val="32"/>
        </w:rPr>
        <w:t>3.</w:t>
      </w:r>
      <w:r>
        <w:rPr>
          <w:rFonts w:hint="eastAsia" w:ascii="仿宋_GB2312" w:hAnsi="仿宋" w:eastAsia="仿宋_GB2312"/>
          <w:sz w:val="32"/>
          <w:szCs w:val="32"/>
        </w:rPr>
        <w:t>曲阳县2021年度</w:t>
      </w:r>
      <w:r>
        <w:rPr>
          <w:rFonts w:hint="eastAsia" w:ascii="仿宋_GB2312" w:hAnsi="宋体" w:eastAsia="仿宋_GB2312" w:cs="仿宋"/>
          <w:sz w:val="32"/>
          <w:szCs w:val="32"/>
        </w:rPr>
        <w:t>统筹整合使用财政涉农资金项目清单（脱贫村）</w:t>
      </w:r>
    </w:p>
    <w:p>
      <w:pPr>
        <w:pStyle w:val="12"/>
        <w:spacing w:line="560" w:lineRule="exact"/>
        <w:ind w:firstLine="0" w:firstLineChars="0"/>
        <w:rPr>
          <w:rFonts w:ascii="仿宋_GB2312" w:hAnsi="仿宋_GB2312" w:eastAsia="仿宋_GB2312"/>
          <w:sz w:val="32"/>
          <w:szCs w:val="32"/>
        </w:rPr>
      </w:pPr>
      <w:r>
        <w:rPr>
          <w:rFonts w:hint="eastAsia" w:ascii="仿宋_GB2312" w:hAnsi="仿宋_GB2312" w:eastAsia="仿宋_GB2312"/>
          <w:sz w:val="32"/>
          <w:szCs w:val="32"/>
        </w:rPr>
        <w:t xml:space="preserve">     </w:t>
      </w:r>
      <w:r>
        <w:rPr>
          <w:rFonts w:ascii="仿宋_GB2312" w:hAnsi="仿宋_GB2312" w:eastAsia="仿宋_GB2312"/>
          <w:sz w:val="32"/>
          <w:szCs w:val="32"/>
        </w:rPr>
        <w:t xml:space="preserve"> </w:t>
      </w:r>
      <w:r>
        <w:rPr>
          <w:rFonts w:hint="eastAsia" w:ascii="仿宋_GB2312" w:hAnsi="仿宋_GB2312" w:eastAsia="仿宋_GB2312"/>
          <w:sz w:val="32"/>
          <w:szCs w:val="32"/>
        </w:rPr>
        <w:t>4.</w:t>
      </w:r>
      <w:r>
        <w:rPr>
          <w:rFonts w:hint="eastAsia"/>
        </w:rPr>
        <w:t xml:space="preserve"> </w:t>
      </w:r>
      <w:r>
        <w:rPr>
          <w:rFonts w:hint="eastAsia" w:ascii="仿宋_GB2312" w:hAnsi="仿宋_GB2312" w:eastAsia="仿宋_GB2312"/>
          <w:sz w:val="32"/>
          <w:szCs w:val="32"/>
        </w:rPr>
        <w:t>曲阳县2021年度统筹整合使用财政涉农资金项目清单（非贫困村）</w:t>
      </w:r>
    </w:p>
    <w:p>
      <w:pPr>
        <w:pStyle w:val="12"/>
        <w:spacing w:line="560" w:lineRule="exact"/>
        <w:ind w:firstLine="0" w:firstLineChars="0"/>
        <w:rPr>
          <w:rFonts w:ascii="仿宋_GB2312" w:hAnsi="仿宋_GB2312" w:eastAsia="仿宋_GB2312"/>
          <w:sz w:val="32"/>
          <w:szCs w:val="32"/>
        </w:rPr>
      </w:pPr>
    </w:p>
    <w:p>
      <w:pPr>
        <w:pStyle w:val="12"/>
        <w:spacing w:line="560" w:lineRule="exact"/>
        <w:ind w:firstLine="0" w:firstLineChars="0"/>
        <w:rPr>
          <w:rFonts w:ascii="仿宋_GB2312" w:hAnsi="仿宋_GB2312" w:eastAsia="仿宋_GB2312"/>
          <w:sz w:val="32"/>
          <w:szCs w:val="32"/>
        </w:rPr>
      </w:pPr>
    </w:p>
    <w:p>
      <w:pPr>
        <w:pStyle w:val="12"/>
        <w:spacing w:line="560" w:lineRule="exact"/>
        <w:ind w:firstLine="0" w:firstLineChars="0"/>
        <w:rPr>
          <w:rFonts w:ascii="仿宋_GB2312" w:hAnsi="仿宋_GB2312" w:eastAsia="仿宋_GB2312"/>
          <w:sz w:val="32"/>
          <w:szCs w:val="32"/>
        </w:rPr>
      </w:pPr>
    </w:p>
    <w:p>
      <w:pPr>
        <w:pStyle w:val="12"/>
        <w:spacing w:line="560" w:lineRule="exact"/>
        <w:ind w:firstLine="0" w:firstLineChars="0"/>
        <w:rPr>
          <w:rFonts w:ascii="仿宋_GB2312" w:hAnsi="仿宋_GB2312" w:eastAsia="仿宋_GB2312"/>
          <w:sz w:val="32"/>
          <w:szCs w:val="32"/>
        </w:rPr>
      </w:pPr>
    </w:p>
    <w:p>
      <w:pPr>
        <w:pStyle w:val="12"/>
        <w:spacing w:line="560" w:lineRule="exact"/>
        <w:ind w:firstLine="0" w:firstLineChars="0"/>
        <w:rPr>
          <w:rFonts w:ascii="仿宋_GB2312" w:hAnsi="仿宋_GB2312" w:eastAsia="仿宋_GB2312"/>
          <w:sz w:val="32"/>
          <w:szCs w:val="32"/>
        </w:rPr>
      </w:pPr>
    </w:p>
    <w:p>
      <w:pPr>
        <w:pStyle w:val="12"/>
        <w:spacing w:line="560" w:lineRule="exact"/>
        <w:ind w:firstLine="0" w:firstLineChars="0"/>
        <w:rPr>
          <w:rFonts w:ascii="仿宋_GB2312" w:hAnsi="仿宋_GB2312" w:eastAsia="仿宋_GB2312"/>
          <w:sz w:val="32"/>
          <w:szCs w:val="32"/>
        </w:rPr>
      </w:pPr>
    </w:p>
    <w:p>
      <w:pPr>
        <w:pStyle w:val="12"/>
        <w:spacing w:line="560" w:lineRule="exact"/>
        <w:ind w:firstLine="0" w:firstLineChars="0"/>
        <w:rPr>
          <w:rFonts w:ascii="仿宋_GB2312" w:hAnsi="仿宋_GB2312" w:eastAsia="仿宋_GB2312"/>
          <w:sz w:val="32"/>
          <w:szCs w:val="32"/>
        </w:rPr>
      </w:pPr>
    </w:p>
    <w:p>
      <w:pPr>
        <w:pStyle w:val="12"/>
        <w:spacing w:line="560" w:lineRule="exact"/>
        <w:ind w:firstLine="0" w:firstLineChars="0"/>
        <w:rPr>
          <w:rFonts w:ascii="仿宋_GB2312" w:hAnsi="仿宋_GB2312" w:eastAsia="仿宋_GB2312"/>
          <w:sz w:val="32"/>
          <w:szCs w:val="32"/>
        </w:rPr>
      </w:pPr>
    </w:p>
    <w:p>
      <w:pPr>
        <w:pStyle w:val="12"/>
        <w:spacing w:line="560" w:lineRule="exact"/>
        <w:ind w:firstLine="0" w:firstLineChars="0"/>
        <w:rPr>
          <w:rFonts w:ascii="仿宋_GB2312" w:hAnsi="仿宋_GB2312" w:eastAsia="仿宋_GB2312"/>
          <w:sz w:val="32"/>
          <w:szCs w:val="32"/>
        </w:rPr>
      </w:pPr>
    </w:p>
    <w:p>
      <w:pPr>
        <w:pStyle w:val="12"/>
        <w:spacing w:line="560" w:lineRule="exact"/>
        <w:ind w:firstLine="0" w:firstLineChars="0"/>
        <w:rPr>
          <w:rFonts w:ascii="仿宋_GB2312" w:hAnsi="仿宋_GB2312" w:eastAsia="仿宋_GB2312"/>
          <w:sz w:val="32"/>
          <w:szCs w:val="32"/>
        </w:rPr>
      </w:pPr>
    </w:p>
    <w:p>
      <w:pPr>
        <w:pStyle w:val="12"/>
        <w:spacing w:line="560" w:lineRule="exact"/>
        <w:ind w:firstLine="0" w:firstLineChars="0"/>
        <w:rPr>
          <w:rFonts w:ascii="仿宋_GB2312" w:hAnsi="仿宋_GB2312" w:eastAsia="仿宋_GB2312"/>
          <w:sz w:val="32"/>
          <w:szCs w:val="32"/>
        </w:rPr>
      </w:pPr>
    </w:p>
    <w:p>
      <w:pPr>
        <w:pStyle w:val="12"/>
        <w:spacing w:line="560" w:lineRule="exact"/>
        <w:ind w:firstLine="0" w:firstLineChars="0"/>
        <w:rPr>
          <w:rFonts w:ascii="仿宋_GB2312" w:hAnsi="仿宋_GB2312" w:eastAsia="仿宋_GB2312"/>
          <w:sz w:val="32"/>
          <w:szCs w:val="32"/>
        </w:rPr>
      </w:pPr>
    </w:p>
    <w:p>
      <w:pPr>
        <w:pStyle w:val="12"/>
        <w:spacing w:line="560" w:lineRule="exact"/>
        <w:ind w:firstLine="0" w:firstLineChars="0"/>
        <w:rPr>
          <w:rFonts w:ascii="仿宋_GB2312" w:hAnsi="仿宋_GB2312" w:eastAsia="仿宋_GB2312"/>
          <w:sz w:val="32"/>
          <w:szCs w:val="32"/>
        </w:rPr>
      </w:pPr>
    </w:p>
    <w:p>
      <w:pPr>
        <w:pStyle w:val="12"/>
        <w:spacing w:line="560" w:lineRule="exact"/>
        <w:ind w:firstLine="0" w:firstLineChars="0"/>
        <w:rPr>
          <w:rFonts w:ascii="仿宋_GB2312" w:hAnsi="仿宋_GB2312" w:eastAsia="仿宋_GB2312"/>
          <w:sz w:val="32"/>
          <w:szCs w:val="32"/>
        </w:rPr>
      </w:pPr>
    </w:p>
    <w:p>
      <w:pPr>
        <w:pStyle w:val="12"/>
        <w:spacing w:line="560" w:lineRule="exact"/>
        <w:ind w:firstLine="0" w:firstLineChars="0"/>
        <w:rPr>
          <w:rFonts w:ascii="黑体" w:hAnsi="黑体" w:eastAsia="黑体"/>
          <w:sz w:val="32"/>
          <w:szCs w:val="32"/>
        </w:rPr>
      </w:pPr>
      <w:r>
        <w:rPr>
          <w:rFonts w:hint="eastAsia" w:ascii="黑体" w:hAnsi="黑体" w:eastAsia="黑体"/>
          <w:sz w:val="32"/>
          <w:szCs w:val="32"/>
        </w:rPr>
        <w:t>附件1</w:t>
      </w:r>
    </w:p>
    <w:p>
      <w:pPr>
        <w:pStyle w:val="12"/>
        <w:spacing w:line="560" w:lineRule="exact"/>
        <w:ind w:firstLine="0" w:firstLineChars="0"/>
        <w:rPr>
          <w:rFonts w:ascii="黑体" w:hAnsi="黑体" w:eastAsia="黑体"/>
          <w:sz w:val="32"/>
          <w:szCs w:val="32"/>
        </w:rPr>
      </w:pPr>
    </w:p>
    <w:p>
      <w:pPr>
        <w:pStyle w:val="12"/>
        <w:spacing w:line="560" w:lineRule="exact"/>
        <w:ind w:firstLine="0" w:firstLineChars="0"/>
        <w:jc w:val="center"/>
        <w:rPr>
          <w:rFonts w:ascii="宋体" w:hAnsi="宋体"/>
          <w:b/>
          <w:sz w:val="44"/>
          <w:szCs w:val="44"/>
        </w:rPr>
      </w:pPr>
      <w:r>
        <w:rPr>
          <w:rFonts w:hint="eastAsia" w:ascii="宋体" w:hAnsi="宋体"/>
          <w:b/>
          <w:sz w:val="44"/>
          <w:szCs w:val="44"/>
        </w:rPr>
        <w:t xml:space="preserve"> 曲阳县统筹整合使用财政涉农资金</w:t>
      </w:r>
    </w:p>
    <w:p>
      <w:pPr>
        <w:pStyle w:val="12"/>
        <w:spacing w:line="560" w:lineRule="exact"/>
        <w:ind w:firstLine="0" w:firstLineChars="0"/>
        <w:jc w:val="center"/>
        <w:rPr>
          <w:rFonts w:ascii="宋体" w:hAnsi="宋体"/>
          <w:b/>
          <w:sz w:val="44"/>
          <w:szCs w:val="44"/>
        </w:rPr>
      </w:pPr>
      <w:r>
        <w:rPr>
          <w:rFonts w:hint="eastAsia" w:ascii="宋体" w:hAnsi="宋体"/>
          <w:b/>
          <w:sz w:val="44"/>
          <w:szCs w:val="44"/>
        </w:rPr>
        <w:t>试点工作领导小组</w:t>
      </w:r>
    </w:p>
    <w:p>
      <w:pPr>
        <w:autoSpaceDE w:val="0"/>
        <w:spacing w:line="560" w:lineRule="exact"/>
        <w:rPr>
          <w:rFonts w:hint="eastAsia" w:ascii="仿宋_GB2312" w:eastAsia="仿宋_GB2312"/>
          <w:sz w:val="32"/>
          <w:szCs w:val="32"/>
        </w:rPr>
      </w:pPr>
    </w:p>
    <w:p>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组  长：</w:t>
      </w:r>
      <w:r>
        <w:rPr>
          <w:rFonts w:hint="eastAsia" w:ascii="仿宋_GB2312" w:hAnsi="仿宋" w:eastAsia="仿宋_GB2312"/>
          <w:sz w:val="32"/>
          <w:szCs w:val="32"/>
        </w:rPr>
        <w:t>孙建国   县委常委、县政府常务副县长</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副组长：</w:t>
      </w:r>
      <w:r>
        <w:rPr>
          <w:rFonts w:hint="eastAsia" w:ascii="仿宋_GB2312" w:hAnsi="仿宋" w:eastAsia="仿宋_GB2312"/>
          <w:sz w:val="32"/>
          <w:szCs w:val="32"/>
        </w:rPr>
        <w:t>张祝涛   县委常委、县纪委书记、监察委主任</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sz w:val="32"/>
          <w:szCs w:val="32"/>
        </w:rPr>
        <w:t xml:space="preserve">        </w:t>
      </w:r>
      <w:r>
        <w:rPr>
          <w:rFonts w:hint="eastAsia" w:ascii="仿宋_GB2312" w:hAnsi="仿宋" w:eastAsia="仿宋_GB2312" w:cs="Times New Roman"/>
          <w:sz w:val="32"/>
          <w:szCs w:val="32"/>
        </w:rPr>
        <w:t>史立军   县</w:t>
      </w:r>
      <w:r>
        <w:rPr>
          <w:rFonts w:hint="eastAsia" w:ascii="仿宋_GB2312" w:hAnsi="仿宋" w:eastAsia="仿宋_GB2312" w:cs="Times New Roman"/>
          <w:sz w:val="32"/>
          <w:szCs w:val="32"/>
          <w:lang w:eastAsia="zh-CN"/>
        </w:rPr>
        <w:t>人大常委会副主任</w:t>
      </w:r>
      <w:r>
        <w:rPr>
          <w:rFonts w:hint="eastAsia" w:ascii="仿宋_GB2312" w:hAnsi="仿宋" w:eastAsia="仿宋_GB2312"/>
          <w:sz w:val="32"/>
          <w:szCs w:val="32"/>
        </w:rPr>
        <w:t>、</w:t>
      </w:r>
      <w:r>
        <w:rPr>
          <w:rFonts w:hint="eastAsia" w:ascii="仿宋_GB2312" w:hAnsi="仿宋" w:eastAsia="仿宋_GB2312" w:cs="Times New Roman"/>
          <w:sz w:val="32"/>
          <w:szCs w:val="32"/>
        </w:rPr>
        <w:t>住建局局长</w:t>
      </w:r>
    </w:p>
    <w:p>
      <w:pPr>
        <w:spacing w:line="560" w:lineRule="exact"/>
        <w:ind w:firstLine="1920" w:firstLineChars="600"/>
        <w:rPr>
          <w:rFonts w:ascii="仿宋_GB2312" w:hAnsi="仿宋" w:eastAsia="仿宋_GB2312" w:cs="Times New Roman"/>
          <w:sz w:val="32"/>
          <w:szCs w:val="32"/>
        </w:rPr>
      </w:pPr>
      <w:r>
        <w:rPr>
          <w:rFonts w:hint="eastAsia" w:ascii="仿宋_GB2312" w:hAnsi="仿宋" w:eastAsia="仿宋_GB2312" w:cs="Times New Roman"/>
          <w:sz w:val="32"/>
          <w:szCs w:val="32"/>
        </w:rPr>
        <w:t>门成会   县</w:t>
      </w:r>
      <w:r>
        <w:rPr>
          <w:rFonts w:hint="eastAsia" w:ascii="仿宋_GB2312" w:hAnsi="仿宋" w:eastAsia="仿宋_GB2312" w:cs="Times New Roman"/>
          <w:sz w:val="32"/>
          <w:szCs w:val="32"/>
          <w:lang w:eastAsia="zh-CN"/>
        </w:rPr>
        <w:t>人大常委会副主任</w:t>
      </w:r>
      <w:r>
        <w:rPr>
          <w:rFonts w:hint="eastAsia" w:ascii="仿宋_GB2312" w:hAnsi="仿宋" w:eastAsia="仿宋_GB2312"/>
          <w:sz w:val="32"/>
          <w:szCs w:val="32"/>
        </w:rPr>
        <w:t>、</w:t>
      </w:r>
      <w:r>
        <w:rPr>
          <w:rFonts w:hint="eastAsia" w:ascii="仿宋_GB2312" w:hAnsi="仿宋" w:eastAsia="仿宋_GB2312" w:cs="Times New Roman"/>
          <w:sz w:val="32"/>
          <w:szCs w:val="32"/>
        </w:rPr>
        <w:t>教育和体育局局长</w:t>
      </w:r>
    </w:p>
    <w:p>
      <w:pPr>
        <w:spacing w:line="560" w:lineRule="exact"/>
        <w:ind w:firstLine="1600" w:firstLineChars="500"/>
        <w:rPr>
          <w:rFonts w:ascii="仿宋_GB2312" w:hAnsi="仿宋" w:eastAsia="仿宋_GB2312"/>
          <w:sz w:val="32"/>
          <w:szCs w:val="32"/>
        </w:rPr>
      </w:pPr>
      <w:r>
        <w:rPr>
          <w:rFonts w:hint="eastAsia" w:ascii="仿宋_GB2312" w:hAnsi="仿宋" w:eastAsia="仿宋_GB2312"/>
          <w:sz w:val="32"/>
          <w:szCs w:val="32"/>
        </w:rPr>
        <w:t xml:space="preserve">  杨江勋   县</w:t>
      </w:r>
      <w:r>
        <w:rPr>
          <w:rFonts w:hint="eastAsia" w:ascii="仿宋_GB2312" w:hAnsi="仿宋" w:eastAsia="仿宋_GB2312" w:cs="Times New Roman"/>
          <w:sz w:val="32"/>
          <w:szCs w:val="32"/>
          <w:lang w:eastAsia="zh-CN"/>
        </w:rPr>
        <w:t>人大常委会副主任</w:t>
      </w:r>
      <w:r>
        <w:rPr>
          <w:rFonts w:hint="eastAsia" w:ascii="仿宋_GB2312" w:hAnsi="仿宋" w:eastAsia="仿宋_GB2312"/>
          <w:sz w:val="32"/>
          <w:szCs w:val="32"/>
        </w:rPr>
        <w:t>、乡村振兴局局长</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门士敏   县政府副县长</w:t>
      </w:r>
    </w:p>
    <w:p>
      <w:pPr>
        <w:spacing w:line="560" w:lineRule="exact"/>
        <w:ind w:firstLine="1920" w:firstLineChars="600"/>
        <w:rPr>
          <w:rFonts w:ascii="仿宋_GB2312" w:hAnsi="仿宋" w:eastAsia="仿宋_GB2312" w:cs="Times New Roman"/>
          <w:sz w:val="32"/>
          <w:szCs w:val="32"/>
        </w:rPr>
      </w:pPr>
      <w:r>
        <w:rPr>
          <w:rFonts w:hint="eastAsia" w:ascii="仿宋_GB2312" w:hAnsi="仿宋" w:eastAsia="仿宋_GB2312" w:cs="Times New Roman"/>
          <w:sz w:val="32"/>
          <w:szCs w:val="32"/>
        </w:rPr>
        <w:t>杨跃龙   县政府副县长（挂职）</w:t>
      </w:r>
    </w:p>
    <w:p>
      <w:pPr>
        <w:spacing w:line="560" w:lineRule="exact"/>
        <w:ind w:firstLine="1920" w:firstLineChars="600"/>
        <w:rPr>
          <w:rFonts w:ascii="仿宋_GB2312" w:hAnsi="仿宋" w:eastAsia="仿宋_GB2312"/>
          <w:sz w:val="32"/>
          <w:szCs w:val="32"/>
        </w:rPr>
      </w:pPr>
      <w:r>
        <w:rPr>
          <w:rFonts w:hint="eastAsia" w:ascii="仿宋_GB2312" w:hAnsi="仿宋" w:eastAsia="仿宋_GB2312"/>
          <w:sz w:val="32"/>
          <w:szCs w:val="32"/>
        </w:rPr>
        <w:t>王振涛   县政府副县长</w:t>
      </w:r>
    </w:p>
    <w:p>
      <w:pPr>
        <w:spacing w:line="560" w:lineRule="exact"/>
        <w:ind w:firstLine="1920" w:firstLineChars="600"/>
        <w:rPr>
          <w:rFonts w:ascii="仿宋_GB2312" w:hAnsi="仿宋" w:eastAsia="仿宋_GB2312" w:cs="Times New Roman"/>
          <w:sz w:val="32"/>
          <w:szCs w:val="32"/>
        </w:rPr>
      </w:pPr>
      <w:r>
        <w:rPr>
          <w:rFonts w:hint="eastAsia" w:ascii="仿宋_GB2312" w:hAnsi="仿宋" w:eastAsia="仿宋_GB2312" w:cs="Times New Roman"/>
          <w:sz w:val="32"/>
          <w:szCs w:val="32"/>
        </w:rPr>
        <w:t>王少辉   县政府副县长</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成  员：</w:t>
      </w:r>
      <w:r>
        <w:rPr>
          <w:rFonts w:hint="eastAsia" w:ascii="仿宋_GB2312" w:hAnsi="仿宋" w:eastAsia="仿宋_GB2312"/>
          <w:sz w:val="32"/>
          <w:szCs w:val="32"/>
        </w:rPr>
        <w:t xml:space="preserve">王  勇  </w:t>
      </w:r>
      <w:r>
        <w:rPr>
          <w:rFonts w:hint="eastAsia" w:ascii="仿宋_GB2312" w:hAnsi="仿宋" w:eastAsia="仿宋_GB2312" w:cs="Times New Roman"/>
          <w:sz w:val="32"/>
          <w:szCs w:val="32"/>
        </w:rPr>
        <w:t xml:space="preserve"> 县财政局局长</w:t>
      </w:r>
    </w:p>
    <w:p>
      <w:pPr>
        <w:spacing w:line="560" w:lineRule="exact"/>
        <w:ind w:firstLine="1920" w:firstLineChars="600"/>
        <w:rPr>
          <w:rFonts w:ascii="仿宋_GB2312" w:hAnsi="仿宋" w:eastAsia="仿宋_GB2312"/>
          <w:sz w:val="32"/>
          <w:szCs w:val="32"/>
        </w:rPr>
      </w:pPr>
      <w:r>
        <w:rPr>
          <w:rFonts w:hint="eastAsia" w:ascii="仿宋_GB2312" w:hAnsi="仿宋" w:eastAsia="仿宋_GB2312" w:cs="Times New Roman"/>
          <w:sz w:val="32"/>
          <w:szCs w:val="32"/>
        </w:rPr>
        <w:t>王  浩   县发展和改革</w:t>
      </w:r>
      <w:r>
        <w:rPr>
          <w:rFonts w:hint="eastAsia" w:ascii="仿宋_GB2312" w:hAnsi="仿宋" w:eastAsia="仿宋_GB2312"/>
          <w:sz w:val="32"/>
          <w:szCs w:val="32"/>
        </w:rPr>
        <w:t>局局长</w:t>
      </w:r>
    </w:p>
    <w:p>
      <w:pPr>
        <w:spacing w:line="560" w:lineRule="exact"/>
        <w:ind w:firstLine="1920" w:firstLineChars="600"/>
        <w:rPr>
          <w:rFonts w:ascii="仿宋_GB2312" w:hAnsi="仿宋" w:eastAsia="仿宋_GB2312"/>
          <w:sz w:val="32"/>
          <w:szCs w:val="32"/>
        </w:rPr>
      </w:pPr>
      <w:r>
        <w:rPr>
          <w:rFonts w:hint="eastAsia" w:ascii="仿宋_GB2312" w:hAnsi="仿宋" w:eastAsia="仿宋_GB2312" w:cs="Times New Roman"/>
          <w:sz w:val="32"/>
          <w:szCs w:val="32"/>
        </w:rPr>
        <w:t>郭永欣   县农业农村局党组书记</w:t>
      </w:r>
    </w:p>
    <w:p>
      <w:pPr>
        <w:spacing w:line="560" w:lineRule="exact"/>
        <w:ind w:firstLine="1920" w:firstLineChars="600"/>
        <w:rPr>
          <w:rFonts w:ascii="仿宋_GB2312" w:hAnsi="仿宋" w:eastAsia="仿宋_GB2312" w:cs="Times New Roman"/>
          <w:sz w:val="32"/>
          <w:szCs w:val="32"/>
        </w:rPr>
      </w:pPr>
      <w:r>
        <w:rPr>
          <w:rFonts w:hint="eastAsia" w:ascii="仿宋_GB2312" w:hAnsi="仿宋" w:eastAsia="仿宋_GB2312" w:cs="Times New Roman"/>
          <w:sz w:val="32"/>
          <w:szCs w:val="32"/>
        </w:rPr>
        <w:t>牛晓明   县农业农村局局长</w:t>
      </w:r>
    </w:p>
    <w:p>
      <w:pPr>
        <w:spacing w:line="560" w:lineRule="exact"/>
        <w:ind w:firstLine="1920" w:firstLineChars="600"/>
        <w:rPr>
          <w:rFonts w:ascii="仿宋_GB2312" w:hAnsi="仿宋" w:eastAsia="仿宋_GB2312" w:cs="Times New Roman"/>
          <w:sz w:val="32"/>
          <w:szCs w:val="32"/>
        </w:rPr>
      </w:pPr>
      <w:r>
        <w:rPr>
          <w:rFonts w:hint="eastAsia" w:ascii="仿宋_GB2312" w:hAnsi="仿宋" w:eastAsia="仿宋_GB2312" w:cs="Times New Roman"/>
          <w:sz w:val="32"/>
          <w:szCs w:val="32"/>
        </w:rPr>
        <w:t>刘  斌   县文化广电和旅游局局长</w:t>
      </w:r>
    </w:p>
    <w:p>
      <w:pPr>
        <w:spacing w:line="560" w:lineRule="exact"/>
        <w:ind w:firstLine="1920" w:firstLineChars="600"/>
        <w:rPr>
          <w:rFonts w:ascii="仿宋_GB2312" w:hAnsi="仿宋" w:eastAsia="仿宋_GB2312" w:cs="Times New Roman"/>
          <w:sz w:val="32"/>
          <w:szCs w:val="32"/>
        </w:rPr>
      </w:pPr>
      <w:r>
        <w:rPr>
          <w:rFonts w:hint="eastAsia" w:ascii="仿宋_GB2312" w:hAnsi="仿宋" w:eastAsia="仿宋_GB2312" w:cs="Times New Roman"/>
          <w:sz w:val="32"/>
          <w:szCs w:val="32"/>
        </w:rPr>
        <w:t>辛立峰   县水利局局长</w:t>
      </w:r>
    </w:p>
    <w:p>
      <w:pPr>
        <w:spacing w:line="560" w:lineRule="exact"/>
        <w:ind w:firstLine="1920" w:firstLineChars="600"/>
        <w:rPr>
          <w:rFonts w:ascii="仿宋_GB2312" w:hAnsi="仿宋" w:eastAsia="仿宋_GB2312" w:cs="Times New Roman"/>
          <w:sz w:val="32"/>
          <w:szCs w:val="32"/>
        </w:rPr>
      </w:pPr>
      <w:r>
        <w:rPr>
          <w:rFonts w:hint="eastAsia" w:ascii="仿宋_GB2312" w:hAnsi="仿宋" w:eastAsia="仿宋_GB2312" w:cs="Times New Roman"/>
          <w:sz w:val="32"/>
          <w:szCs w:val="32"/>
        </w:rPr>
        <w:t>甄跃龙   县卫健局局长</w:t>
      </w:r>
    </w:p>
    <w:p>
      <w:pPr>
        <w:spacing w:line="560" w:lineRule="exact"/>
        <w:ind w:firstLine="1920" w:firstLineChars="600"/>
        <w:rPr>
          <w:rFonts w:ascii="仿宋_GB2312" w:hAnsi="仿宋" w:eastAsia="仿宋_GB2312" w:cs="Times New Roman"/>
          <w:sz w:val="32"/>
          <w:szCs w:val="32"/>
        </w:rPr>
      </w:pPr>
      <w:r>
        <w:rPr>
          <w:rFonts w:hint="eastAsia" w:ascii="仿宋_GB2312" w:hAnsi="仿宋" w:eastAsia="仿宋_GB2312" w:cs="Times New Roman"/>
          <w:sz w:val="32"/>
          <w:szCs w:val="32"/>
        </w:rPr>
        <w:t>董世研   县交通局局长</w:t>
      </w:r>
    </w:p>
    <w:p>
      <w:pPr>
        <w:spacing w:line="560" w:lineRule="exact"/>
        <w:ind w:firstLine="1920" w:firstLineChars="600"/>
        <w:rPr>
          <w:rFonts w:ascii="仿宋_GB2312" w:hAnsi="仿宋" w:eastAsia="仿宋_GB2312"/>
          <w:sz w:val="32"/>
          <w:szCs w:val="32"/>
        </w:rPr>
      </w:pPr>
      <w:r>
        <w:rPr>
          <w:rFonts w:hint="eastAsia" w:ascii="仿宋_GB2312" w:hAnsi="仿宋" w:eastAsia="仿宋_GB2312"/>
          <w:sz w:val="32"/>
          <w:szCs w:val="32"/>
        </w:rPr>
        <w:t>张  健   县审计局局长</w:t>
      </w:r>
    </w:p>
    <w:p>
      <w:pPr>
        <w:spacing w:line="560" w:lineRule="exact"/>
        <w:ind w:firstLine="1920" w:firstLineChars="600"/>
        <w:rPr>
          <w:rFonts w:ascii="仿宋_GB2312" w:hAnsi="仿宋" w:eastAsia="仿宋_GB2312"/>
          <w:sz w:val="32"/>
          <w:szCs w:val="32"/>
        </w:rPr>
      </w:pPr>
      <w:r>
        <w:rPr>
          <w:rFonts w:hint="eastAsia" w:ascii="仿宋_GB2312" w:hAnsi="仿宋" w:eastAsia="仿宋_GB2312"/>
          <w:sz w:val="32"/>
          <w:szCs w:val="32"/>
        </w:rPr>
        <w:t>李照雷   市生态环境局曲阳分局局长</w:t>
      </w:r>
    </w:p>
    <w:p>
      <w:pPr>
        <w:spacing w:line="560" w:lineRule="exact"/>
        <w:ind w:firstLine="1920" w:firstLineChars="600"/>
        <w:rPr>
          <w:rFonts w:ascii="仿宋_GB2312" w:hAnsi="仿宋" w:eastAsia="仿宋_GB2312"/>
          <w:sz w:val="32"/>
          <w:szCs w:val="32"/>
        </w:rPr>
      </w:pPr>
      <w:r>
        <w:rPr>
          <w:rFonts w:hint="eastAsia" w:ascii="仿宋_GB2312" w:hAnsi="仿宋" w:eastAsia="仿宋_GB2312"/>
          <w:sz w:val="32"/>
          <w:szCs w:val="32"/>
        </w:rPr>
        <w:t>商志朴   县商务局局长</w:t>
      </w:r>
    </w:p>
    <w:p>
      <w:pPr>
        <w:spacing w:line="560" w:lineRule="exact"/>
        <w:ind w:firstLine="1920" w:firstLineChars="600"/>
        <w:rPr>
          <w:rFonts w:ascii="仿宋_GB2312" w:hAnsi="仿宋" w:eastAsia="仿宋_GB2312"/>
          <w:sz w:val="32"/>
          <w:szCs w:val="32"/>
        </w:rPr>
      </w:pPr>
      <w:r>
        <w:rPr>
          <w:rFonts w:hint="eastAsia" w:ascii="仿宋_GB2312" w:hAnsi="仿宋" w:eastAsia="仿宋_GB2312"/>
          <w:sz w:val="32"/>
          <w:szCs w:val="32"/>
        </w:rPr>
        <w:t>唐耀光   县纪委常委</w:t>
      </w:r>
    </w:p>
    <w:p>
      <w:pPr>
        <w:spacing w:line="560" w:lineRule="exact"/>
        <w:ind w:firstLine="1920" w:firstLineChars="600"/>
        <w:rPr>
          <w:rFonts w:ascii="仿宋_GB2312" w:hAnsi="仿宋" w:eastAsia="仿宋_GB2312" w:cs="Times New Roman"/>
          <w:sz w:val="32"/>
          <w:szCs w:val="32"/>
        </w:rPr>
      </w:pPr>
      <w:r>
        <w:rPr>
          <w:rFonts w:hint="eastAsia" w:ascii="仿宋_GB2312" w:hAnsi="仿宋" w:eastAsia="仿宋_GB2312" w:cs="Times New Roman"/>
          <w:sz w:val="32"/>
          <w:szCs w:val="32"/>
        </w:rPr>
        <w:t>刘  青   县供电公司经理</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sz w:val="32"/>
          <w:szCs w:val="32"/>
        </w:rPr>
        <w:t>领导小组下设办公室，办公室设在县乡村振兴局。办公室主任由县政府副县长王少辉同志兼任，办公室副主任由县</w:t>
      </w:r>
      <w:r>
        <w:rPr>
          <w:rFonts w:hint="eastAsia" w:ascii="仿宋_GB2312" w:hAnsi="仿宋" w:eastAsia="仿宋_GB2312"/>
          <w:sz w:val="32"/>
          <w:szCs w:val="32"/>
          <w:lang w:eastAsia="zh-CN"/>
        </w:rPr>
        <w:t>人大常委会副主任</w:t>
      </w:r>
      <w:r>
        <w:rPr>
          <w:rFonts w:hint="eastAsia" w:ascii="仿宋_GB2312" w:hAnsi="仿宋" w:eastAsia="仿宋_GB2312"/>
          <w:sz w:val="32"/>
          <w:szCs w:val="32"/>
        </w:rPr>
        <w:t>、乡村振兴局局长杨江勋，财政局局长王勇担任，负责涉农项目资金支持脱贫巩固提升整合使用工作的组织、协调等日常工作。</w:t>
      </w:r>
    </w:p>
    <w:p>
      <w:pPr>
        <w:pStyle w:val="12"/>
        <w:spacing w:line="560" w:lineRule="exact"/>
        <w:ind w:firstLine="640"/>
        <w:rPr>
          <w:rFonts w:ascii="仿宋_GB2312" w:hAnsi="仿宋" w:eastAsia="仿宋_GB2312"/>
          <w:sz w:val="32"/>
          <w:szCs w:val="32"/>
        </w:rPr>
      </w:pPr>
    </w:p>
    <w:p>
      <w:pPr>
        <w:pStyle w:val="12"/>
        <w:spacing w:line="560" w:lineRule="exact"/>
        <w:ind w:firstLine="640"/>
        <w:rPr>
          <w:rFonts w:ascii="仿宋_GB2312" w:hAnsi="仿宋" w:eastAsia="仿宋_GB2312"/>
          <w:sz w:val="32"/>
          <w:szCs w:val="32"/>
        </w:rPr>
      </w:pPr>
    </w:p>
    <w:p>
      <w:pPr>
        <w:spacing w:line="560" w:lineRule="exact"/>
        <w:rPr>
          <w:rFonts w:hint="eastAsia"/>
        </w:rPr>
      </w:pPr>
    </w:p>
    <w:p>
      <w:pPr>
        <w:pStyle w:val="12"/>
        <w:spacing w:line="560" w:lineRule="exact"/>
        <w:ind w:firstLine="0" w:firstLineChars="0"/>
        <w:rPr>
          <w:rFonts w:ascii="仿宋_GB2312" w:hAnsi="仿宋_GB2312" w:eastAsia="仿宋_GB2312"/>
          <w:sz w:val="32"/>
          <w:szCs w:val="32"/>
        </w:rPr>
      </w:pPr>
    </w:p>
    <w:p>
      <w:pPr>
        <w:pStyle w:val="12"/>
        <w:spacing w:line="560" w:lineRule="exact"/>
        <w:ind w:firstLine="0" w:firstLineChars="0"/>
        <w:rPr>
          <w:rFonts w:ascii="仿宋_GB2312" w:hAnsi="仿宋_GB2312" w:eastAsia="仿宋_GB2312"/>
          <w:sz w:val="32"/>
          <w:szCs w:val="32"/>
        </w:rPr>
      </w:pPr>
    </w:p>
    <w:sectPr>
      <w:headerReference r:id="rId3" w:type="default"/>
      <w:footerReference r:id="rId4" w:type="default"/>
      <w:footerReference r:id="rId5" w:type="even"/>
      <w:pgSz w:w="11906" w:h="16838"/>
      <w:pgMar w:top="1440" w:right="1474" w:bottom="1440"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9"/>
                              <w:rFonts w:hint="eastAsia"/>
                            </w:rPr>
                          </w:pPr>
                          <w:r>
                            <w:fldChar w:fldCharType="begin"/>
                          </w:r>
                          <w:r>
                            <w:rPr>
                              <w:rStyle w:val="9"/>
                            </w:rPr>
                            <w:instrText xml:space="preserve">PAGE  </w:instrText>
                          </w:r>
                          <w:r>
                            <w:fldChar w:fldCharType="separate"/>
                          </w:r>
                          <w:r>
                            <w:rPr>
                              <w:rStyle w:val="9"/>
                              <w:rFonts w:hint="eastAsia"/>
                            </w:rP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Style w:val="9"/>
                        <w:rFonts w:hint="eastAsia"/>
                      </w:rPr>
                    </w:pPr>
                    <w:r>
                      <w:fldChar w:fldCharType="begin"/>
                    </w:r>
                    <w:r>
                      <w:rPr>
                        <w:rStyle w:val="9"/>
                      </w:rPr>
                      <w:instrText xml:space="preserve">PAGE  </w:instrText>
                    </w:r>
                    <w:r>
                      <w:fldChar w:fldCharType="separate"/>
                    </w:r>
                    <w:r>
                      <w:rPr>
                        <w:rStyle w:val="9"/>
                        <w:rFonts w:hint="eastAsia"/>
                      </w:rPr>
                      <w:t>6</w:t>
                    </w:r>
                    <w:r>
                      <w:fldChar w:fldCharType="end"/>
                    </w:r>
                  </w:p>
                </w:txbxContent>
              </v:textbox>
            </v:shape>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35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a:effectLst/>
                    </wps:spPr>
                    <wps:txbx>
                      <w:txbxContent>
                        <w:p>
                          <w:pPr>
                            <w:snapToGrid w:val="0"/>
                            <w:rPr>
                              <w:rFonts w:hint="eastAsia"/>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8.15pt;mso-position-horizontal:center;mso-position-horizontal-relative:margin;mso-wrap-style:none;z-index:251659264;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gyIUc0AAAAAMBAAAPAAAAAAAAAAEAIAAAACIAAABkcnMv&#10;ZG93bnJldi54bWxQSwECFAAUAAAACACHTuJAgjGYNdIBAAClAwAADgAAAAAAAAABACAAAAAfAQAA&#10;ZHJzL2Uyb0RvYy54bWxQSwUGAAAAAAYABgBZAQAAYw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Fonts w:hint="eastAsia"/>
      </w:rPr>
    </w:pPr>
    <w:r>
      <w:fldChar w:fldCharType="begin"/>
    </w:r>
    <w:r>
      <w:rPr>
        <w:rStyle w:val="9"/>
      </w:rPr>
      <w:instrText xml:space="preserve">PAGE  </w:instrText>
    </w:r>
    <w:r>
      <w:fldChar w:fldCharType="end"/>
    </w:r>
  </w:p>
  <w:p>
    <w:pPr>
      <w:pStyle w:val="2"/>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CE"/>
    <w:rsid w:val="00005399"/>
    <w:rsid w:val="00005938"/>
    <w:rsid w:val="00014EF5"/>
    <w:rsid w:val="000158F1"/>
    <w:rsid w:val="0001735C"/>
    <w:rsid w:val="000207FE"/>
    <w:rsid w:val="000220CA"/>
    <w:rsid w:val="00033BCE"/>
    <w:rsid w:val="00033C74"/>
    <w:rsid w:val="00047DCB"/>
    <w:rsid w:val="00060401"/>
    <w:rsid w:val="00065A34"/>
    <w:rsid w:val="00065F05"/>
    <w:rsid w:val="000721F3"/>
    <w:rsid w:val="0007431E"/>
    <w:rsid w:val="00077FAD"/>
    <w:rsid w:val="00080A96"/>
    <w:rsid w:val="00081EE2"/>
    <w:rsid w:val="0008715A"/>
    <w:rsid w:val="00090CC9"/>
    <w:rsid w:val="00096E44"/>
    <w:rsid w:val="00097334"/>
    <w:rsid w:val="000A01B1"/>
    <w:rsid w:val="000A1D8E"/>
    <w:rsid w:val="000A5A3C"/>
    <w:rsid w:val="000C5048"/>
    <w:rsid w:val="000C7DF0"/>
    <w:rsid w:val="000D1F3F"/>
    <w:rsid w:val="000E3A0B"/>
    <w:rsid w:val="000E41CE"/>
    <w:rsid w:val="000F0305"/>
    <w:rsid w:val="000F6EB9"/>
    <w:rsid w:val="00103D62"/>
    <w:rsid w:val="001044AC"/>
    <w:rsid w:val="001075F1"/>
    <w:rsid w:val="0010796D"/>
    <w:rsid w:val="00107AF5"/>
    <w:rsid w:val="001215A0"/>
    <w:rsid w:val="001332FC"/>
    <w:rsid w:val="00135641"/>
    <w:rsid w:val="00135F6C"/>
    <w:rsid w:val="00141EE0"/>
    <w:rsid w:val="0016154B"/>
    <w:rsid w:val="00164B3A"/>
    <w:rsid w:val="00167734"/>
    <w:rsid w:val="00172AD9"/>
    <w:rsid w:val="0018150A"/>
    <w:rsid w:val="00190839"/>
    <w:rsid w:val="00190C9C"/>
    <w:rsid w:val="00192AA0"/>
    <w:rsid w:val="00196A87"/>
    <w:rsid w:val="00197628"/>
    <w:rsid w:val="001A493B"/>
    <w:rsid w:val="001B1350"/>
    <w:rsid w:val="001B260B"/>
    <w:rsid w:val="001B2E55"/>
    <w:rsid w:val="001B69FA"/>
    <w:rsid w:val="001C02C0"/>
    <w:rsid w:val="001C4790"/>
    <w:rsid w:val="001D2202"/>
    <w:rsid w:val="001D3981"/>
    <w:rsid w:val="001E05BA"/>
    <w:rsid w:val="001E168F"/>
    <w:rsid w:val="001E1911"/>
    <w:rsid w:val="001E4423"/>
    <w:rsid w:val="001E6B6C"/>
    <w:rsid w:val="001F0C25"/>
    <w:rsid w:val="001F17B5"/>
    <w:rsid w:val="001F2706"/>
    <w:rsid w:val="001F4759"/>
    <w:rsid w:val="001F6C6B"/>
    <w:rsid w:val="00200BD8"/>
    <w:rsid w:val="0020112E"/>
    <w:rsid w:val="00202817"/>
    <w:rsid w:val="002040C5"/>
    <w:rsid w:val="00207A31"/>
    <w:rsid w:val="00215AE2"/>
    <w:rsid w:val="00220497"/>
    <w:rsid w:val="00224B5B"/>
    <w:rsid w:val="00225F90"/>
    <w:rsid w:val="002404F5"/>
    <w:rsid w:val="00242455"/>
    <w:rsid w:val="00245417"/>
    <w:rsid w:val="00247F89"/>
    <w:rsid w:val="00256D78"/>
    <w:rsid w:val="00273965"/>
    <w:rsid w:val="00276018"/>
    <w:rsid w:val="00276D98"/>
    <w:rsid w:val="00285178"/>
    <w:rsid w:val="0028750C"/>
    <w:rsid w:val="00291D1E"/>
    <w:rsid w:val="002A0434"/>
    <w:rsid w:val="002A1AF5"/>
    <w:rsid w:val="002A3E22"/>
    <w:rsid w:val="002C07D6"/>
    <w:rsid w:val="002D0A4D"/>
    <w:rsid w:val="002D282B"/>
    <w:rsid w:val="002D3055"/>
    <w:rsid w:val="002D43B5"/>
    <w:rsid w:val="002F4134"/>
    <w:rsid w:val="00307B28"/>
    <w:rsid w:val="003125EF"/>
    <w:rsid w:val="0031655D"/>
    <w:rsid w:val="00323257"/>
    <w:rsid w:val="00323F8D"/>
    <w:rsid w:val="003353DA"/>
    <w:rsid w:val="00343B86"/>
    <w:rsid w:val="003475AC"/>
    <w:rsid w:val="003477F0"/>
    <w:rsid w:val="00354EA6"/>
    <w:rsid w:val="00361EBC"/>
    <w:rsid w:val="00362390"/>
    <w:rsid w:val="00365D1A"/>
    <w:rsid w:val="00371563"/>
    <w:rsid w:val="003724F9"/>
    <w:rsid w:val="00376788"/>
    <w:rsid w:val="003809EC"/>
    <w:rsid w:val="00381691"/>
    <w:rsid w:val="00383FB3"/>
    <w:rsid w:val="003A0426"/>
    <w:rsid w:val="003A312E"/>
    <w:rsid w:val="003B41E7"/>
    <w:rsid w:val="003B534D"/>
    <w:rsid w:val="003C1103"/>
    <w:rsid w:val="003C11E5"/>
    <w:rsid w:val="003C2ACA"/>
    <w:rsid w:val="003C7088"/>
    <w:rsid w:val="003D3742"/>
    <w:rsid w:val="003E3CF3"/>
    <w:rsid w:val="003E547A"/>
    <w:rsid w:val="003E6A85"/>
    <w:rsid w:val="003F2638"/>
    <w:rsid w:val="003F3756"/>
    <w:rsid w:val="003F6964"/>
    <w:rsid w:val="00406CEC"/>
    <w:rsid w:val="00406F0B"/>
    <w:rsid w:val="004136C4"/>
    <w:rsid w:val="00414ADE"/>
    <w:rsid w:val="00420A3F"/>
    <w:rsid w:val="00431D03"/>
    <w:rsid w:val="00432653"/>
    <w:rsid w:val="00437C1C"/>
    <w:rsid w:val="00441860"/>
    <w:rsid w:val="004478E4"/>
    <w:rsid w:val="00450D02"/>
    <w:rsid w:val="00453FA3"/>
    <w:rsid w:val="00461164"/>
    <w:rsid w:val="00461B12"/>
    <w:rsid w:val="00462669"/>
    <w:rsid w:val="0047064B"/>
    <w:rsid w:val="004709BE"/>
    <w:rsid w:val="004747B8"/>
    <w:rsid w:val="0048332C"/>
    <w:rsid w:val="00484EF1"/>
    <w:rsid w:val="004937FE"/>
    <w:rsid w:val="004A01DD"/>
    <w:rsid w:val="004A2779"/>
    <w:rsid w:val="004A2EF8"/>
    <w:rsid w:val="004A4FA9"/>
    <w:rsid w:val="004A5B62"/>
    <w:rsid w:val="004A6BEA"/>
    <w:rsid w:val="004A728D"/>
    <w:rsid w:val="004B1216"/>
    <w:rsid w:val="004B2486"/>
    <w:rsid w:val="004B5078"/>
    <w:rsid w:val="004C6BB8"/>
    <w:rsid w:val="004D0554"/>
    <w:rsid w:val="004D1729"/>
    <w:rsid w:val="004E6E81"/>
    <w:rsid w:val="00500533"/>
    <w:rsid w:val="00506617"/>
    <w:rsid w:val="005119FB"/>
    <w:rsid w:val="00511A4C"/>
    <w:rsid w:val="00513C03"/>
    <w:rsid w:val="005234A0"/>
    <w:rsid w:val="00534DBB"/>
    <w:rsid w:val="0053525C"/>
    <w:rsid w:val="00540D4B"/>
    <w:rsid w:val="005505D2"/>
    <w:rsid w:val="00552F7F"/>
    <w:rsid w:val="00554BEE"/>
    <w:rsid w:val="00555D5D"/>
    <w:rsid w:val="0055702C"/>
    <w:rsid w:val="00571A83"/>
    <w:rsid w:val="00574A16"/>
    <w:rsid w:val="00575276"/>
    <w:rsid w:val="00577D1F"/>
    <w:rsid w:val="00585828"/>
    <w:rsid w:val="005907DA"/>
    <w:rsid w:val="00596FB2"/>
    <w:rsid w:val="005A18A3"/>
    <w:rsid w:val="005A2204"/>
    <w:rsid w:val="005A4200"/>
    <w:rsid w:val="005C0745"/>
    <w:rsid w:val="005C3035"/>
    <w:rsid w:val="005C402F"/>
    <w:rsid w:val="005C7BE6"/>
    <w:rsid w:val="005D2CBC"/>
    <w:rsid w:val="005D6520"/>
    <w:rsid w:val="005E1736"/>
    <w:rsid w:val="005E2169"/>
    <w:rsid w:val="005E5F6B"/>
    <w:rsid w:val="00602614"/>
    <w:rsid w:val="006120AA"/>
    <w:rsid w:val="00612779"/>
    <w:rsid w:val="00615531"/>
    <w:rsid w:val="00622F3F"/>
    <w:rsid w:val="00623600"/>
    <w:rsid w:val="00623EC3"/>
    <w:rsid w:val="00625BB6"/>
    <w:rsid w:val="006330FB"/>
    <w:rsid w:val="00635EBA"/>
    <w:rsid w:val="006452FE"/>
    <w:rsid w:val="00645BF9"/>
    <w:rsid w:val="00647BDD"/>
    <w:rsid w:val="00656927"/>
    <w:rsid w:val="00670DE5"/>
    <w:rsid w:val="00680A2F"/>
    <w:rsid w:val="00682CC5"/>
    <w:rsid w:val="006848B5"/>
    <w:rsid w:val="006A208D"/>
    <w:rsid w:val="006A29F7"/>
    <w:rsid w:val="006A69EF"/>
    <w:rsid w:val="006B0787"/>
    <w:rsid w:val="006B319E"/>
    <w:rsid w:val="006B38FE"/>
    <w:rsid w:val="006C1E7B"/>
    <w:rsid w:val="006C2EBE"/>
    <w:rsid w:val="006C390B"/>
    <w:rsid w:val="006C6C98"/>
    <w:rsid w:val="006D01C9"/>
    <w:rsid w:val="006D4D87"/>
    <w:rsid w:val="006D59D8"/>
    <w:rsid w:val="006D59F8"/>
    <w:rsid w:val="006D6BC4"/>
    <w:rsid w:val="006D7626"/>
    <w:rsid w:val="006D79DA"/>
    <w:rsid w:val="006E01A5"/>
    <w:rsid w:val="006E1FEA"/>
    <w:rsid w:val="006E7480"/>
    <w:rsid w:val="0070672B"/>
    <w:rsid w:val="00720FB7"/>
    <w:rsid w:val="0072437E"/>
    <w:rsid w:val="007400D1"/>
    <w:rsid w:val="007456BE"/>
    <w:rsid w:val="007472CB"/>
    <w:rsid w:val="00750FB0"/>
    <w:rsid w:val="00752D12"/>
    <w:rsid w:val="007539B7"/>
    <w:rsid w:val="00757824"/>
    <w:rsid w:val="00757A1D"/>
    <w:rsid w:val="0077034A"/>
    <w:rsid w:val="00781E95"/>
    <w:rsid w:val="007844E9"/>
    <w:rsid w:val="007879F5"/>
    <w:rsid w:val="00792BE1"/>
    <w:rsid w:val="00792CB7"/>
    <w:rsid w:val="007A137C"/>
    <w:rsid w:val="007A379D"/>
    <w:rsid w:val="007A4667"/>
    <w:rsid w:val="007B0815"/>
    <w:rsid w:val="007B7102"/>
    <w:rsid w:val="007B7E21"/>
    <w:rsid w:val="007C3DBA"/>
    <w:rsid w:val="007C486A"/>
    <w:rsid w:val="007D3275"/>
    <w:rsid w:val="007D7DA7"/>
    <w:rsid w:val="007E1F95"/>
    <w:rsid w:val="007E21E8"/>
    <w:rsid w:val="007F114E"/>
    <w:rsid w:val="007F6FA0"/>
    <w:rsid w:val="00801BBB"/>
    <w:rsid w:val="00802D98"/>
    <w:rsid w:val="00805E7C"/>
    <w:rsid w:val="008124F0"/>
    <w:rsid w:val="0081504D"/>
    <w:rsid w:val="00815274"/>
    <w:rsid w:val="0081656C"/>
    <w:rsid w:val="00822ED0"/>
    <w:rsid w:val="00835CCA"/>
    <w:rsid w:val="00837008"/>
    <w:rsid w:val="008436AB"/>
    <w:rsid w:val="00847069"/>
    <w:rsid w:val="008500CB"/>
    <w:rsid w:val="00850256"/>
    <w:rsid w:val="00850EFB"/>
    <w:rsid w:val="00852CB9"/>
    <w:rsid w:val="00852F26"/>
    <w:rsid w:val="00852FCD"/>
    <w:rsid w:val="0085729F"/>
    <w:rsid w:val="00862DFA"/>
    <w:rsid w:val="00867B41"/>
    <w:rsid w:val="00871EE5"/>
    <w:rsid w:val="008723E8"/>
    <w:rsid w:val="00872C4A"/>
    <w:rsid w:val="00874704"/>
    <w:rsid w:val="0088549F"/>
    <w:rsid w:val="00886FD8"/>
    <w:rsid w:val="00891BA8"/>
    <w:rsid w:val="00895C23"/>
    <w:rsid w:val="008A0B97"/>
    <w:rsid w:val="008B752F"/>
    <w:rsid w:val="008B7FAC"/>
    <w:rsid w:val="008C4566"/>
    <w:rsid w:val="008D2283"/>
    <w:rsid w:val="008F1A9E"/>
    <w:rsid w:val="008F40DD"/>
    <w:rsid w:val="008F4140"/>
    <w:rsid w:val="009277F2"/>
    <w:rsid w:val="0093211D"/>
    <w:rsid w:val="009324C5"/>
    <w:rsid w:val="00942DAE"/>
    <w:rsid w:val="00943C1D"/>
    <w:rsid w:val="00943C5F"/>
    <w:rsid w:val="009624E2"/>
    <w:rsid w:val="00966AC2"/>
    <w:rsid w:val="00966BF7"/>
    <w:rsid w:val="009676FC"/>
    <w:rsid w:val="00971785"/>
    <w:rsid w:val="00976612"/>
    <w:rsid w:val="00976773"/>
    <w:rsid w:val="00980F2E"/>
    <w:rsid w:val="00983ADF"/>
    <w:rsid w:val="009A07BF"/>
    <w:rsid w:val="009A244D"/>
    <w:rsid w:val="009C0CF4"/>
    <w:rsid w:val="009C1A22"/>
    <w:rsid w:val="009C4C17"/>
    <w:rsid w:val="009C6CE9"/>
    <w:rsid w:val="009E1E82"/>
    <w:rsid w:val="009E4497"/>
    <w:rsid w:val="009E57B6"/>
    <w:rsid w:val="009E6497"/>
    <w:rsid w:val="00A00EB3"/>
    <w:rsid w:val="00A06AFF"/>
    <w:rsid w:val="00A06C9A"/>
    <w:rsid w:val="00A1548F"/>
    <w:rsid w:val="00A16981"/>
    <w:rsid w:val="00A25AFA"/>
    <w:rsid w:val="00A30D2A"/>
    <w:rsid w:val="00A4064A"/>
    <w:rsid w:val="00A47188"/>
    <w:rsid w:val="00A50223"/>
    <w:rsid w:val="00A51555"/>
    <w:rsid w:val="00A52B85"/>
    <w:rsid w:val="00A54920"/>
    <w:rsid w:val="00A55717"/>
    <w:rsid w:val="00A65298"/>
    <w:rsid w:val="00A70245"/>
    <w:rsid w:val="00A7354F"/>
    <w:rsid w:val="00A81D46"/>
    <w:rsid w:val="00A822D6"/>
    <w:rsid w:val="00A83072"/>
    <w:rsid w:val="00AA7B46"/>
    <w:rsid w:val="00AA7FA9"/>
    <w:rsid w:val="00AB29FB"/>
    <w:rsid w:val="00AE5E70"/>
    <w:rsid w:val="00AF5282"/>
    <w:rsid w:val="00B11B73"/>
    <w:rsid w:val="00B15A7D"/>
    <w:rsid w:val="00B15EFB"/>
    <w:rsid w:val="00B22EE7"/>
    <w:rsid w:val="00B261C5"/>
    <w:rsid w:val="00B36C06"/>
    <w:rsid w:val="00B37CAF"/>
    <w:rsid w:val="00B42FC6"/>
    <w:rsid w:val="00B4694A"/>
    <w:rsid w:val="00B51436"/>
    <w:rsid w:val="00B53D6E"/>
    <w:rsid w:val="00B56843"/>
    <w:rsid w:val="00B6041F"/>
    <w:rsid w:val="00B61D2C"/>
    <w:rsid w:val="00B71209"/>
    <w:rsid w:val="00B7380D"/>
    <w:rsid w:val="00B91202"/>
    <w:rsid w:val="00B93807"/>
    <w:rsid w:val="00B943C3"/>
    <w:rsid w:val="00B951D0"/>
    <w:rsid w:val="00B969BB"/>
    <w:rsid w:val="00BA0800"/>
    <w:rsid w:val="00BA0CB9"/>
    <w:rsid w:val="00BA37F2"/>
    <w:rsid w:val="00BA40C2"/>
    <w:rsid w:val="00BA5BEB"/>
    <w:rsid w:val="00BA7827"/>
    <w:rsid w:val="00BB0982"/>
    <w:rsid w:val="00BB0ABF"/>
    <w:rsid w:val="00BB58AF"/>
    <w:rsid w:val="00BC2136"/>
    <w:rsid w:val="00BD70C0"/>
    <w:rsid w:val="00BE0BCB"/>
    <w:rsid w:val="00BE5F29"/>
    <w:rsid w:val="00BF2B24"/>
    <w:rsid w:val="00BF76D9"/>
    <w:rsid w:val="00C01A04"/>
    <w:rsid w:val="00C061C2"/>
    <w:rsid w:val="00C117D5"/>
    <w:rsid w:val="00C13D41"/>
    <w:rsid w:val="00C24A54"/>
    <w:rsid w:val="00C35FA4"/>
    <w:rsid w:val="00C3662C"/>
    <w:rsid w:val="00C37F96"/>
    <w:rsid w:val="00C42C50"/>
    <w:rsid w:val="00C52C8E"/>
    <w:rsid w:val="00C5489E"/>
    <w:rsid w:val="00C613D3"/>
    <w:rsid w:val="00C73112"/>
    <w:rsid w:val="00C7799E"/>
    <w:rsid w:val="00C83B0A"/>
    <w:rsid w:val="00C849E9"/>
    <w:rsid w:val="00C84B17"/>
    <w:rsid w:val="00C96726"/>
    <w:rsid w:val="00C97EEC"/>
    <w:rsid w:val="00CA18A9"/>
    <w:rsid w:val="00CA1CB3"/>
    <w:rsid w:val="00CA37D2"/>
    <w:rsid w:val="00CA44F4"/>
    <w:rsid w:val="00CB039F"/>
    <w:rsid w:val="00CB4C7C"/>
    <w:rsid w:val="00CB617B"/>
    <w:rsid w:val="00CC0927"/>
    <w:rsid w:val="00CC4FC1"/>
    <w:rsid w:val="00CC572B"/>
    <w:rsid w:val="00CC7485"/>
    <w:rsid w:val="00CD194B"/>
    <w:rsid w:val="00CD2C1B"/>
    <w:rsid w:val="00CE175E"/>
    <w:rsid w:val="00CF19AE"/>
    <w:rsid w:val="00CF30D5"/>
    <w:rsid w:val="00CF34B4"/>
    <w:rsid w:val="00CF441D"/>
    <w:rsid w:val="00CF541B"/>
    <w:rsid w:val="00CF67F5"/>
    <w:rsid w:val="00D07113"/>
    <w:rsid w:val="00D15A75"/>
    <w:rsid w:val="00D21D60"/>
    <w:rsid w:val="00D24112"/>
    <w:rsid w:val="00D267A2"/>
    <w:rsid w:val="00D270B0"/>
    <w:rsid w:val="00D27553"/>
    <w:rsid w:val="00D27956"/>
    <w:rsid w:val="00D31E18"/>
    <w:rsid w:val="00D32264"/>
    <w:rsid w:val="00D4042F"/>
    <w:rsid w:val="00D42E30"/>
    <w:rsid w:val="00D47319"/>
    <w:rsid w:val="00D5370E"/>
    <w:rsid w:val="00D61DDE"/>
    <w:rsid w:val="00D6248B"/>
    <w:rsid w:val="00D64A33"/>
    <w:rsid w:val="00D65CD4"/>
    <w:rsid w:val="00D843B1"/>
    <w:rsid w:val="00D85073"/>
    <w:rsid w:val="00D85AA7"/>
    <w:rsid w:val="00D8633B"/>
    <w:rsid w:val="00D868C6"/>
    <w:rsid w:val="00D86D94"/>
    <w:rsid w:val="00D9000C"/>
    <w:rsid w:val="00DA2291"/>
    <w:rsid w:val="00DA6422"/>
    <w:rsid w:val="00DA6A74"/>
    <w:rsid w:val="00DC2712"/>
    <w:rsid w:val="00DD02E5"/>
    <w:rsid w:val="00DD2BEC"/>
    <w:rsid w:val="00DD5945"/>
    <w:rsid w:val="00DE1A1B"/>
    <w:rsid w:val="00DE3D86"/>
    <w:rsid w:val="00DF058D"/>
    <w:rsid w:val="00DF39B2"/>
    <w:rsid w:val="00DF3D52"/>
    <w:rsid w:val="00E01731"/>
    <w:rsid w:val="00E12D98"/>
    <w:rsid w:val="00E2222D"/>
    <w:rsid w:val="00E23B44"/>
    <w:rsid w:val="00E2414B"/>
    <w:rsid w:val="00E314D3"/>
    <w:rsid w:val="00E42326"/>
    <w:rsid w:val="00E42934"/>
    <w:rsid w:val="00E451EF"/>
    <w:rsid w:val="00E51788"/>
    <w:rsid w:val="00E540CE"/>
    <w:rsid w:val="00E54304"/>
    <w:rsid w:val="00E55C66"/>
    <w:rsid w:val="00E5618E"/>
    <w:rsid w:val="00E60814"/>
    <w:rsid w:val="00E60D82"/>
    <w:rsid w:val="00E61FD4"/>
    <w:rsid w:val="00E63346"/>
    <w:rsid w:val="00E71953"/>
    <w:rsid w:val="00E7418C"/>
    <w:rsid w:val="00E76C38"/>
    <w:rsid w:val="00E82AFC"/>
    <w:rsid w:val="00E852F1"/>
    <w:rsid w:val="00E8760C"/>
    <w:rsid w:val="00E91215"/>
    <w:rsid w:val="00E92A53"/>
    <w:rsid w:val="00E92ABD"/>
    <w:rsid w:val="00E93957"/>
    <w:rsid w:val="00EA1C78"/>
    <w:rsid w:val="00EB1C4C"/>
    <w:rsid w:val="00EB48EF"/>
    <w:rsid w:val="00EC6767"/>
    <w:rsid w:val="00ED3AB8"/>
    <w:rsid w:val="00ED58B1"/>
    <w:rsid w:val="00ED6744"/>
    <w:rsid w:val="00ED6774"/>
    <w:rsid w:val="00EE17D4"/>
    <w:rsid w:val="00EE4A75"/>
    <w:rsid w:val="00EE6EE9"/>
    <w:rsid w:val="00EF5421"/>
    <w:rsid w:val="00F04EBC"/>
    <w:rsid w:val="00F06788"/>
    <w:rsid w:val="00F070BA"/>
    <w:rsid w:val="00F1232E"/>
    <w:rsid w:val="00F16B89"/>
    <w:rsid w:val="00F17485"/>
    <w:rsid w:val="00F20CAE"/>
    <w:rsid w:val="00F31364"/>
    <w:rsid w:val="00F36BAB"/>
    <w:rsid w:val="00F4242F"/>
    <w:rsid w:val="00F424DA"/>
    <w:rsid w:val="00F44516"/>
    <w:rsid w:val="00F44B61"/>
    <w:rsid w:val="00F6040B"/>
    <w:rsid w:val="00F6453C"/>
    <w:rsid w:val="00F71263"/>
    <w:rsid w:val="00F76BF9"/>
    <w:rsid w:val="00F801BD"/>
    <w:rsid w:val="00F91A67"/>
    <w:rsid w:val="00FA3AA7"/>
    <w:rsid w:val="00FB02AC"/>
    <w:rsid w:val="00FB5D58"/>
    <w:rsid w:val="00FB6262"/>
    <w:rsid w:val="00FC2FA2"/>
    <w:rsid w:val="00FC3AA7"/>
    <w:rsid w:val="00FD0089"/>
    <w:rsid w:val="00FD4033"/>
    <w:rsid w:val="00FF0E3C"/>
    <w:rsid w:val="00FF6B81"/>
    <w:rsid w:val="010617E0"/>
    <w:rsid w:val="01645775"/>
    <w:rsid w:val="01A4384F"/>
    <w:rsid w:val="03F334D1"/>
    <w:rsid w:val="0486391B"/>
    <w:rsid w:val="04AE7DBE"/>
    <w:rsid w:val="05050147"/>
    <w:rsid w:val="05250926"/>
    <w:rsid w:val="05E73987"/>
    <w:rsid w:val="06B60E85"/>
    <w:rsid w:val="082127C5"/>
    <w:rsid w:val="08C04865"/>
    <w:rsid w:val="090D0557"/>
    <w:rsid w:val="097048EE"/>
    <w:rsid w:val="099D74E6"/>
    <w:rsid w:val="0AB81C80"/>
    <w:rsid w:val="0BF532AD"/>
    <w:rsid w:val="0E6C200B"/>
    <w:rsid w:val="0F5A6B14"/>
    <w:rsid w:val="0F6F70B0"/>
    <w:rsid w:val="10812762"/>
    <w:rsid w:val="1119798C"/>
    <w:rsid w:val="11790B49"/>
    <w:rsid w:val="13B50A43"/>
    <w:rsid w:val="147603EB"/>
    <w:rsid w:val="14782C13"/>
    <w:rsid w:val="155B44AE"/>
    <w:rsid w:val="15887BAF"/>
    <w:rsid w:val="16340E6A"/>
    <w:rsid w:val="16B50BF4"/>
    <w:rsid w:val="17506F04"/>
    <w:rsid w:val="17CA0DAB"/>
    <w:rsid w:val="18511481"/>
    <w:rsid w:val="18AE50DC"/>
    <w:rsid w:val="18B71630"/>
    <w:rsid w:val="1ADE2F11"/>
    <w:rsid w:val="1B3E352A"/>
    <w:rsid w:val="1C354C25"/>
    <w:rsid w:val="1DFA6BCA"/>
    <w:rsid w:val="1E9A4F8E"/>
    <w:rsid w:val="1EC628BC"/>
    <w:rsid w:val="1F5D52A3"/>
    <w:rsid w:val="1F9D063F"/>
    <w:rsid w:val="1FB472C9"/>
    <w:rsid w:val="1FEC6D57"/>
    <w:rsid w:val="21852158"/>
    <w:rsid w:val="235952EB"/>
    <w:rsid w:val="23F04687"/>
    <w:rsid w:val="24251BF2"/>
    <w:rsid w:val="24B44F78"/>
    <w:rsid w:val="254A1EF4"/>
    <w:rsid w:val="25C20E00"/>
    <w:rsid w:val="261F2C2E"/>
    <w:rsid w:val="262E11BC"/>
    <w:rsid w:val="269E6B43"/>
    <w:rsid w:val="29444067"/>
    <w:rsid w:val="29A33803"/>
    <w:rsid w:val="29AC738E"/>
    <w:rsid w:val="2B2D518A"/>
    <w:rsid w:val="2C0C354F"/>
    <w:rsid w:val="2C6F3C57"/>
    <w:rsid w:val="2E061178"/>
    <w:rsid w:val="2EFC3F34"/>
    <w:rsid w:val="2F1A51F3"/>
    <w:rsid w:val="31FF4E4B"/>
    <w:rsid w:val="330A3725"/>
    <w:rsid w:val="33893137"/>
    <w:rsid w:val="34181647"/>
    <w:rsid w:val="345060C8"/>
    <w:rsid w:val="347026AE"/>
    <w:rsid w:val="35860C7A"/>
    <w:rsid w:val="35870B06"/>
    <w:rsid w:val="35C84DD9"/>
    <w:rsid w:val="361200EA"/>
    <w:rsid w:val="368E520D"/>
    <w:rsid w:val="373D3761"/>
    <w:rsid w:val="37553BB4"/>
    <w:rsid w:val="37902C0F"/>
    <w:rsid w:val="383B74FE"/>
    <w:rsid w:val="38785C5C"/>
    <w:rsid w:val="392B5625"/>
    <w:rsid w:val="39BA5608"/>
    <w:rsid w:val="3AA37D0A"/>
    <w:rsid w:val="3BC64F40"/>
    <w:rsid w:val="3CD775A8"/>
    <w:rsid w:val="3E636D23"/>
    <w:rsid w:val="3E9901C0"/>
    <w:rsid w:val="3ECB20B4"/>
    <w:rsid w:val="3F2E4F1E"/>
    <w:rsid w:val="3FDC5115"/>
    <w:rsid w:val="3FF621BC"/>
    <w:rsid w:val="3FFD5316"/>
    <w:rsid w:val="40072EDA"/>
    <w:rsid w:val="411B7D37"/>
    <w:rsid w:val="415F1045"/>
    <w:rsid w:val="43520AF4"/>
    <w:rsid w:val="454A339A"/>
    <w:rsid w:val="454E5D61"/>
    <w:rsid w:val="45FA5A24"/>
    <w:rsid w:val="4645206B"/>
    <w:rsid w:val="47777584"/>
    <w:rsid w:val="48052577"/>
    <w:rsid w:val="480C61DF"/>
    <w:rsid w:val="48812C19"/>
    <w:rsid w:val="48D91A84"/>
    <w:rsid w:val="492404B2"/>
    <w:rsid w:val="4A03708A"/>
    <w:rsid w:val="4C366325"/>
    <w:rsid w:val="4D09057E"/>
    <w:rsid w:val="4EA77FF4"/>
    <w:rsid w:val="4EFB7B7A"/>
    <w:rsid w:val="4FAD065F"/>
    <w:rsid w:val="4FD37123"/>
    <w:rsid w:val="509147A3"/>
    <w:rsid w:val="516E151E"/>
    <w:rsid w:val="522944EE"/>
    <w:rsid w:val="529731A8"/>
    <w:rsid w:val="52D31467"/>
    <w:rsid w:val="52EA6420"/>
    <w:rsid w:val="53244EC0"/>
    <w:rsid w:val="53397E9A"/>
    <w:rsid w:val="53476218"/>
    <w:rsid w:val="53E3425B"/>
    <w:rsid w:val="54C32A8D"/>
    <w:rsid w:val="5515639F"/>
    <w:rsid w:val="5539467D"/>
    <w:rsid w:val="584514A4"/>
    <w:rsid w:val="59634DA3"/>
    <w:rsid w:val="5A223A3E"/>
    <w:rsid w:val="5A780156"/>
    <w:rsid w:val="5BFC18C5"/>
    <w:rsid w:val="5CE22102"/>
    <w:rsid w:val="5CFD7773"/>
    <w:rsid w:val="5D174C06"/>
    <w:rsid w:val="5D680083"/>
    <w:rsid w:val="5D844211"/>
    <w:rsid w:val="5E2256DE"/>
    <w:rsid w:val="5FA00C05"/>
    <w:rsid w:val="608A522C"/>
    <w:rsid w:val="627267CE"/>
    <w:rsid w:val="62883238"/>
    <w:rsid w:val="62D36591"/>
    <w:rsid w:val="62E253A3"/>
    <w:rsid w:val="644F6962"/>
    <w:rsid w:val="662A192E"/>
    <w:rsid w:val="66AB3255"/>
    <w:rsid w:val="66E43096"/>
    <w:rsid w:val="67082A2A"/>
    <w:rsid w:val="674A43A9"/>
    <w:rsid w:val="6888602A"/>
    <w:rsid w:val="6A0A4761"/>
    <w:rsid w:val="6AEF61B1"/>
    <w:rsid w:val="6B6F612C"/>
    <w:rsid w:val="6CAF5864"/>
    <w:rsid w:val="6CC96494"/>
    <w:rsid w:val="6D9B3408"/>
    <w:rsid w:val="6DB278CC"/>
    <w:rsid w:val="709A779E"/>
    <w:rsid w:val="70CC3333"/>
    <w:rsid w:val="712D3C15"/>
    <w:rsid w:val="72333823"/>
    <w:rsid w:val="72487119"/>
    <w:rsid w:val="725773C9"/>
    <w:rsid w:val="725849B0"/>
    <w:rsid w:val="7455320B"/>
    <w:rsid w:val="74662AB9"/>
    <w:rsid w:val="76111657"/>
    <w:rsid w:val="766140F7"/>
    <w:rsid w:val="76776EDF"/>
    <w:rsid w:val="7770459D"/>
    <w:rsid w:val="78723C5E"/>
    <w:rsid w:val="78FC5F92"/>
    <w:rsid w:val="797A19D7"/>
    <w:rsid w:val="7BDC0033"/>
    <w:rsid w:val="7D910389"/>
    <w:rsid w:val="7DC132A4"/>
    <w:rsid w:val="7DDA5571"/>
    <w:rsid w:val="7E794DC0"/>
    <w:rsid w:val="7E867864"/>
    <w:rsid w:val="7EDA2B4E"/>
    <w:rsid w:val="7FB364D1"/>
    <w:rsid w:val="7FE849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0"/>
    <w:pPr>
      <w:tabs>
        <w:tab w:val="center" w:pos="4153"/>
        <w:tab w:val="right" w:pos="8306"/>
      </w:tabs>
      <w:snapToGrid w:val="0"/>
      <w:jc w:val="left"/>
    </w:pPr>
    <w:rPr>
      <w:sz w:val="18"/>
      <w:szCs w:val="18"/>
    </w:rPr>
  </w:style>
  <w:style w:type="paragraph" w:styleId="3">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toc 2"/>
    <w:basedOn w:val="1"/>
    <w:next w:val="1"/>
    <w:qFormat/>
    <w:uiPriority w:val="0"/>
    <w:pPr>
      <w:ind w:left="420" w:leftChars="200"/>
    </w:pPr>
    <w:rPr>
      <w:szCs w:val="24"/>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styleId="8">
    <w:name w:val="Strong"/>
    <w:basedOn w:val="7"/>
    <w:qFormat/>
    <w:uiPriority w:val="0"/>
    <w:rPr>
      <w:b/>
    </w:rPr>
  </w:style>
  <w:style w:type="character" w:styleId="9">
    <w:name w:val="page number"/>
    <w:basedOn w:val="7"/>
    <w:qFormat/>
    <w:uiPriority w:val="0"/>
  </w:style>
  <w:style w:type="character" w:customStyle="1" w:styleId="10">
    <w:name w:val="页眉 Char"/>
    <w:basedOn w:val="7"/>
    <w:link w:val="3"/>
    <w:qFormat/>
    <w:uiPriority w:val="0"/>
    <w:rPr>
      <w:sz w:val="18"/>
      <w:szCs w:val="18"/>
    </w:rPr>
  </w:style>
  <w:style w:type="character" w:customStyle="1" w:styleId="11">
    <w:name w:val="页脚 Char"/>
    <w:basedOn w:val="7"/>
    <w:link w:val="2"/>
    <w:qFormat/>
    <w:uiPriority w:val="0"/>
    <w:rPr>
      <w:sz w:val="18"/>
      <w:szCs w:val="18"/>
    </w:rPr>
  </w:style>
  <w:style w:type="paragraph" w:customStyle="1" w:styleId="12">
    <w:name w:val="列出段落1"/>
    <w:basedOn w:val="1"/>
    <w:qFormat/>
    <w:uiPriority w:val="0"/>
    <w:pPr>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B9F944-CD1F-4810-9013-D559D8946CF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700</Words>
  <Characters>3990</Characters>
  <Lines>33</Lines>
  <Paragraphs>9</Paragraphs>
  <TotalTime>5</TotalTime>
  <ScaleCrop>false</ScaleCrop>
  <LinksUpToDate>false</LinksUpToDate>
  <CharactersWithSpaces>4681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2021-08-30T07:31:00Z</dcterms:created>
  <dc:creator>fpb</dc:creator>
  <cp:lastModifiedBy>Administrator</cp:lastModifiedBy>
  <cp:lastPrinted>2021-08-17T02:41:00Z</cp:lastPrinted>
  <dcterms:modified xsi:type="dcterms:W3CDTF">2021-10-23T01:27:38Z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21E995E9E7B14A2B98C812D39AA94EC5</vt:lpwstr>
  </property>
</Properties>
</file>