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lang w:eastAsia="zh-CN"/>
        </w:rPr>
      </w:pP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lang w:eastAsia="zh-CN"/>
        </w:rPr>
      </w:pP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lang w:eastAsia="zh-CN"/>
        </w:rPr>
      </w:pPr>
    </w:p>
    <w:p>
      <w:pPr>
        <w:pStyle w:val="4"/>
        <w:widowControl w:val="0"/>
        <w:shd w:val="clear" w:color="auto" w:fill="FFFFFF"/>
        <w:spacing w:before="0" w:beforeAutospacing="0" w:after="0" w:afterAutospacing="0" w:line="560" w:lineRule="exact"/>
        <w:ind w:firstLine="732" w:firstLineChars="200"/>
        <w:jc w:val="center"/>
        <w:rPr>
          <w:rFonts w:hint="eastAsia" w:ascii="仿宋" w:hAnsi="仿宋" w:eastAsia="仿宋"/>
          <w:spacing w:val="23"/>
          <w:sz w:val="32"/>
          <w:szCs w:val="32"/>
          <w:lang w:val="en-US" w:eastAsia="zh-CN"/>
        </w:rPr>
      </w:pPr>
      <w:r>
        <w:rPr>
          <w:rFonts w:hint="eastAsia" w:ascii="仿宋" w:hAnsi="仿宋" w:eastAsia="仿宋"/>
          <w:spacing w:val="23"/>
          <w:sz w:val="32"/>
          <w:szCs w:val="32"/>
          <w:lang w:eastAsia="zh-CN"/>
        </w:rPr>
        <w:t>曲双随机办</w:t>
      </w:r>
      <w:r>
        <w:rPr>
          <w:rFonts w:hint="eastAsia" w:ascii="仿宋" w:hAnsi="仿宋" w:eastAsia="仿宋"/>
          <w:spacing w:val="23"/>
          <w:sz w:val="32"/>
          <w:szCs w:val="32"/>
          <w:lang w:val="en-US" w:eastAsia="zh-CN"/>
        </w:rPr>
        <w:t>〔2022〕6号</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lang w:val="en-US" w:eastAsia="zh-CN"/>
        </w:rPr>
      </w:pPr>
    </w:p>
    <w:p>
      <w:pPr>
        <w:pStyle w:val="4"/>
        <w:widowControl w:val="0"/>
        <w:shd w:val="clear" w:color="auto" w:fill="FFFFFF"/>
        <w:spacing w:before="0" w:beforeAutospacing="0" w:after="0" w:afterAutospacing="0" w:line="540" w:lineRule="atLeast"/>
        <w:jc w:val="center"/>
        <w:rPr>
          <w:rStyle w:val="7"/>
          <w:rFonts w:hint="eastAsia" w:asciiTheme="majorEastAsia" w:hAnsiTheme="majorEastAsia" w:eastAsiaTheme="majorEastAsia"/>
          <w:spacing w:val="23"/>
          <w:sz w:val="44"/>
          <w:szCs w:val="44"/>
          <w:lang w:eastAsia="zh-CN"/>
        </w:rPr>
      </w:pPr>
      <w:r>
        <w:rPr>
          <w:rStyle w:val="7"/>
          <w:rFonts w:hint="eastAsia" w:asciiTheme="majorEastAsia" w:hAnsiTheme="majorEastAsia" w:eastAsiaTheme="majorEastAsia"/>
          <w:spacing w:val="23"/>
          <w:sz w:val="44"/>
          <w:szCs w:val="44"/>
          <w:lang w:eastAsia="zh-CN"/>
        </w:rPr>
        <w:t>关于印发《</w:t>
      </w:r>
      <w:r>
        <w:rPr>
          <w:rStyle w:val="7"/>
          <w:rFonts w:hint="eastAsia" w:asciiTheme="majorEastAsia" w:hAnsiTheme="majorEastAsia" w:eastAsiaTheme="majorEastAsia"/>
          <w:spacing w:val="23"/>
          <w:sz w:val="44"/>
          <w:szCs w:val="44"/>
          <w:lang w:val="en-US" w:eastAsia="zh-CN"/>
        </w:rPr>
        <w:t>2022年曲阳县“双随机、一公开”联合抽查实施细则</w:t>
      </w:r>
      <w:r>
        <w:rPr>
          <w:rStyle w:val="7"/>
          <w:rFonts w:hint="eastAsia" w:asciiTheme="majorEastAsia" w:hAnsiTheme="majorEastAsia" w:eastAsiaTheme="majorEastAsia"/>
          <w:spacing w:val="23"/>
          <w:sz w:val="44"/>
          <w:szCs w:val="44"/>
          <w:lang w:eastAsia="zh-CN"/>
        </w:rPr>
        <w:t>》的通知</w:t>
      </w:r>
    </w:p>
    <w:p>
      <w:pPr>
        <w:pStyle w:val="4"/>
        <w:widowControl w:val="0"/>
        <w:shd w:val="clear" w:color="auto" w:fill="FFFFFF"/>
        <w:spacing w:before="0" w:beforeAutospacing="0" w:after="0" w:afterAutospacing="0" w:line="540" w:lineRule="atLeast"/>
        <w:jc w:val="both"/>
        <w:rPr>
          <w:rStyle w:val="7"/>
          <w:rFonts w:hint="eastAsia" w:ascii="仿宋" w:hAnsi="仿宋" w:eastAsia="仿宋" w:cs="仿宋"/>
          <w:b w:val="0"/>
          <w:bCs w:val="0"/>
          <w:spacing w:val="23"/>
          <w:sz w:val="32"/>
          <w:szCs w:val="32"/>
          <w:lang w:eastAsia="zh-CN"/>
        </w:rPr>
      </w:pPr>
    </w:p>
    <w:p>
      <w:pPr>
        <w:pStyle w:val="4"/>
        <w:widowControl w:val="0"/>
        <w:shd w:val="clear" w:color="auto" w:fill="FFFFFF"/>
        <w:spacing w:before="0" w:beforeAutospacing="0" w:after="0" w:afterAutospacing="0" w:line="540" w:lineRule="atLeast"/>
        <w:jc w:val="both"/>
        <w:rPr>
          <w:rStyle w:val="7"/>
          <w:rFonts w:hint="eastAsia" w:ascii="仿宋" w:hAnsi="仿宋" w:eastAsia="仿宋" w:cs="仿宋"/>
          <w:b w:val="0"/>
          <w:bCs w:val="0"/>
          <w:spacing w:val="23"/>
          <w:sz w:val="32"/>
          <w:szCs w:val="32"/>
          <w:lang w:eastAsia="zh-CN"/>
        </w:rPr>
      </w:pPr>
      <w:r>
        <w:rPr>
          <w:rStyle w:val="7"/>
          <w:rFonts w:hint="eastAsia" w:ascii="仿宋" w:hAnsi="仿宋" w:eastAsia="仿宋" w:cs="仿宋"/>
          <w:b w:val="0"/>
          <w:bCs w:val="0"/>
          <w:spacing w:val="23"/>
          <w:sz w:val="32"/>
          <w:szCs w:val="32"/>
          <w:lang w:eastAsia="zh-CN"/>
        </w:rPr>
        <w:t>县“双随机、一公开”监管工作领导小组各成员单位：</w:t>
      </w:r>
    </w:p>
    <w:p>
      <w:pPr>
        <w:pStyle w:val="4"/>
        <w:widowControl w:val="0"/>
        <w:shd w:val="clear" w:color="auto" w:fill="FFFFFF"/>
        <w:spacing w:before="0" w:beforeAutospacing="0" w:after="0" w:afterAutospacing="0" w:line="540" w:lineRule="atLeast"/>
        <w:ind w:firstLine="732" w:firstLineChars="200"/>
        <w:jc w:val="both"/>
        <w:rPr>
          <w:rStyle w:val="7"/>
          <w:rFonts w:hint="eastAsia" w:ascii="仿宋" w:hAnsi="仿宋" w:eastAsia="仿宋" w:cs="仿宋"/>
          <w:b w:val="0"/>
          <w:bCs w:val="0"/>
          <w:spacing w:val="23"/>
          <w:sz w:val="32"/>
          <w:szCs w:val="32"/>
          <w:lang w:eastAsia="zh-CN"/>
        </w:rPr>
      </w:pPr>
      <w:r>
        <w:rPr>
          <w:rStyle w:val="7"/>
          <w:rFonts w:hint="eastAsia" w:ascii="仿宋" w:hAnsi="仿宋" w:eastAsia="仿宋" w:cs="仿宋"/>
          <w:b w:val="0"/>
          <w:bCs w:val="0"/>
          <w:spacing w:val="23"/>
          <w:sz w:val="32"/>
          <w:szCs w:val="32"/>
          <w:lang w:eastAsia="zh-CN"/>
        </w:rPr>
        <w:t>为有效推进我县“双随机、一公开”联合抽查工作，县双随机办制定了《</w:t>
      </w:r>
      <w:r>
        <w:rPr>
          <w:rStyle w:val="7"/>
          <w:rFonts w:hint="eastAsia" w:ascii="仿宋" w:hAnsi="仿宋" w:eastAsia="仿宋" w:cs="仿宋"/>
          <w:b w:val="0"/>
          <w:bCs w:val="0"/>
          <w:spacing w:val="23"/>
          <w:sz w:val="32"/>
          <w:szCs w:val="32"/>
          <w:lang w:val="en-US" w:eastAsia="zh-CN"/>
        </w:rPr>
        <w:t>2022年曲阳县“双随机、一公开”联合抽查实施细则</w:t>
      </w:r>
      <w:r>
        <w:rPr>
          <w:rStyle w:val="7"/>
          <w:rFonts w:hint="eastAsia" w:ascii="仿宋" w:hAnsi="仿宋" w:eastAsia="仿宋" w:cs="仿宋"/>
          <w:b w:val="0"/>
          <w:bCs w:val="0"/>
          <w:spacing w:val="23"/>
          <w:sz w:val="32"/>
          <w:szCs w:val="32"/>
          <w:lang w:eastAsia="zh-CN"/>
        </w:rPr>
        <w:t>》，现印发给你们，请认真贯彻落实。</w:t>
      </w:r>
    </w:p>
    <w:p>
      <w:pPr>
        <w:pStyle w:val="4"/>
        <w:widowControl w:val="0"/>
        <w:shd w:val="clear" w:color="auto" w:fill="FFFFFF"/>
        <w:spacing w:before="0" w:beforeAutospacing="0" w:after="0" w:afterAutospacing="0" w:line="540" w:lineRule="atLeast"/>
        <w:jc w:val="both"/>
        <w:rPr>
          <w:rStyle w:val="7"/>
          <w:rFonts w:hint="eastAsia" w:ascii="仿宋" w:hAnsi="仿宋" w:eastAsia="仿宋" w:cs="仿宋"/>
          <w:b w:val="0"/>
          <w:bCs w:val="0"/>
          <w:spacing w:val="23"/>
          <w:sz w:val="32"/>
          <w:szCs w:val="32"/>
          <w:lang w:eastAsia="zh-CN"/>
        </w:rPr>
      </w:pPr>
    </w:p>
    <w:p>
      <w:pPr>
        <w:pStyle w:val="4"/>
        <w:widowControl w:val="0"/>
        <w:shd w:val="clear" w:color="auto" w:fill="FFFFFF"/>
        <w:spacing w:before="0" w:beforeAutospacing="0" w:after="0" w:afterAutospacing="0" w:line="540" w:lineRule="atLeast"/>
        <w:jc w:val="both"/>
        <w:rPr>
          <w:rStyle w:val="7"/>
          <w:rFonts w:hint="eastAsia" w:ascii="仿宋" w:hAnsi="仿宋" w:eastAsia="仿宋" w:cs="仿宋"/>
          <w:b w:val="0"/>
          <w:bCs w:val="0"/>
          <w:spacing w:val="23"/>
          <w:sz w:val="32"/>
          <w:szCs w:val="32"/>
          <w:lang w:eastAsia="zh-CN"/>
        </w:rPr>
      </w:pPr>
    </w:p>
    <w:p>
      <w:pPr>
        <w:pStyle w:val="4"/>
        <w:widowControl w:val="0"/>
        <w:shd w:val="clear" w:color="auto" w:fill="FFFFFF"/>
        <w:spacing w:before="0" w:beforeAutospacing="0" w:after="0" w:afterAutospacing="0" w:line="540" w:lineRule="atLeast"/>
        <w:jc w:val="both"/>
        <w:rPr>
          <w:rStyle w:val="7"/>
          <w:rFonts w:hint="eastAsia" w:ascii="仿宋" w:hAnsi="仿宋" w:eastAsia="仿宋" w:cs="仿宋"/>
          <w:b w:val="0"/>
          <w:bCs w:val="0"/>
          <w:spacing w:val="23"/>
          <w:sz w:val="32"/>
          <w:szCs w:val="32"/>
          <w:lang w:eastAsia="zh-CN"/>
        </w:rPr>
      </w:pPr>
    </w:p>
    <w:p>
      <w:pPr>
        <w:pStyle w:val="4"/>
        <w:widowControl w:val="0"/>
        <w:shd w:val="clear" w:color="auto" w:fill="FFFFFF"/>
        <w:spacing w:before="0" w:beforeAutospacing="0" w:after="0" w:afterAutospacing="0" w:line="540" w:lineRule="atLeast"/>
        <w:jc w:val="right"/>
        <w:rPr>
          <w:rStyle w:val="7"/>
          <w:rFonts w:hint="eastAsia" w:ascii="仿宋" w:hAnsi="仿宋" w:eastAsia="仿宋" w:cs="仿宋"/>
          <w:b w:val="0"/>
          <w:bCs w:val="0"/>
          <w:spacing w:val="23"/>
          <w:sz w:val="32"/>
          <w:szCs w:val="32"/>
          <w:lang w:eastAsia="zh-CN"/>
        </w:rPr>
      </w:pPr>
      <w:r>
        <w:rPr>
          <w:rStyle w:val="7"/>
          <w:rFonts w:hint="eastAsia" w:ascii="仿宋" w:hAnsi="仿宋" w:eastAsia="仿宋" w:cs="仿宋"/>
          <w:b w:val="0"/>
          <w:bCs w:val="0"/>
          <w:spacing w:val="23"/>
          <w:sz w:val="32"/>
          <w:szCs w:val="32"/>
          <w:lang w:eastAsia="zh-CN"/>
        </w:rPr>
        <w:t>曲阳县“双随机、一公开”</w:t>
      </w:r>
    </w:p>
    <w:p>
      <w:pPr>
        <w:pStyle w:val="4"/>
        <w:widowControl w:val="0"/>
        <w:shd w:val="clear" w:color="auto" w:fill="FFFFFF"/>
        <w:spacing w:before="0" w:beforeAutospacing="0" w:after="0" w:afterAutospacing="0" w:line="540" w:lineRule="atLeast"/>
        <w:jc w:val="center"/>
        <w:rPr>
          <w:rStyle w:val="7"/>
          <w:rFonts w:hint="eastAsia" w:ascii="仿宋" w:hAnsi="仿宋" w:eastAsia="仿宋" w:cs="仿宋"/>
          <w:b w:val="0"/>
          <w:bCs w:val="0"/>
          <w:spacing w:val="23"/>
          <w:sz w:val="32"/>
          <w:szCs w:val="32"/>
          <w:lang w:eastAsia="zh-CN"/>
        </w:rPr>
      </w:pPr>
      <w:r>
        <w:rPr>
          <w:rStyle w:val="7"/>
          <w:rFonts w:hint="eastAsia" w:ascii="仿宋" w:hAnsi="仿宋" w:eastAsia="仿宋" w:cs="仿宋"/>
          <w:b w:val="0"/>
          <w:bCs w:val="0"/>
          <w:spacing w:val="23"/>
          <w:sz w:val="32"/>
          <w:szCs w:val="32"/>
          <w:lang w:val="en-US" w:eastAsia="zh-CN"/>
        </w:rPr>
        <w:t xml:space="preserve">                        </w:t>
      </w:r>
      <w:r>
        <w:rPr>
          <w:rStyle w:val="7"/>
          <w:rFonts w:hint="eastAsia" w:ascii="仿宋" w:hAnsi="仿宋" w:eastAsia="仿宋" w:cs="仿宋"/>
          <w:b w:val="0"/>
          <w:bCs w:val="0"/>
          <w:spacing w:val="23"/>
          <w:sz w:val="32"/>
          <w:szCs w:val="32"/>
          <w:lang w:eastAsia="zh-CN"/>
        </w:rPr>
        <w:t>监管工作领导小组办公室</w:t>
      </w:r>
    </w:p>
    <w:p>
      <w:pPr>
        <w:pStyle w:val="4"/>
        <w:widowControl w:val="0"/>
        <w:shd w:val="clear" w:color="auto" w:fill="FFFFFF"/>
        <w:spacing w:before="0" w:beforeAutospacing="0" w:after="0" w:afterAutospacing="0" w:line="540" w:lineRule="atLeast"/>
        <w:jc w:val="center"/>
        <w:rPr>
          <w:rStyle w:val="7"/>
          <w:rFonts w:hint="eastAsia" w:ascii="仿宋" w:hAnsi="仿宋" w:eastAsia="仿宋" w:cs="仿宋"/>
          <w:b w:val="0"/>
          <w:bCs w:val="0"/>
          <w:spacing w:val="23"/>
          <w:sz w:val="32"/>
          <w:szCs w:val="32"/>
          <w:lang w:val="en-US" w:eastAsia="zh-CN"/>
        </w:rPr>
      </w:pPr>
      <w:r>
        <w:rPr>
          <w:rStyle w:val="7"/>
          <w:rFonts w:hint="eastAsia" w:ascii="仿宋" w:hAnsi="仿宋" w:eastAsia="仿宋" w:cs="仿宋"/>
          <w:b w:val="0"/>
          <w:bCs w:val="0"/>
          <w:spacing w:val="23"/>
          <w:sz w:val="32"/>
          <w:szCs w:val="32"/>
          <w:lang w:val="en-US" w:eastAsia="zh-CN"/>
        </w:rPr>
        <w:t xml:space="preserve">                       2022年3</w:t>
      </w:r>
      <w:bookmarkStart w:id="0" w:name="_GoBack"/>
      <w:bookmarkEnd w:id="0"/>
      <w:r>
        <w:rPr>
          <w:rStyle w:val="7"/>
          <w:rFonts w:hint="eastAsia" w:ascii="仿宋" w:hAnsi="仿宋" w:eastAsia="仿宋" w:cs="仿宋"/>
          <w:b w:val="0"/>
          <w:bCs w:val="0"/>
          <w:spacing w:val="23"/>
          <w:sz w:val="32"/>
          <w:szCs w:val="32"/>
          <w:lang w:val="en-US" w:eastAsia="zh-CN"/>
        </w:rPr>
        <w:t>月10日</w:t>
      </w:r>
    </w:p>
    <w:p>
      <w:pPr>
        <w:pStyle w:val="4"/>
        <w:widowControl w:val="0"/>
        <w:shd w:val="clear" w:color="auto" w:fill="FFFFFF"/>
        <w:spacing w:before="0" w:beforeAutospacing="0" w:after="0" w:afterAutospacing="0" w:line="540" w:lineRule="atLeast"/>
        <w:jc w:val="right"/>
        <w:rPr>
          <w:rStyle w:val="7"/>
          <w:rFonts w:hint="eastAsia" w:asciiTheme="majorEastAsia" w:hAnsiTheme="majorEastAsia" w:eastAsiaTheme="majorEastAsia"/>
          <w:spacing w:val="23"/>
          <w:sz w:val="44"/>
          <w:szCs w:val="44"/>
          <w:lang w:eastAsia="zh-CN"/>
        </w:rPr>
      </w:pPr>
    </w:p>
    <w:p>
      <w:pPr>
        <w:pStyle w:val="4"/>
        <w:widowControl w:val="0"/>
        <w:shd w:val="clear" w:color="auto" w:fill="FFFFFF"/>
        <w:spacing w:before="0" w:beforeAutospacing="0" w:after="0" w:afterAutospacing="0" w:line="540" w:lineRule="atLeast"/>
        <w:jc w:val="both"/>
        <w:rPr>
          <w:rStyle w:val="7"/>
          <w:rFonts w:hint="eastAsia" w:asciiTheme="majorEastAsia" w:hAnsiTheme="majorEastAsia" w:eastAsiaTheme="majorEastAsia"/>
          <w:spacing w:val="23"/>
          <w:sz w:val="44"/>
          <w:szCs w:val="44"/>
          <w:lang w:eastAsia="zh-CN"/>
        </w:rPr>
      </w:pPr>
    </w:p>
    <w:p>
      <w:pPr>
        <w:pStyle w:val="4"/>
        <w:widowControl w:val="0"/>
        <w:shd w:val="clear" w:color="auto" w:fill="FFFFFF"/>
        <w:spacing w:before="0" w:beforeAutospacing="0" w:after="0" w:afterAutospacing="0" w:line="540" w:lineRule="atLeast"/>
        <w:jc w:val="center"/>
        <w:rPr>
          <w:rStyle w:val="7"/>
          <w:rFonts w:hint="eastAsia" w:asciiTheme="majorEastAsia" w:hAnsiTheme="majorEastAsia" w:eastAsiaTheme="majorEastAsia"/>
          <w:spacing w:val="23"/>
          <w:sz w:val="44"/>
          <w:szCs w:val="44"/>
          <w:lang w:eastAsia="zh-CN"/>
        </w:rPr>
      </w:pPr>
    </w:p>
    <w:p>
      <w:pPr>
        <w:pStyle w:val="4"/>
        <w:widowControl w:val="0"/>
        <w:shd w:val="clear" w:color="auto" w:fill="FFFFFF"/>
        <w:spacing w:before="0" w:beforeAutospacing="0" w:after="0" w:afterAutospacing="0" w:line="540" w:lineRule="atLeast"/>
        <w:jc w:val="center"/>
        <w:rPr>
          <w:rStyle w:val="7"/>
          <w:rFonts w:hint="eastAsia" w:asciiTheme="majorEastAsia" w:hAnsiTheme="majorEastAsia" w:eastAsiaTheme="majorEastAsia"/>
          <w:spacing w:val="23"/>
          <w:sz w:val="44"/>
          <w:szCs w:val="44"/>
          <w:lang w:eastAsia="zh-CN"/>
        </w:rPr>
      </w:pPr>
    </w:p>
    <w:p>
      <w:pPr>
        <w:pStyle w:val="4"/>
        <w:widowControl w:val="0"/>
        <w:shd w:val="clear" w:color="auto" w:fill="FFFFFF"/>
        <w:spacing w:before="0" w:beforeAutospacing="0" w:after="0" w:afterAutospacing="0" w:line="540" w:lineRule="atLeast"/>
        <w:jc w:val="both"/>
        <w:rPr>
          <w:rStyle w:val="7"/>
          <w:rFonts w:hint="eastAsia" w:asciiTheme="majorEastAsia" w:hAnsiTheme="majorEastAsia" w:eastAsiaTheme="majorEastAsia"/>
          <w:spacing w:val="23"/>
          <w:sz w:val="44"/>
          <w:szCs w:val="44"/>
          <w:lang w:eastAsia="zh-CN"/>
        </w:rPr>
      </w:pPr>
    </w:p>
    <w:p>
      <w:pPr>
        <w:pStyle w:val="4"/>
        <w:widowControl w:val="0"/>
        <w:shd w:val="clear" w:color="auto" w:fill="FFFFFF"/>
        <w:spacing w:before="0" w:beforeAutospacing="0" w:after="0" w:afterAutospacing="0" w:line="540" w:lineRule="atLeast"/>
        <w:jc w:val="center"/>
        <w:rPr>
          <w:rFonts w:hint="eastAsia" w:asciiTheme="majorEastAsia" w:hAnsiTheme="majorEastAsia" w:eastAsiaTheme="majorEastAsia"/>
          <w:spacing w:val="23"/>
          <w:sz w:val="44"/>
          <w:szCs w:val="44"/>
        </w:rPr>
      </w:pPr>
      <w:r>
        <w:rPr>
          <w:rStyle w:val="7"/>
          <w:rFonts w:hint="eastAsia" w:asciiTheme="majorEastAsia" w:hAnsiTheme="majorEastAsia" w:eastAsiaTheme="majorEastAsia"/>
          <w:spacing w:val="23"/>
          <w:sz w:val="44"/>
          <w:szCs w:val="44"/>
          <w:lang w:eastAsia="zh-CN"/>
        </w:rPr>
        <w:t>曲阳</w:t>
      </w:r>
      <w:r>
        <w:rPr>
          <w:rStyle w:val="7"/>
          <w:rFonts w:hint="eastAsia" w:asciiTheme="majorEastAsia" w:hAnsiTheme="majorEastAsia" w:eastAsiaTheme="majorEastAsia"/>
          <w:spacing w:val="23"/>
          <w:sz w:val="44"/>
          <w:szCs w:val="44"/>
        </w:rPr>
        <w:t>县“双随机、一公开”</w:t>
      </w:r>
    </w:p>
    <w:p>
      <w:pPr>
        <w:pStyle w:val="4"/>
        <w:widowControl w:val="0"/>
        <w:shd w:val="clear" w:color="auto" w:fill="FFFFFF"/>
        <w:spacing w:before="0" w:beforeAutospacing="0" w:after="0" w:afterAutospacing="0" w:line="540" w:lineRule="atLeast"/>
        <w:jc w:val="center"/>
        <w:rPr>
          <w:rFonts w:hint="eastAsia" w:asciiTheme="majorEastAsia" w:hAnsiTheme="majorEastAsia" w:eastAsiaTheme="majorEastAsia"/>
          <w:spacing w:val="23"/>
          <w:sz w:val="44"/>
          <w:szCs w:val="44"/>
        </w:rPr>
      </w:pPr>
      <w:r>
        <w:rPr>
          <w:rStyle w:val="7"/>
          <w:rFonts w:hint="eastAsia" w:asciiTheme="majorEastAsia" w:hAnsiTheme="majorEastAsia" w:eastAsiaTheme="majorEastAsia"/>
          <w:spacing w:val="23"/>
          <w:sz w:val="44"/>
          <w:szCs w:val="44"/>
        </w:rPr>
        <w:t>联合抽查实施细则</w:t>
      </w:r>
    </w:p>
    <w:p>
      <w:pPr>
        <w:pStyle w:val="4"/>
        <w:widowControl w:val="0"/>
        <w:shd w:val="clear" w:color="auto" w:fill="FFFFFF"/>
        <w:spacing w:before="0" w:beforeAutospacing="0" w:after="0" w:afterAutospacing="0" w:line="560" w:lineRule="exact"/>
        <w:ind w:firstLine="735" w:firstLineChars="200"/>
        <w:jc w:val="center"/>
        <w:rPr>
          <w:rFonts w:hint="eastAsia" w:ascii="仿宋" w:hAnsi="仿宋" w:eastAsia="仿宋"/>
          <w:spacing w:val="23"/>
          <w:sz w:val="32"/>
          <w:szCs w:val="32"/>
        </w:rPr>
      </w:pPr>
      <w:r>
        <w:rPr>
          <w:rStyle w:val="7"/>
          <w:rFonts w:hint="eastAsia" w:eastAsia="仿宋"/>
          <w:spacing w:val="23"/>
          <w:sz w:val="32"/>
          <w:szCs w:val="32"/>
        </w:rPr>
        <w:t> </w:t>
      </w:r>
    </w:p>
    <w:p>
      <w:pPr>
        <w:pStyle w:val="4"/>
        <w:widowControl w:val="0"/>
        <w:shd w:val="clear" w:color="auto" w:fill="FFFFFF"/>
        <w:spacing w:before="0" w:beforeAutospacing="0" w:after="0" w:afterAutospacing="0" w:line="560" w:lineRule="exact"/>
        <w:ind w:firstLine="732" w:firstLineChars="200"/>
        <w:jc w:val="center"/>
        <w:rPr>
          <w:rFonts w:hint="eastAsia" w:ascii="黑体" w:hAnsi="黑体" w:eastAsia="黑体"/>
          <w:b/>
          <w:spacing w:val="23"/>
          <w:sz w:val="32"/>
          <w:szCs w:val="32"/>
        </w:rPr>
      </w:pPr>
      <w:r>
        <w:rPr>
          <w:rStyle w:val="7"/>
          <w:rFonts w:hint="eastAsia" w:ascii="黑体" w:hAnsi="黑体" w:eastAsia="黑体"/>
          <w:b w:val="0"/>
          <w:spacing w:val="23"/>
          <w:sz w:val="32"/>
          <w:szCs w:val="32"/>
        </w:rPr>
        <w:t>第一章</w:t>
      </w:r>
      <w:r>
        <w:rPr>
          <w:rStyle w:val="7"/>
          <w:rFonts w:ascii="Times New Roman" w:hAnsi="Times New Roman" w:eastAsia="黑体" w:cs="Times New Roman"/>
          <w:b w:val="0"/>
          <w:spacing w:val="23"/>
          <w:sz w:val="32"/>
          <w:szCs w:val="32"/>
        </w:rPr>
        <w:t>   </w:t>
      </w:r>
      <w:r>
        <w:rPr>
          <w:rStyle w:val="7"/>
          <w:rFonts w:hint="eastAsia" w:ascii="黑体" w:hAnsi="黑体" w:eastAsia="黑体"/>
          <w:b w:val="0"/>
          <w:spacing w:val="23"/>
          <w:sz w:val="32"/>
          <w:szCs w:val="32"/>
        </w:rPr>
        <w:t>总 则</w:t>
      </w:r>
      <w:r>
        <w:rPr>
          <w:rStyle w:val="7"/>
          <w:rFonts w:hint="eastAsia" w:eastAsia="黑体"/>
          <w:b w:val="0"/>
          <w:spacing w:val="23"/>
          <w:sz w:val="32"/>
          <w:szCs w:val="32"/>
        </w:rPr>
        <w:t> </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第一条</w:t>
      </w:r>
      <w:r>
        <w:rPr>
          <w:rFonts w:hint="eastAsia" w:ascii="仿宋" w:hAnsi="微软雅黑" w:eastAsia="仿宋"/>
          <w:spacing w:val="23"/>
          <w:sz w:val="32"/>
          <w:szCs w:val="32"/>
        </w:rPr>
        <w:t> </w:t>
      </w:r>
      <w:r>
        <w:rPr>
          <w:rFonts w:hint="eastAsia" w:ascii="仿宋" w:hAnsi="仿宋" w:eastAsia="仿宋"/>
          <w:spacing w:val="23"/>
          <w:sz w:val="32"/>
          <w:szCs w:val="32"/>
        </w:rPr>
        <w:t xml:space="preserve"> 为保障公平竞争，促进市场主体诚信自律，规范市场主体信息公示，强化市场主体信用约束，进一步创新事中事后监管方式，在各行政监管部门全面推行“双随机、一公开”联合抽查模式，结合我县实际，制定本《实施细则》。</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第二条</w:t>
      </w:r>
      <w:r>
        <w:rPr>
          <w:rFonts w:hint="eastAsia" w:ascii="仿宋" w:hAnsi="微软雅黑" w:eastAsia="仿宋"/>
          <w:spacing w:val="23"/>
          <w:sz w:val="32"/>
          <w:szCs w:val="32"/>
        </w:rPr>
        <w:t> </w:t>
      </w:r>
      <w:r>
        <w:rPr>
          <w:rFonts w:hint="eastAsia" w:ascii="仿宋" w:hAnsi="仿宋" w:eastAsia="仿宋"/>
          <w:spacing w:val="23"/>
          <w:sz w:val="32"/>
          <w:szCs w:val="32"/>
        </w:rPr>
        <w:t xml:space="preserve"> 全县采取政府主导、部门负责、企业参与的“双随机、一公开”联合抽查模式，是指在依法实施监督检查时，采取多部门联合检查，随机抽取被检查对象，随机选派执法检查人员，并将抽查结果在法定时限内向社会公开。</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第三条</w:t>
      </w:r>
      <w:r>
        <w:rPr>
          <w:rFonts w:hint="eastAsia" w:ascii="仿宋" w:hAnsi="微软雅黑" w:eastAsia="仿宋"/>
          <w:spacing w:val="23"/>
          <w:sz w:val="32"/>
          <w:szCs w:val="32"/>
        </w:rPr>
        <w:t> </w:t>
      </w:r>
      <w:r>
        <w:rPr>
          <w:rFonts w:hint="eastAsia" w:ascii="仿宋" w:hAnsi="仿宋" w:eastAsia="仿宋"/>
          <w:spacing w:val="23"/>
          <w:sz w:val="32"/>
          <w:szCs w:val="32"/>
        </w:rPr>
        <w:t>县“双随机、一公开”监管工作领导小组办公室负责“双随机、一公开”联合抽查工作的组织领导，建立健全市场主体随机抽查联合检查制度，制定具体措施，落实“双随机、一公开”联合抽查工作。</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按照公平规范的原则，随机抽取检查对象和检查人员，组织跨部门联合检查。</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第四条</w:t>
      </w:r>
      <w:r>
        <w:rPr>
          <w:rFonts w:hint="eastAsia" w:ascii="仿宋" w:hAnsi="微软雅黑" w:eastAsia="仿宋"/>
          <w:spacing w:val="23"/>
          <w:sz w:val="32"/>
          <w:szCs w:val="32"/>
        </w:rPr>
        <w:t> </w:t>
      </w:r>
      <w:r>
        <w:rPr>
          <w:rFonts w:hint="eastAsia" w:ascii="仿宋" w:hAnsi="仿宋" w:eastAsia="仿宋"/>
          <w:spacing w:val="23"/>
          <w:sz w:val="32"/>
          <w:szCs w:val="32"/>
        </w:rPr>
        <w:t xml:space="preserve"> 推行“双随机、一公开”联合抽查机制，是政府推行事中事后监管的手段之一，“双随机、一公开”联合抽查不替代专业性检查，更不能替代职能部门监管。</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双随机、一公开”联合抽查的实施原则是：统筹安排、综合实施，谁检查、谁录入、谁负责，公开、公正、透明，依法保护国家秘密、商业秘密和个人隐私。</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第五条</w:t>
      </w:r>
      <w:r>
        <w:rPr>
          <w:rFonts w:hint="eastAsia" w:ascii="仿宋" w:hAnsi="微软雅黑" w:eastAsia="仿宋"/>
          <w:spacing w:val="23"/>
          <w:sz w:val="32"/>
          <w:szCs w:val="32"/>
        </w:rPr>
        <w:t> </w:t>
      </w:r>
      <w:r>
        <w:rPr>
          <w:rFonts w:hint="eastAsia" w:ascii="仿宋" w:hAnsi="仿宋" w:eastAsia="仿宋"/>
          <w:spacing w:val="23"/>
          <w:sz w:val="32"/>
          <w:szCs w:val="32"/>
        </w:rPr>
        <w:t xml:space="preserve"> 统筹安排、综合实施，是指由县双随机办下发抽查计划，行政监管部门落实本部门的抽查事项，按照抽查计划，统一组织，联合实施检查。</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第六条</w:t>
      </w:r>
      <w:r>
        <w:rPr>
          <w:rFonts w:hint="eastAsia" w:ascii="仿宋" w:hAnsi="微软雅黑" w:eastAsia="仿宋"/>
          <w:spacing w:val="23"/>
          <w:sz w:val="32"/>
          <w:szCs w:val="32"/>
        </w:rPr>
        <w:t> </w:t>
      </w:r>
      <w:r>
        <w:rPr>
          <w:rFonts w:hint="eastAsia" w:ascii="仿宋" w:hAnsi="仿宋" w:eastAsia="仿宋"/>
          <w:spacing w:val="23"/>
          <w:sz w:val="32"/>
          <w:szCs w:val="32"/>
        </w:rPr>
        <w:t xml:space="preserve"> 谁检查、谁录入、谁负责，是指参与“双随机一公开”联合抽查的执法检查人员负责对抽查结果录入到“河北省双随机监管工作平台”。</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第七条</w:t>
      </w:r>
      <w:r>
        <w:rPr>
          <w:rFonts w:hint="eastAsia" w:ascii="仿宋" w:hAnsi="微软雅黑" w:eastAsia="仿宋"/>
          <w:spacing w:val="23"/>
          <w:sz w:val="32"/>
          <w:szCs w:val="32"/>
        </w:rPr>
        <w:t> </w:t>
      </w:r>
      <w:r>
        <w:rPr>
          <w:rFonts w:hint="eastAsia" w:ascii="仿宋" w:hAnsi="仿宋" w:eastAsia="仿宋"/>
          <w:spacing w:val="23"/>
          <w:sz w:val="32"/>
          <w:szCs w:val="32"/>
        </w:rPr>
        <w:t xml:space="preserve"> 公开、公正、透明，是指检查清单、检查计划、抽取结果、实施过程、检查结果公示等检查工作全过程应当依法、公开。</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第八条</w:t>
      </w:r>
      <w:r>
        <w:rPr>
          <w:rFonts w:hint="eastAsia" w:ascii="仿宋" w:hAnsi="微软雅黑" w:eastAsia="仿宋"/>
          <w:spacing w:val="23"/>
          <w:sz w:val="32"/>
          <w:szCs w:val="32"/>
        </w:rPr>
        <w:t> </w:t>
      </w:r>
      <w:r>
        <w:rPr>
          <w:rFonts w:hint="eastAsia" w:ascii="仿宋" w:hAnsi="仿宋" w:eastAsia="仿宋"/>
          <w:spacing w:val="23"/>
          <w:sz w:val="32"/>
          <w:szCs w:val="32"/>
        </w:rPr>
        <w:t xml:space="preserve"> 县“双随机、一公开”监管工作领导小组办公室负责领导“双随机一公开”联合抽查工作，市场监管部门负责组织协调具体工作。</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第九条</w:t>
      </w:r>
      <w:r>
        <w:rPr>
          <w:rFonts w:hint="eastAsia" w:ascii="仿宋" w:hAnsi="微软雅黑" w:eastAsia="仿宋"/>
          <w:spacing w:val="23"/>
          <w:sz w:val="32"/>
          <w:szCs w:val="32"/>
        </w:rPr>
        <w:t> </w:t>
      </w:r>
      <w:r>
        <w:rPr>
          <w:rFonts w:hint="eastAsia" w:ascii="仿宋" w:hAnsi="仿宋" w:eastAsia="仿宋"/>
          <w:spacing w:val="23"/>
          <w:sz w:val="32"/>
          <w:szCs w:val="32"/>
        </w:rPr>
        <w:t xml:space="preserve"> 各行政监管部门具体实施“双随机、一公开”联合抽查工作。</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随机抽取的执法人员，无法独立完成专业抽查事项的，由执法检查人员所在部门选派专业人员协助指导完成工作。</w:t>
      </w:r>
    </w:p>
    <w:p>
      <w:pPr>
        <w:pStyle w:val="4"/>
        <w:widowControl w:val="0"/>
        <w:shd w:val="clear" w:color="auto" w:fill="FFFFFF"/>
        <w:spacing w:before="0" w:beforeAutospacing="0" w:after="0" w:afterAutospacing="0" w:line="560" w:lineRule="exact"/>
        <w:ind w:firstLine="732" w:firstLineChars="200"/>
        <w:jc w:val="center"/>
        <w:rPr>
          <w:rStyle w:val="7"/>
          <w:rFonts w:hint="eastAsia" w:ascii="黑体" w:hAnsi="黑体" w:eastAsia="黑体"/>
        </w:rPr>
      </w:pPr>
      <w:r>
        <w:rPr>
          <w:rStyle w:val="7"/>
          <w:rFonts w:hint="eastAsia" w:ascii="黑体" w:hAnsi="黑体" w:eastAsia="黑体"/>
          <w:b w:val="0"/>
          <w:spacing w:val="23"/>
          <w:sz w:val="32"/>
          <w:szCs w:val="32"/>
        </w:rPr>
        <w:t>第二章</w:t>
      </w:r>
      <w:r>
        <w:rPr>
          <w:rStyle w:val="7"/>
          <w:rFonts w:ascii="黑体" w:hAnsi="黑体" w:eastAsia="黑体"/>
          <w:b w:val="0"/>
          <w:spacing w:val="23"/>
          <w:sz w:val="32"/>
          <w:szCs w:val="32"/>
        </w:rPr>
        <w:t>   </w:t>
      </w:r>
      <w:r>
        <w:rPr>
          <w:rStyle w:val="7"/>
          <w:rFonts w:hint="eastAsia" w:ascii="黑体" w:hAnsi="黑体" w:eastAsia="黑体"/>
          <w:b w:val="0"/>
          <w:spacing w:val="23"/>
          <w:sz w:val="32"/>
          <w:szCs w:val="32"/>
        </w:rPr>
        <w:t>建立“一单两库” </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第十条 各行政监管部门的“双随机、一公开”联合抽查工作实行全程电子化管理，通过“河北省双随机监管工作平台”操作和实现。</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第十一条</w:t>
      </w:r>
      <w:r>
        <w:rPr>
          <w:rFonts w:hint="eastAsia" w:ascii="仿宋" w:hAnsi="微软雅黑" w:eastAsia="仿宋"/>
          <w:spacing w:val="23"/>
          <w:sz w:val="32"/>
          <w:szCs w:val="32"/>
        </w:rPr>
        <w:t> </w:t>
      </w:r>
      <w:r>
        <w:rPr>
          <w:rFonts w:hint="eastAsia" w:ascii="仿宋" w:hAnsi="仿宋" w:eastAsia="仿宋"/>
          <w:spacing w:val="23"/>
          <w:sz w:val="32"/>
          <w:szCs w:val="32"/>
        </w:rPr>
        <w:t xml:space="preserve"> 各行政监管部门应当根据各自的监管清单，负责梳理本部门依法应当实施的监督检查职责，制定出适用于“双随机、一公开”联合抽查的随机抽查事项清单，明确检查项目、检查子项、检查内容、检查依据、检查方式、检查结果（填写正常或不正常）等，录入“河北省双随机监管工作平台”,并向社会公示。</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随机抽查事项清单，应当依据法律法规规章的立改废释、层级监督权限的调整等实际情况进行动态调整。</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第十二条</w:t>
      </w:r>
      <w:r>
        <w:rPr>
          <w:rFonts w:hint="eastAsia" w:ascii="仿宋" w:hAnsi="微软雅黑" w:eastAsia="仿宋"/>
          <w:spacing w:val="23"/>
          <w:sz w:val="32"/>
          <w:szCs w:val="32"/>
        </w:rPr>
        <w:t> </w:t>
      </w:r>
      <w:r>
        <w:rPr>
          <w:rFonts w:hint="eastAsia" w:ascii="仿宋" w:hAnsi="仿宋" w:eastAsia="仿宋"/>
          <w:spacing w:val="23"/>
          <w:sz w:val="32"/>
          <w:szCs w:val="32"/>
        </w:rPr>
        <w:t xml:space="preserve"> 各行政监管部门应当根据实际情况，建立本部门的执法检查人员名录库，录入“河北省双随机监管工作平台”。执法检查人员名录库随人员单位变动、岗位调整等因素实行动态管理。</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执法检查人员名录库，应当明确执法人员的身份信息：单位、姓名、职务、执法证（警官证）号、执法岗位、联系电话等。</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第十三条</w:t>
      </w:r>
      <w:r>
        <w:rPr>
          <w:rFonts w:hint="eastAsia" w:ascii="仿宋" w:hAnsi="微软雅黑" w:eastAsia="仿宋"/>
          <w:spacing w:val="23"/>
          <w:sz w:val="32"/>
          <w:szCs w:val="32"/>
        </w:rPr>
        <w:t> </w:t>
      </w:r>
      <w:r>
        <w:rPr>
          <w:rFonts w:hint="eastAsia" w:ascii="仿宋" w:hAnsi="仿宋" w:eastAsia="仿宋"/>
          <w:spacing w:val="23"/>
          <w:sz w:val="32"/>
          <w:szCs w:val="32"/>
        </w:rPr>
        <w:t xml:space="preserve"> 依托河北省经济户籍管理系统数据库，建立本辖区的检查对象名录库。</w:t>
      </w:r>
    </w:p>
    <w:p>
      <w:pPr>
        <w:pStyle w:val="4"/>
        <w:widowControl w:val="0"/>
        <w:shd w:val="clear" w:color="auto" w:fill="FFFFFF"/>
        <w:spacing w:before="0" w:beforeAutospacing="0" w:after="0" w:afterAutospacing="0" w:line="560" w:lineRule="exact"/>
        <w:ind w:firstLine="732" w:firstLineChars="200"/>
        <w:jc w:val="center"/>
        <w:rPr>
          <w:rFonts w:hint="eastAsia" w:ascii="仿宋" w:hAnsi="仿宋" w:eastAsia="仿宋"/>
          <w:spacing w:val="23"/>
          <w:sz w:val="32"/>
          <w:szCs w:val="32"/>
        </w:rPr>
      </w:pPr>
      <w:r>
        <w:rPr>
          <w:rStyle w:val="7"/>
          <w:rFonts w:hint="eastAsia" w:ascii="黑体" w:hAnsi="黑体" w:eastAsia="黑体"/>
          <w:b w:val="0"/>
          <w:spacing w:val="23"/>
          <w:sz w:val="32"/>
          <w:szCs w:val="32"/>
        </w:rPr>
        <w:t>第三章</w:t>
      </w:r>
      <w:r>
        <w:rPr>
          <w:rStyle w:val="7"/>
          <w:rFonts w:ascii="黑体" w:hAnsi="黑体" w:eastAsia="黑体"/>
          <w:b w:val="0"/>
          <w:spacing w:val="23"/>
          <w:sz w:val="32"/>
          <w:szCs w:val="32"/>
        </w:rPr>
        <w:t>   </w:t>
      </w:r>
      <w:r>
        <w:rPr>
          <w:rStyle w:val="7"/>
          <w:rFonts w:hint="eastAsia" w:ascii="黑体" w:hAnsi="黑体" w:eastAsia="黑体"/>
          <w:b w:val="0"/>
          <w:spacing w:val="23"/>
          <w:sz w:val="32"/>
          <w:szCs w:val="32"/>
        </w:rPr>
        <w:t>联合抽查的实施 </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第十四条</w:t>
      </w:r>
      <w:r>
        <w:rPr>
          <w:rFonts w:hint="eastAsia" w:ascii="仿宋" w:hAnsi="微软雅黑" w:eastAsia="仿宋"/>
          <w:spacing w:val="23"/>
          <w:sz w:val="32"/>
          <w:szCs w:val="32"/>
        </w:rPr>
        <w:t> </w:t>
      </w:r>
      <w:r>
        <w:rPr>
          <w:rFonts w:hint="eastAsia" w:ascii="仿宋" w:hAnsi="仿宋" w:eastAsia="仿宋"/>
          <w:spacing w:val="23"/>
          <w:sz w:val="32"/>
          <w:szCs w:val="32"/>
        </w:rPr>
        <w:t xml:space="preserve"> 年度抽查计划，应当明确被检查对象的范围、抽查的比例和频次、实施检查的时间等。制定年度抽查计划，要保证必要的被检查对象覆盖面和监管力度，防止过度检查。</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第十五条</w:t>
      </w:r>
      <w:r>
        <w:rPr>
          <w:rFonts w:hint="eastAsia" w:ascii="仿宋" w:hAnsi="微软雅黑" w:eastAsia="仿宋"/>
          <w:spacing w:val="23"/>
          <w:sz w:val="32"/>
          <w:szCs w:val="32"/>
        </w:rPr>
        <w:t> </w:t>
      </w:r>
      <w:r>
        <w:rPr>
          <w:rFonts w:hint="eastAsia" w:ascii="仿宋" w:hAnsi="仿宋" w:eastAsia="仿宋"/>
          <w:spacing w:val="23"/>
          <w:sz w:val="32"/>
          <w:szCs w:val="32"/>
        </w:rPr>
        <w:t xml:space="preserve"> 实施年度抽查计划，通过“河北省双随机监管工作平台”，采取系统随机抽取的方式，从检查对象名录库中确定被检查对象，从执法检查人员名录库中确定执法检查人员。被检查对象和检查人员确定后，由“河北省双随机监管工作平台”随机进行匹配，自动生成联合抽查表实施检查。</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第十六条</w:t>
      </w:r>
      <w:r>
        <w:rPr>
          <w:rFonts w:hint="eastAsia" w:ascii="仿宋" w:hAnsi="微软雅黑" w:eastAsia="仿宋"/>
          <w:spacing w:val="23"/>
          <w:sz w:val="32"/>
          <w:szCs w:val="32"/>
        </w:rPr>
        <w:t> </w:t>
      </w:r>
      <w:r>
        <w:rPr>
          <w:rFonts w:hint="eastAsia" w:ascii="仿宋" w:hAnsi="仿宋" w:eastAsia="仿宋"/>
          <w:spacing w:val="23"/>
          <w:sz w:val="32"/>
          <w:szCs w:val="32"/>
        </w:rPr>
        <w:t xml:space="preserve"> 通过“河北省双随机监管工作平台”抽取的执法检查人员一般不允许更换和交换。执法检查人员与被检查对象有利害关系，应依法回避或其他特殊原因需要更换执法人员的，经所在单位主管负责人批准方可调整，并报县“双随机、一公开”监管工作领导小组办公室备案。</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第十七条</w:t>
      </w:r>
      <w:r>
        <w:rPr>
          <w:rFonts w:hint="eastAsia" w:ascii="仿宋" w:hAnsi="微软雅黑" w:eastAsia="仿宋"/>
          <w:spacing w:val="23"/>
          <w:sz w:val="32"/>
          <w:szCs w:val="32"/>
        </w:rPr>
        <w:t> </w:t>
      </w:r>
      <w:r>
        <w:rPr>
          <w:rFonts w:hint="eastAsia" w:ascii="仿宋" w:hAnsi="仿宋" w:eastAsia="仿宋"/>
          <w:spacing w:val="23"/>
          <w:sz w:val="32"/>
          <w:szCs w:val="32"/>
        </w:rPr>
        <w:t xml:space="preserve"> 实施“双随机、一公开”联合抽查，每年应按照不低于</w:t>
      </w:r>
      <w:r>
        <w:rPr>
          <w:rFonts w:hint="eastAsia" w:ascii="仿宋" w:hAnsi="仿宋" w:eastAsia="仿宋"/>
          <w:spacing w:val="23"/>
          <w:sz w:val="32"/>
          <w:szCs w:val="32"/>
          <w:lang w:val="en-US" w:eastAsia="zh-CN"/>
        </w:rPr>
        <w:t>3</w:t>
      </w:r>
      <w:r>
        <w:rPr>
          <w:rFonts w:hint="eastAsia" w:ascii="仿宋" w:hAnsi="仿宋" w:eastAsia="仿宋"/>
          <w:spacing w:val="23"/>
          <w:sz w:val="32"/>
          <w:szCs w:val="32"/>
        </w:rPr>
        <w:t>%的比例，从检查对象名录库中随机抽取检查对象。被检查对象随机抽取后，由“河北省双随机监管工作平台”派发到各单位，由各单位专业管理人员在1个工作日内完成比对和确认。原则上，在同一年度内对同一企业的抽查次数不超过2次。</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第十八条</w:t>
      </w:r>
      <w:r>
        <w:rPr>
          <w:rFonts w:hint="eastAsia" w:ascii="仿宋" w:hAnsi="微软雅黑" w:eastAsia="仿宋"/>
          <w:spacing w:val="23"/>
          <w:sz w:val="32"/>
          <w:szCs w:val="32"/>
        </w:rPr>
        <w:t> </w:t>
      </w:r>
      <w:r>
        <w:rPr>
          <w:rFonts w:hint="eastAsia" w:ascii="仿宋" w:hAnsi="仿宋" w:eastAsia="仿宋"/>
          <w:spacing w:val="23"/>
          <w:sz w:val="32"/>
          <w:szCs w:val="32"/>
        </w:rPr>
        <w:t xml:space="preserve"> 参与“双随机、一公开”联合抽查的执法检查人员应当在检查完成后，向被检查对象反馈检查结果，并由被检查对象签字确认，被检查对象拒绝签字的应当在检查表上如实记录。</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第十九条</w:t>
      </w:r>
      <w:r>
        <w:rPr>
          <w:rFonts w:hint="eastAsia" w:ascii="仿宋" w:hAnsi="微软雅黑" w:eastAsia="仿宋"/>
          <w:spacing w:val="23"/>
          <w:sz w:val="32"/>
          <w:szCs w:val="32"/>
        </w:rPr>
        <w:t> </w:t>
      </w:r>
      <w:r>
        <w:rPr>
          <w:rFonts w:hint="eastAsia" w:ascii="仿宋" w:hAnsi="仿宋" w:eastAsia="仿宋"/>
          <w:spacing w:val="23"/>
          <w:sz w:val="32"/>
          <w:szCs w:val="32"/>
        </w:rPr>
        <w:t xml:space="preserve"> 实施现场检查一般采取信息比对、实地核查等方法进行，按照检查内容、程序和方法等统一标准和规范，由每次抽查的主动发起部门统一组织，一次性完成联合检查工作。</w:t>
      </w:r>
    </w:p>
    <w:p>
      <w:pPr>
        <w:pStyle w:val="4"/>
        <w:widowControl w:val="0"/>
        <w:shd w:val="clear" w:color="auto" w:fill="FFFFFF"/>
        <w:spacing w:before="0" w:beforeAutospacing="0" w:after="0" w:afterAutospacing="0" w:line="560" w:lineRule="exact"/>
        <w:ind w:firstLine="732" w:firstLineChars="200"/>
        <w:jc w:val="center"/>
        <w:rPr>
          <w:rStyle w:val="7"/>
          <w:rFonts w:hint="eastAsia" w:ascii="黑体" w:hAnsi="黑体" w:eastAsia="黑体"/>
        </w:rPr>
      </w:pPr>
      <w:r>
        <w:rPr>
          <w:rStyle w:val="7"/>
          <w:rFonts w:hint="eastAsia" w:ascii="黑体" w:hAnsi="黑体" w:eastAsia="黑体"/>
          <w:b w:val="0"/>
          <w:spacing w:val="23"/>
          <w:sz w:val="32"/>
          <w:szCs w:val="32"/>
        </w:rPr>
        <w:t>第四章</w:t>
      </w:r>
      <w:r>
        <w:rPr>
          <w:rStyle w:val="7"/>
          <w:rFonts w:ascii="黑体" w:hAnsi="黑体" w:eastAsia="黑体"/>
          <w:b w:val="0"/>
          <w:spacing w:val="23"/>
          <w:sz w:val="32"/>
          <w:szCs w:val="32"/>
        </w:rPr>
        <w:t>   </w:t>
      </w:r>
      <w:r>
        <w:rPr>
          <w:rStyle w:val="7"/>
          <w:rFonts w:hint="eastAsia" w:ascii="黑体" w:hAnsi="黑体" w:eastAsia="黑体"/>
          <w:b w:val="0"/>
          <w:spacing w:val="23"/>
          <w:sz w:val="32"/>
          <w:szCs w:val="32"/>
        </w:rPr>
        <w:t>抽查结果的处理</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第二十条</w:t>
      </w:r>
      <w:r>
        <w:rPr>
          <w:rFonts w:hint="eastAsia" w:ascii="仿宋" w:hAnsi="微软雅黑" w:eastAsia="仿宋"/>
          <w:spacing w:val="23"/>
          <w:sz w:val="32"/>
          <w:szCs w:val="32"/>
        </w:rPr>
        <w:t> </w:t>
      </w:r>
      <w:r>
        <w:rPr>
          <w:rFonts w:hint="eastAsia" w:ascii="仿宋" w:hAnsi="仿宋" w:eastAsia="仿宋"/>
          <w:spacing w:val="23"/>
          <w:sz w:val="32"/>
          <w:szCs w:val="32"/>
        </w:rPr>
        <w:t xml:space="preserve"> 执法检查人员应当自完成“双随机、一公开”联合抽查工作后5个工作日内将抽查结果录入“河北省双随机监管工作平台”，抽查结果由系统完成数据交换自动归集到市场主体名下，通过“河北省市场主体信用信息公示系统”向社会公示。</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第二十一条</w:t>
      </w:r>
      <w:r>
        <w:rPr>
          <w:rFonts w:hint="eastAsia" w:ascii="仿宋" w:hAnsi="微软雅黑" w:eastAsia="仿宋"/>
          <w:spacing w:val="23"/>
          <w:sz w:val="32"/>
          <w:szCs w:val="32"/>
        </w:rPr>
        <w:t> </w:t>
      </w:r>
      <w:r>
        <w:rPr>
          <w:rFonts w:hint="eastAsia" w:ascii="仿宋" w:hAnsi="仿宋" w:eastAsia="仿宋"/>
          <w:spacing w:val="23"/>
          <w:sz w:val="32"/>
          <w:szCs w:val="32"/>
        </w:rPr>
        <w:t xml:space="preserve"> 公民、法人和其他组织可以通过“河北省市场主体信用信息公示系统”查询抽查结果。</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第二十二条</w:t>
      </w:r>
      <w:r>
        <w:rPr>
          <w:rFonts w:hint="eastAsia" w:ascii="仿宋" w:hAnsi="微软雅黑" w:eastAsia="仿宋"/>
          <w:spacing w:val="23"/>
          <w:sz w:val="32"/>
          <w:szCs w:val="32"/>
        </w:rPr>
        <w:t> </w:t>
      </w:r>
      <w:r>
        <w:rPr>
          <w:rFonts w:hint="eastAsia" w:ascii="仿宋" w:hAnsi="仿宋" w:eastAsia="仿宋"/>
          <w:spacing w:val="23"/>
          <w:sz w:val="32"/>
          <w:szCs w:val="32"/>
        </w:rPr>
        <w:t xml:space="preserve"> 各行政监管部门对检查中发现的违法行为，按照“谁主管、谁负责”原则，落实下一步深入调查与处理，依法做出是否予以行政处罚、移送其他行政机关、移送司法机关等决定，并负责将处理结果进行公示。</w:t>
      </w:r>
    </w:p>
    <w:p>
      <w:pPr>
        <w:pStyle w:val="4"/>
        <w:widowControl w:val="0"/>
        <w:shd w:val="clear" w:color="auto" w:fill="FFFFFF"/>
        <w:spacing w:before="0" w:beforeAutospacing="0" w:after="0" w:afterAutospacing="0" w:line="560" w:lineRule="exact"/>
        <w:ind w:firstLine="732" w:firstLineChars="200"/>
        <w:jc w:val="center"/>
        <w:rPr>
          <w:rStyle w:val="7"/>
          <w:rFonts w:hint="eastAsia" w:ascii="黑体" w:hAnsi="黑体" w:eastAsia="黑体"/>
        </w:rPr>
      </w:pPr>
      <w:r>
        <w:rPr>
          <w:rStyle w:val="7"/>
          <w:rFonts w:hint="eastAsia" w:ascii="黑体" w:hAnsi="黑体" w:eastAsia="黑体"/>
          <w:b w:val="0"/>
          <w:spacing w:val="23"/>
          <w:sz w:val="32"/>
          <w:szCs w:val="32"/>
        </w:rPr>
        <w:t>第五章</w:t>
      </w:r>
      <w:r>
        <w:rPr>
          <w:rStyle w:val="7"/>
          <w:rFonts w:ascii="黑体" w:hAnsi="黑体" w:eastAsia="黑体"/>
          <w:b w:val="0"/>
          <w:spacing w:val="23"/>
          <w:sz w:val="32"/>
          <w:szCs w:val="32"/>
        </w:rPr>
        <w:t>   </w:t>
      </w:r>
      <w:r>
        <w:rPr>
          <w:rStyle w:val="7"/>
          <w:rFonts w:hint="eastAsia" w:ascii="黑体" w:hAnsi="黑体" w:eastAsia="黑体"/>
          <w:b w:val="0"/>
          <w:spacing w:val="23"/>
          <w:sz w:val="32"/>
          <w:szCs w:val="32"/>
        </w:rPr>
        <w:t>信用信息使用 </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第二十三条</w:t>
      </w:r>
      <w:r>
        <w:rPr>
          <w:rFonts w:hint="eastAsia" w:ascii="仿宋" w:hAnsi="微软雅黑" w:eastAsia="仿宋"/>
          <w:spacing w:val="23"/>
          <w:sz w:val="32"/>
          <w:szCs w:val="32"/>
        </w:rPr>
        <w:t> </w:t>
      </w:r>
      <w:r>
        <w:rPr>
          <w:rFonts w:hint="eastAsia" w:ascii="仿宋" w:hAnsi="仿宋" w:eastAsia="仿宋"/>
          <w:spacing w:val="23"/>
          <w:sz w:val="32"/>
          <w:szCs w:val="32"/>
        </w:rPr>
        <w:t xml:space="preserve"> 各相关部门在经营、投融资、取得政府供应土地、进出口、出入境、注册新公司、招投标、政府采购、取得荣誉、安全许可、生产经营许可、从业任职资格、资质审核、监督检查等工作中，应当将“双随机、一公开”联合抽查结果用于对市场主体的信用评价考量因素。</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第二十四条</w:t>
      </w:r>
      <w:r>
        <w:rPr>
          <w:rFonts w:hint="eastAsia" w:ascii="仿宋" w:hAnsi="微软雅黑" w:eastAsia="仿宋"/>
          <w:spacing w:val="23"/>
          <w:sz w:val="32"/>
          <w:szCs w:val="32"/>
        </w:rPr>
        <w:t> </w:t>
      </w:r>
      <w:r>
        <w:rPr>
          <w:rFonts w:hint="eastAsia" w:ascii="仿宋" w:hAnsi="仿宋" w:eastAsia="仿宋"/>
          <w:spacing w:val="23"/>
          <w:sz w:val="32"/>
          <w:szCs w:val="32"/>
        </w:rPr>
        <w:t>建立跨部门信用激励和联合惩戒机制，按照守信市场主体一路绿灯、失信市场主体处处受限的原则，实施从市场主体准入到退出的全过程信用约束。对被列入经营异常名录、严重违法失信市场主体名单等的失信市场主体依法采取限制或者禁入的惩戒措施。</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第二十五条</w:t>
      </w:r>
      <w:r>
        <w:rPr>
          <w:rFonts w:hint="eastAsia" w:ascii="仿宋" w:hAnsi="微软雅黑" w:eastAsia="仿宋"/>
          <w:spacing w:val="23"/>
          <w:sz w:val="32"/>
          <w:szCs w:val="32"/>
        </w:rPr>
        <w:t> </w:t>
      </w:r>
      <w:r>
        <w:rPr>
          <w:rFonts w:hint="eastAsia" w:ascii="仿宋" w:hAnsi="仿宋" w:eastAsia="仿宋"/>
          <w:spacing w:val="23"/>
          <w:sz w:val="32"/>
          <w:szCs w:val="32"/>
        </w:rPr>
        <w:t xml:space="preserve"> 参与“双随机、一公开”联合抽查的行政机关及其工作人员应当依法依规使用市场主体和执法人员信息，通过”河北省双随机监管工作平台”获取的市场主体和执法人员信息，不得用于本办法规定以外的其他用途。</w:t>
      </w:r>
    </w:p>
    <w:p>
      <w:pPr>
        <w:pStyle w:val="4"/>
        <w:widowControl w:val="0"/>
        <w:shd w:val="clear" w:color="auto" w:fill="FFFFFF"/>
        <w:spacing w:before="0" w:beforeAutospacing="0" w:after="0" w:afterAutospacing="0" w:line="560" w:lineRule="exact"/>
        <w:ind w:firstLine="732" w:firstLineChars="200"/>
        <w:jc w:val="both"/>
        <w:rPr>
          <w:rStyle w:val="7"/>
          <w:rFonts w:hint="eastAsia" w:ascii="黑体" w:hAnsi="黑体" w:eastAsia="黑体"/>
        </w:rPr>
      </w:pPr>
      <w:r>
        <w:rPr>
          <w:rFonts w:hint="eastAsia" w:ascii="仿宋" w:hAnsi="微软雅黑" w:eastAsia="仿宋"/>
          <w:spacing w:val="23"/>
          <w:sz w:val="32"/>
          <w:szCs w:val="32"/>
        </w:rPr>
        <w:t> </w:t>
      </w:r>
      <w:r>
        <w:rPr>
          <w:rStyle w:val="7"/>
          <w:rFonts w:hint="eastAsia" w:ascii="黑体" w:hAnsi="黑体" w:eastAsia="黑体"/>
          <w:b w:val="0"/>
          <w:spacing w:val="23"/>
          <w:sz w:val="32"/>
          <w:szCs w:val="32"/>
        </w:rPr>
        <w:t>第六章</w:t>
      </w:r>
      <w:r>
        <w:rPr>
          <w:rStyle w:val="7"/>
          <w:rFonts w:ascii="黑体" w:hAnsi="黑体" w:eastAsia="黑体"/>
          <w:b w:val="0"/>
          <w:spacing w:val="23"/>
          <w:sz w:val="32"/>
          <w:szCs w:val="32"/>
        </w:rPr>
        <w:t>   </w:t>
      </w:r>
      <w:r>
        <w:rPr>
          <w:rStyle w:val="7"/>
          <w:rFonts w:hint="eastAsia" w:ascii="黑体" w:hAnsi="黑体" w:eastAsia="黑体"/>
          <w:b w:val="0"/>
          <w:spacing w:val="23"/>
          <w:sz w:val="32"/>
          <w:szCs w:val="32"/>
        </w:rPr>
        <w:t>抽查结果的适用 </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第二十六条</w:t>
      </w:r>
      <w:r>
        <w:rPr>
          <w:rFonts w:hint="eastAsia" w:ascii="仿宋" w:hAnsi="微软雅黑" w:eastAsia="仿宋"/>
          <w:spacing w:val="23"/>
          <w:sz w:val="32"/>
          <w:szCs w:val="32"/>
        </w:rPr>
        <w:t> </w:t>
      </w:r>
      <w:r>
        <w:rPr>
          <w:rFonts w:hint="eastAsia" w:ascii="仿宋" w:hAnsi="仿宋" w:eastAsia="仿宋"/>
          <w:spacing w:val="23"/>
          <w:sz w:val="32"/>
          <w:szCs w:val="32"/>
        </w:rPr>
        <w:t xml:space="preserve"> 对法律法规明确的检查事项原则上都要实行随机抽查，对采取普查等检查方式的事项也要贯彻随机抽查的理念。</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第二十七条</w:t>
      </w:r>
      <w:r>
        <w:rPr>
          <w:rFonts w:hint="eastAsia" w:ascii="仿宋" w:hAnsi="微软雅黑" w:eastAsia="仿宋"/>
          <w:spacing w:val="23"/>
          <w:sz w:val="32"/>
          <w:szCs w:val="32"/>
        </w:rPr>
        <w:t> </w:t>
      </w:r>
      <w:r>
        <w:rPr>
          <w:rFonts w:hint="eastAsia" w:ascii="仿宋" w:hAnsi="仿宋" w:eastAsia="仿宋"/>
          <w:spacing w:val="23"/>
          <w:sz w:val="32"/>
          <w:szCs w:val="32"/>
        </w:rPr>
        <w:t xml:space="preserve"> 法律法规对监管方式有明确规定、国务院及国家各部委、省政府对监督检查事项有专门要求的以及被投诉举报的，应依法组织监督检查，可不适用“双随机、一公开”抽查方式。</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第二十八条</w:t>
      </w:r>
      <w:r>
        <w:rPr>
          <w:rFonts w:hint="eastAsia" w:ascii="仿宋" w:hAnsi="微软雅黑" w:eastAsia="仿宋"/>
          <w:spacing w:val="23"/>
          <w:sz w:val="32"/>
          <w:szCs w:val="32"/>
        </w:rPr>
        <w:t xml:space="preserve">  </w:t>
      </w:r>
      <w:r>
        <w:rPr>
          <w:rFonts w:hint="eastAsia" w:ascii="仿宋" w:hAnsi="仿宋" w:eastAsia="仿宋"/>
          <w:spacing w:val="23"/>
          <w:sz w:val="32"/>
          <w:szCs w:val="32"/>
        </w:rPr>
        <w:t>对信用较好、风险较低的市场主体，可降低抽查比例和频次。对投诉举报多、列入经营异常名录或者有严重违法违规记录等情况的市场主体，各行政机关应当运用综合手段，增加检查频次，加大执法检查力度。</w:t>
      </w:r>
    </w:p>
    <w:p>
      <w:pPr>
        <w:pStyle w:val="4"/>
        <w:widowControl w:val="0"/>
        <w:shd w:val="clear" w:color="auto" w:fill="FFFFFF"/>
        <w:spacing w:before="0" w:beforeAutospacing="0" w:after="0" w:afterAutospacing="0" w:line="560" w:lineRule="exact"/>
        <w:ind w:firstLine="732" w:firstLineChars="200"/>
        <w:jc w:val="center"/>
        <w:rPr>
          <w:rStyle w:val="7"/>
          <w:rFonts w:hint="eastAsia" w:ascii="黑体" w:hAnsi="黑体" w:eastAsia="黑体"/>
        </w:rPr>
      </w:pPr>
      <w:r>
        <w:rPr>
          <w:rStyle w:val="7"/>
          <w:rFonts w:hint="eastAsia" w:ascii="黑体" w:hAnsi="黑体" w:eastAsia="黑体"/>
          <w:b w:val="0"/>
          <w:spacing w:val="23"/>
          <w:sz w:val="32"/>
          <w:szCs w:val="32"/>
        </w:rPr>
        <w:t>第七章</w:t>
      </w:r>
      <w:r>
        <w:rPr>
          <w:rStyle w:val="7"/>
          <w:rFonts w:ascii="黑体" w:hAnsi="黑体" w:eastAsia="黑体"/>
          <w:b w:val="0"/>
          <w:spacing w:val="23"/>
          <w:sz w:val="32"/>
          <w:szCs w:val="32"/>
        </w:rPr>
        <w:t>   </w:t>
      </w:r>
      <w:r>
        <w:rPr>
          <w:rStyle w:val="7"/>
          <w:rFonts w:hint="eastAsia" w:ascii="黑体" w:hAnsi="黑体" w:eastAsia="黑体"/>
          <w:b w:val="0"/>
          <w:spacing w:val="23"/>
          <w:sz w:val="32"/>
          <w:szCs w:val="32"/>
        </w:rPr>
        <w:t>法律责任 </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第二十九条</w:t>
      </w:r>
      <w:r>
        <w:rPr>
          <w:rFonts w:hint="eastAsia" w:ascii="仿宋" w:hAnsi="微软雅黑" w:eastAsia="仿宋"/>
          <w:spacing w:val="23"/>
          <w:sz w:val="32"/>
          <w:szCs w:val="32"/>
        </w:rPr>
        <w:t> </w:t>
      </w:r>
      <w:r>
        <w:rPr>
          <w:rFonts w:hint="eastAsia" w:ascii="仿宋" w:hAnsi="仿宋" w:eastAsia="仿宋"/>
          <w:spacing w:val="23"/>
          <w:sz w:val="32"/>
          <w:szCs w:val="32"/>
        </w:rPr>
        <w:t xml:space="preserve"> 各行政监管部门开展“双随机、一公开”联合抽查工作，应当严格遵守法律法规规章制度，遵守工作纪律，依法行政，廉洁执法。</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第三十条</w:t>
      </w:r>
      <w:r>
        <w:rPr>
          <w:rFonts w:hint="eastAsia" w:ascii="仿宋" w:hAnsi="微软雅黑" w:eastAsia="仿宋"/>
          <w:spacing w:val="23"/>
          <w:sz w:val="32"/>
          <w:szCs w:val="32"/>
        </w:rPr>
        <w:t> </w:t>
      </w:r>
      <w:r>
        <w:rPr>
          <w:rFonts w:hint="eastAsia" w:ascii="仿宋" w:hAnsi="仿宋" w:eastAsia="仿宋"/>
          <w:spacing w:val="23"/>
          <w:sz w:val="32"/>
          <w:szCs w:val="32"/>
        </w:rPr>
        <w:t xml:space="preserve"> 各行政监管部门应当对其公示的市场主体信用信息的完整性、准确性和真实性负责。</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市场主体报送、公示的信用信息应当及时、准确、真实、合法，并承担因报送、公示错误和遗漏引起的法律责任。</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第三十一条</w:t>
      </w:r>
      <w:r>
        <w:rPr>
          <w:rFonts w:hint="eastAsia" w:ascii="仿宋" w:hAnsi="微软雅黑" w:eastAsia="仿宋"/>
          <w:spacing w:val="23"/>
          <w:sz w:val="32"/>
          <w:szCs w:val="32"/>
        </w:rPr>
        <w:t> </w:t>
      </w:r>
      <w:r>
        <w:rPr>
          <w:rFonts w:hint="eastAsia" w:ascii="仿宋" w:hAnsi="仿宋" w:eastAsia="仿宋"/>
          <w:spacing w:val="23"/>
          <w:sz w:val="32"/>
          <w:szCs w:val="32"/>
        </w:rPr>
        <w:t xml:space="preserve"> 各行政监管部门不依照本《实施细则》开展“双随机、一公开”联合抽查工作，造成严重后果的，依法依纪追究责任。</w:t>
      </w:r>
    </w:p>
    <w:p>
      <w:pPr>
        <w:pStyle w:val="4"/>
        <w:widowControl w:val="0"/>
        <w:shd w:val="clear" w:color="auto" w:fill="FFFFFF"/>
        <w:spacing w:before="0" w:beforeAutospacing="0" w:after="0" w:afterAutospacing="0" w:line="560" w:lineRule="exact"/>
        <w:ind w:firstLine="732" w:firstLineChars="200"/>
        <w:jc w:val="center"/>
        <w:rPr>
          <w:rStyle w:val="7"/>
          <w:rFonts w:hint="eastAsia" w:ascii="黑体" w:hAnsi="黑体" w:eastAsia="黑体"/>
        </w:rPr>
      </w:pPr>
      <w:r>
        <w:rPr>
          <w:rStyle w:val="7"/>
          <w:rFonts w:hint="eastAsia" w:ascii="黑体" w:hAnsi="黑体" w:eastAsia="黑体"/>
          <w:b w:val="0"/>
          <w:spacing w:val="23"/>
          <w:sz w:val="32"/>
          <w:szCs w:val="32"/>
        </w:rPr>
        <w:t>第八章</w:t>
      </w:r>
      <w:r>
        <w:rPr>
          <w:rStyle w:val="7"/>
          <w:rFonts w:ascii="黑体" w:hAnsi="黑体" w:eastAsia="黑体"/>
          <w:b w:val="0"/>
          <w:spacing w:val="23"/>
          <w:sz w:val="32"/>
          <w:szCs w:val="32"/>
        </w:rPr>
        <w:t>   </w:t>
      </w:r>
      <w:r>
        <w:rPr>
          <w:rStyle w:val="7"/>
          <w:rFonts w:hint="eastAsia" w:ascii="黑体" w:hAnsi="黑体" w:eastAsia="黑体"/>
          <w:b w:val="0"/>
          <w:spacing w:val="23"/>
          <w:sz w:val="32"/>
          <w:szCs w:val="32"/>
        </w:rPr>
        <w:t>附则</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第三十二条</w:t>
      </w:r>
      <w:r>
        <w:rPr>
          <w:rFonts w:hint="eastAsia" w:ascii="仿宋" w:hAnsi="微软雅黑" w:eastAsia="仿宋"/>
          <w:spacing w:val="23"/>
          <w:sz w:val="32"/>
          <w:szCs w:val="32"/>
        </w:rPr>
        <w:t> </w:t>
      </w:r>
      <w:r>
        <w:rPr>
          <w:rFonts w:hint="eastAsia" w:ascii="仿宋" w:hAnsi="仿宋" w:eastAsia="仿宋"/>
          <w:spacing w:val="23"/>
          <w:sz w:val="32"/>
          <w:szCs w:val="32"/>
        </w:rPr>
        <w:t xml:space="preserve"> 开展“双随机、一公开”联合抽查工作列入对各行政监管部门重点工作考评指标体系。</w:t>
      </w:r>
    </w:p>
    <w:p>
      <w:pPr>
        <w:pStyle w:val="4"/>
        <w:widowControl w:val="0"/>
        <w:shd w:val="clear" w:color="auto" w:fill="FFFFFF"/>
        <w:spacing w:before="0" w:beforeAutospacing="0" w:after="0" w:afterAutospacing="0" w:line="560" w:lineRule="exact"/>
        <w:ind w:firstLine="732" w:firstLineChars="200"/>
        <w:jc w:val="both"/>
        <w:rPr>
          <w:rFonts w:hint="eastAsia" w:ascii="仿宋" w:hAnsi="仿宋" w:eastAsia="仿宋"/>
          <w:spacing w:val="23"/>
          <w:sz w:val="32"/>
          <w:szCs w:val="32"/>
        </w:rPr>
      </w:pPr>
      <w:r>
        <w:rPr>
          <w:rFonts w:hint="eastAsia" w:ascii="仿宋" w:hAnsi="仿宋" w:eastAsia="仿宋"/>
          <w:spacing w:val="23"/>
          <w:sz w:val="32"/>
          <w:szCs w:val="32"/>
        </w:rPr>
        <w:t>第三十三条</w:t>
      </w:r>
      <w:r>
        <w:rPr>
          <w:rFonts w:hint="eastAsia" w:ascii="仿宋" w:hAnsi="微软雅黑" w:eastAsia="仿宋"/>
          <w:spacing w:val="23"/>
          <w:sz w:val="32"/>
          <w:szCs w:val="32"/>
        </w:rPr>
        <w:t> </w:t>
      </w:r>
      <w:r>
        <w:rPr>
          <w:rFonts w:hint="eastAsia" w:ascii="仿宋" w:hAnsi="仿宋" w:eastAsia="仿宋"/>
          <w:spacing w:val="23"/>
          <w:sz w:val="32"/>
          <w:szCs w:val="32"/>
        </w:rPr>
        <w:t xml:space="preserve"> 本</w:t>
      </w:r>
      <w:r>
        <w:rPr>
          <w:rFonts w:hint="eastAsia" w:ascii="仿宋" w:hAnsi="仿宋" w:eastAsia="仿宋"/>
          <w:spacing w:val="23"/>
          <w:sz w:val="32"/>
          <w:szCs w:val="32"/>
          <w:lang w:val="en-US" w:eastAsia="zh-CN"/>
        </w:rPr>
        <w:t>细则</w:t>
      </w:r>
      <w:r>
        <w:rPr>
          <w:rFonts w:hint="eastAsia" w:ascii="仿宋" w:hAnsi="仿宋" w:eastAsia="仿宋"/>
          <w:spacing w:val="23"/>
          <w:sz w:val="32"/>
          <w:szCs w:val="32"/>
        </w:rPr>
        <w:t>自印发之日起施行。</w:t>
      </w:r>
    </w:p>
    <w:p>
      <w:pPr>
        <w:widowControl w:val="0"/>
        <w:spacing w:line="220" w:lineRule="atLeast"/>
        <w:rPr>
          <w:rFonts w:hint="eastAsia" w:ascii="仿宋" w:hAnsi="仿宋" w:eastAsia="仿宋"/>
          <w:sz w:val="32"/>
          <w:szCs w:val="32"/>
        </w:rPr>
      </w:pPr>
      <w:r>
        <w:rPr>
          <w:rFonts w:hint="eastAsia" w:ascii="仿宋" w:hAnsi="仿宋" w:eastAsia="仿宋"/>
          <w:sz w:val="32"/>
          <w:szCs w:val="32"/>
        </w:rPr>
        <w:t xml:space="preserve">  </w:t>
      </w:r>
    </w:p>
    <w:p>
      <w:pPr>
        <w:widowControl w:val="0"/>
        <w:spacing w:line="220" w:lineRule="atLeast"/>
        <w:jc w:val="right"/>
        <w:rPr>
          <w:rFonts w:hint="eastAsia" w:ascii="仿宋" w:hAnsi="仿宋" w:eastAsia="仿宋"/>
          <w:sz w:val="32"/>
          <w:szCs w:val="32"/>
        </w:rPr>
      </w:pPr>
    </w:p>
    <w:p>
      <w:pPr>
        <w:widowControl w:val="0"/>
        <w:spacing w:line="220" w:lineRule="atLeast"/>
        <w:jc w:val="right"/>
        <w:rPr>
          <w:rFonts w:ascii="仿宋" w:hAnsi="仿宋" w:eastAsia="仿宋"/>
          <w:sz w:val="32"/>
          <w:szCs w:val="32"/>
        </w:rPr>
      </w:pPr>
    </w:p>
    <w:sectPr>
      <w:pgSz w:w="11906" w:h="16838"/>
      <w:pgMar w:top="2041" w:right="1531" w:bottom="2041" w:left="153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N2NkYzVjNTRlYTEwNjFiNzJkOWNjOTdlYjIxNDIifQ=="/>
  </w:docVars>
  <w:rsids>
    <w:rsidRoot w:val="00D31D50"/>
    <w:rsid w:val="00323B43"/>
    <w:rsid w:val="003D37D8"/>
    <w:rsid w:val="00426133"/>
    <w:rsid w:val="004358AB"/>
    <w:rsid w:val="008B7726"/>
    <w:rsid w:val="00AB0BE2"/>
    <w:rsid w:val="00C53814"/>
    <w:rsid w:val="00D31D50"/>
    <w:rsid w:val="00F47B0B"/>
    <w:rsid w:val="1F895FB3"/>
    <w:rsid w:val="38EB1D73"/>
    <w:rsid w:val="40A40773"/>
    <w:rsid w:val="471854E8"/>
    <w:rsid w:val="68237C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 w:type="character" w:customStyle="1" w:styleId="10">
    <w:name w:val="NormalCharacter"/>
    <w:link w:val="1"/>
    <w:semiHidden/>
    <w:qFormat/>
    <w:uiPriority w:val="0"/>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3178</Words>
  <Characters>3192</Characters>
  <Lines>72</Lines>
  <Paragraphs>36</Paragraphs>
  <TotalTime>3</TotalTime>
  <ScaleCrop>false</ScaleCrop>
  <LinksUpToDate>false</LinksUpToDate>
  <CharactersWithSpaces>3337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qijianke</dc:creator>
  <cp:lastModifiedBy>Administrator</cp:lastModifiedBy>
  <dcterms:modified xsi:type="dcterms:W3CDTF">2022-07-12T00:54:31Z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51E5FF3E709A4C0D972BF39861B85A6C</vt:lpwstr>
  </property>
</Properties>
</file>