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曲阳县邸村镇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 w:val="0"/>
          <w:color w:val="333333"/>
          <w:sz w:val="44"/>
          <w:szCs w:val="44"/>
        </w:rPr>
      </w:pP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/>
          <w:b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20"/>
        <w:jc w:val="both"/>
        <w:textAlignment w:val="auto"/>
        <w:rPr>
          <w:rFonts w:hint="eastAsia"/>
          <w:color w:val="333333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42" w:firstLineChars="231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（一）2022年我镇对外公开政府信息情况。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根据便民、高效、优质、服务的原则，规范了权力运行，转变了工作作风，极大改善了服务环境。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（二）政府信息公开渠道建设情况。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通过河北政务服务网及时更新各类便民服务事项，方便群众知晓高龄补贴、生育登记证、独生子女证、粮食补贴、党员关系流转、残疾人补贴等事项的流程、要求及需要提交的资料等各类信息；通过村级公示栏、明白纸等方式，全面准确及时公开发布脱贫攻坚、环境治理、型煤推广、民政等涉及面广、社会关注度高的信息；充分利用微信群、“邸村发布”公众号等方式及时发布邸村镇各类信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 </w:t>
      </w:r>
    </w:p>
    <w:tbl>
      <w:tblPr>
        <w:tblStyle w:val="5"/>
        <w:tblW w:w="9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172"/>
        <w:gridCol w:w="2172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7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0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558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333333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宋体"/>
                <w:sz w:val="24"/>
              </w:rPr>
            </w:pPr>
            <w:r>
              <w:rPr>
                <w:rFonts w:asci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742" w:firstLineChars="231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（一）存在的主要问题和困难：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信息公开不及时、个别业务人员业务知识有待提高。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val="en-US" w:eastAsia="zh-CN"/>
        </w:rPr>
        <w:t>（二）整改措施：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加大信息公开的学习力度，开展业务人员培训增强业务人员的责任意识和服务意识。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left="0" w:right="0" w:firstLine="642"/>
        <w:jc w:val="righ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</w:pPr>
    </w:p>
    <w:p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WFiN2U1NTVhYzk4ZDBiOTliYTgzZmY1ODhhZTQifQ=="/>
  </w:docVars>
  <w:rsids>
    <w:rsidRoot w:val="3E5B229F"/>
    <w:rsid w:val="03BE06A7"/>
    <w:rsid w:val="0E9B2F30"/>
    <w:rsid w:val="15472DA1"/>
    <w:rsid w:val="1C462855"/>
    <w:rsid w:val="1E610EEA"/>
    <w:rsid w:val="1F7F7E30"/>
    <w:rsid w:val="202121CF"/>
    <w:rsid w:val="21834B17"/>
    <w:rsid w:val="230970D5"/>
    <w:rsid w:val="2EFF27D2"/>
    <w:rsid w:val="3E5B229F"/>
    <w:rsid w:val="4C953426"/>
    <w:rsid w:val="62C958D6"/>
    <w:rsid w:val="6BCA3CC8"/>
    <w:rsid w:val="6F273FA3"/>
    <w:rsid w:val="72826491"/>
    <w:rsid w:val="73BA60FA"/>
    <w:rsid w:val="76AE4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1189</Words>
  <Characters>1214</Characters>
  <Lines>0</Lines>
  <Paragraphs>0</Paragraphs>
  <TotalTime>0</TotalTime>
  <ScaleCrop>false</ScaleCrop>
  <LinksUpToDate>false</LinksUpToDate>
  <CharactersWithSpaces>1417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晨曦</cp:lastModifiedBy>
  <cp:lastPrinted>2022-01-27T04:36:00Z</cp:lastPrinted>
  <dcterms:modified xsi:type="dcterms:W3CDTF">2023-03-23T02:46:51Z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357A019C3F2B4BE4BF94EC86806C0567</vt:lpwstr>
  </property>
</Properties>
</file>