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60" w:lineRule="exact"/>
        <w:jc w:val="center"/>
        <w:rPr>
          <w:rFonts w:hint="eastAsia"/>
          <w:b/>
          <w:color w:val="333333"/>
          <w:sz w:val="44"/>
          <w:szCs w:val="44"/>
          <w:shd w:val="clear" w:color="auto" w:fill="FFFFFF"/>
        </w:rPr>
      </w:pPr>
      <w:r>
        <w:rPr>
          <w:rFonts w:hint="eastAsia"/>
          <w:b/>
          <w:color w:val="333333"/>
          <w:sz w:val="44"/>
          <w:szCs w:val="44"/>
          <w:shd w:val="clear" w:color="auto" w:fill="FFFFFF"/>
          <w:lang w:eastAsia="zh-CN"/>
        </w:rPr>
        <w:t>曲阳县</w:t>
      </w:r>
      <w:r>
        <w:rPr>
          <w:rFonts w:hint="eastAsia"/>
          <w:b/>
          <w:color w:val="333333"/>
          <w:sz w:val="44"/>
          <w:szCs w:val="44"/>
          <w:shd w:val="clear" w:color="auto" w:fill="FFFFFF"/>
        </w:rPr>
        <w:t>范家庄乡</w:t>
      </w:r>
    </w:p>
    <w:p>
      <w:pPr>
        <w:pStyle w:val="2"/>
        <w:shd w:val="clear" w:color="auto" w:fill="FFFFFF"/>
        <w:spacing w:before="0" w:beforeAutospacing="0" w:after="0" w:afterAutospacing="0" w:line="560" w:lineRule="exact"/>
        <w:jc w:val="center"/>
        <w:rPr>
          <w:b/>
          <w:color w:val="333333"/>
          <w:sz w:val="44"/>
          <w:szCs w:val="44"/>
          <w:shd w:val="clear" w:color="auto" w:fill="FFFFFF"/>
        </w:rPr>
      </w:pPr>
      <w:r>
        <w:rPr>
          <w:rFonts w:hint="eastAsia"/>
          <w:b/>
          <w:color w:val="333333"/>
          <w:sz w:val="44"/>
          <w:szCs w:val="44"/>
          <w:shd w:val="clear" w:color="auto" w:fill="FFFFFF"/>
          <w:lang w:val="en-US" w:eastAsia="zh-CN"/>
        </w:rPr>
        <w:t>2022年</w:t>
      </w:r>
      <w:r>
        <w:rPr>
          <w:rFonts w:hint="eastAsia"/>
          <w:b/>
          <w:color w:val="333333"/>
          <w:sz w:val="44"/>
          <w:szCs w:val="44"/>
          <w:shd w:val="clear" w:color="auto" w:fill="FFFFFF"/>
        </w:rPr>
        <w:t>政府信息公开工作年度报告</w:t>
      </w:r>
    </w:p>
    <w:p>
      <w:pPr>
        <w:pStyle w:val="2"/>
        <w:shd w:val="clear" w:color="auto" w:fill="FFFFFF"/>
        <w:spacing w:before="0" w:beforeAutospacing="0" w:after="0" w:afterAutospacing="0" w:line="560" w:lineRule="exact"/>
        <w:jc w:val="center"/>
        <w:rPr>
          <w:b/>
          <w:color w:val="333333"/>
          <w:sz w:val="44"/>
          <w:szCs w:val="44"/>
          <w:shd w:val="clear" w:color="auto" w:fill="FFFFFF"/>
        </w:rPr>
      </w:pPr>
    </w:p>
    <w:p>
      <w:pPr>
        <w:pStyle w:val="2"/>
        <w:shd w:val="clear" w:color="auto" w:fill="FFFFFF"/>
        <w:spacing w:before="0" w:beforeAutospacing="0" w:after="0" w:afterAutospacing="0" w:line="560" w:lineRule="exact"/>
        <w:ind w:firstLine="627" w:firstLineChars="196"/>
        <w:jc w:val="both"/>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一、总体情况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2022年，我乡根据《中华人民共和国政府信息公开条例》和国务院办公厅政府信息与政务公开办公室关于做好政府信息公开工作年度报告有关事项的通知要求，结合实际，不断完善政府信息公开的运作流程和审核机制，有效地推动信息公开工作，现将2022年度政府信息公开工作报告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楷体" w:hAnsi="楷体" w:eastAsia="楷体" w:cs="宋体"/>
          <w:color w:val="333333"/>
          <w:kern w:val="0"/>
          <w:szCs w:val="32"/>
        </w:rPr>
      </w:pPr>
      <w:r>
        <w:rPr>
          <w:rFonts w:hint="eastAsia" w:ascii="楷体" w:hAnsi="楷体" w:eastAsia="楷体" w:cs="宋体"/>
          <w:bCs/>
          <w:color w:val="333333"/>
          <w:kern w:val="0"/>
          <w:szCs w:val="32"/>
        </w:rPr>
        <w:t>（一）工作机构和人员设置情况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设立政务公开工作领导小组及办公室成员，明确由乡长担任组长，由分管政务信息工作的领导担任副组长兼任政务公开办公室主任，乡党政办工作人员及有关部门负责人为成员，负责研究、协调、推进政府信息公开，同时，明确乡党政办具体负责处理日常事务工作，做到了机构健全，专人落实，确保政府信息公开工作真正落到实处，各项工作顺利有序开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楷体" w:hAnsi="楷体" w:eastAsia="楷体" w:cs="宋体"/>
          <w:color w:val="333333"/>
          <w:kern w:val="0"/>
          <w:szCs w:val="32"/>
        </w:rPr>
      </w:pPr>
      <w:r>
        <w:rPr>
          <w:rFonts w:hint="eastAsia" w:ascii="楷体" w:hAnsi="楷体" w:eastAsia="楷体" w:cs="宋体"/>
          <w:bCs/>
          <w:color w:val="333333"/>
          <w:kern w:val="0"/>
          <w:szCs w:val="32"/>
        </w:rPr>
        <w:t>（二）建立健全政府信息公开工作制度情况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为推动我乡政府信息公开工作规范、有序地开展，根据县政府及县行政审批局的有关要求，进一步更新完善《范家庄乡人民政府信息公开工作制度》、《范家庄乡人民政府依申请公开政府信息工作制度》等工作机制，并严格按照制度要求认真贯彻落实，做到政府信息公开工作经常化、制度化、规范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楷体" w:hAnsi="楷体" w:eastAsia="楷体" w:cs="宋体"/>
          <w:color w:val="333333"/>
          <w:kern w:val="0"/>
          <w:szCs w:val="32"/>
        </w:rPr>
      </w:pPr>
      <w:r>
        <w:rPr>
          <w:rFonts w:hint="eastAsia" w:ascii="楷体" w:hAnsi="楷体" w:eastAsia="楷体" w:cs="宋体"/>
          <w:bCs/>
          <w:color w:val="333333"/>
          <w:kern w:val="0"/>
          <w:szCs w:val="32"/>
        </w:rPr>
        <w:t>（三）政府信息公开目录、公开指南的编制、更新情况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根据工作实际，我乡及时全面梳理、更新、完善并公布《范家庄乡人民政府信息公开目录》、《范家庄乡人民政府信息公开指南》，进一步明确主动公开政府信息的范围、形式、时限及依申请公开政府信息的受理机构、机构地址和联系方式、受理程序等信息，方便公众及时、准确、有效地获得范家庄乡政府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楷体" w:hAnsi="楷体" w:eastAsia="楷体" w:cs="宋体"/>
          <w:color w:val="333333"/>
          <w:kern w:val="0"/>
          <w:szCs w:val="32"/>
        </w:rPr>
      </w:pPr>
      <w:r>
        <w:rPr>
          <w:rFonts w:hint="eastAsia" w:ascii="楷体" w:hAnsi="楷体" w:eastAsia="楷体" w:cs="宋体"/>
          <w:bCs/>
          <w:color w:val="333333"/>
          <w:kern w:val="0"/>
          <w:szCs w:val="32"/>
        </w:rPr>
        <w:t>（四）政府信息公开平台的建设、运行情况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范家庄乡人民政府高度重视政府信息公开工作，把政府信息公开工作作为一项重要任务纳入议事日程，指定乡分管人大副主席兼任范家庄乡行政综合服务中心主任，负责管理、协调、处理</w:t>
      </w:r>
      <w:bookmarkStart w:id="0" w:name="_Hlk94341537"/>
      <w:r>
        <w:rPr>
          <w:rFonts w:hint="eastAsia" w:ascii="仿宋" w:hAnsi="仿宋" w:eastAsia="仿宋" w:cs="仿宋"/>
          <w:color w:val="333333"/>
          <w:sz w:val="32"/>
          <w:szCs w:val="32"/>
          <w:shd w:val="clear" w:color="auto" w:fill="FFFFFF"/>
        </w:rPr>
        <w:t>乡行政综合服务中心</w:t>
      </w:r>
      <w:bookmarkEnd w:id="0"/>
      <w:r>
        <w:rPr>
          <w:rFonts w:hint="eastAsia" w:ascii="仿宋" w:hAnsi="仿宋" w:eastAsia="仿宋" w:cs="仿宋"/>
          <w:color w:val="333333"/>
          <w:sz w:val="32"/>
          <w:szCs w:val="32"/>
          <w:shd w:val="clear" w:color="auto" w:fill="FFFFFF"/>
        </w:rPr>
        <w:t>的日常事务工作，并明确要求乡直各公开单位成员安排专人到乡行政综合服务中心开展业务办理工作；积极利用乡村政务公开栏、设置政府信息查阅点等公开平台，公开有关我乡政府的工作动态、工作流程、计划总结、政策信息、规范性文件等内容，使广大社会群体能够及时了解我乡信息。2022年，我乡正常、规范使用县政府门户网站，并按要求及时报送相关文件材料，政府信息公开运行情况正常。</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楷体" w:hAnsi="楷体" w:eastAsia="楷体" w:cs="宋体"/>
          <w:color w:val="333333"/>
          <w:kern w:val="0"/>
          <w:szCs w:val="32"/>
        </w:rPr>
      </w:pPr>
      <w:r>
        <w:rPr>
          <w:rFonts w:hint="eastAsia" w:ascii="楷体" w:hAnsi="楷体" w:eastAsia="楷体" w:cs="宋体"/>
          <w:bCs/>
          <w:color w:val="333333"/>
          <w:kern w:val="0"/>
          <w:szCs w:val="32"/>
        </w:rPr>
        <w:t>（五）政府信息公开监督保障情况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2022年，我乡积极配合县行政审批局的专项检查，对检查中发现的问题清单举一反三、立行立改，乡纪委发挥日常监督职能，确保政府信息公开正常、规范运行。按照要求做好政府信息公开绩效报送工作，结合我乡实际，为切实提高我乡各部门及村相关业务负责人能力水平，举办政府信息公开等培训会，讲解操作注意事项，提升政府信息公开意识。</w:t>
      </w:r>
    </w:p>
    <w:p>
      <w:pPr>
        <w:pStyle w:val="2"/>
        <w:shd w:val="clear" w:color="auto" w:fill="FFFFFF"/>
        <w:spacing w:before="0" w:beforeAutospacing="0" w:after="240" w:afterAutospacing="0" w:line="560" w:lineRule="exact"/>
        <w:ind w:firstLine="420"/>
        <w:jc w:val="both"/>
        <w:rPr>
          <w:rFonts w:ascii="黑体" w:hAnsi="黑体" w:eastAsia="黑体"/>
          <w:color w:val="333333"/>
          <w:sz w:val="32"/>
          <w:szCs w:val="32"/>
        </w:rPr>
      </w:pPr>
      <w:r>
        <w:rPr>
          <w:rFonts w:hint="eastAsia" w:ascii="黑体" w:hAnsi="黑体" w:eastAsia="黑体"/>
          <w:color w:val="333333"/>
          <w:sz w:val="32"/>
          <w:szCs w:val="32"/>
          <w:shd w:val="clear" w:color="auto" w:fill="FFFFFF"/>
        </w:rPr>
        <w:t>二、主动公开政府信息情况</w:t>
      </w:r>
    </w:p>
    <w:tbl>
      <w:tblPr>
        <w:tblStyle w:val="3"/>
        <w:tblW w:w="90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63"/>
        <w:gridCol w:w="2172"/>
        <w:gridCol w:w="2172"/>
        <w:gridCol w:w="2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079"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5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172"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172"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172"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5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1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1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1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5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1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1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1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079"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5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516"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5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6516"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079"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5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6516"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5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6516"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5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6516"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079"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5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516"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5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6516"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default" w:ascii="宋体" w:eastAsiaTheme="minorEastAsia"/>
                <w:sz w:val="24"/>
                <w:szCs w:val="24"/>
                <w:lang w:val="en-US" w:eastAsia="zh-CN"/>
              </w:rPr>
            </w:pPr>
            <w:r>
              <w:rPr>
                <w:rFonts w:hint="eastAsia" w:ascii="宋体" w:hAnsi="宋体" w:eastAsia="宋体" w:cs="宋体"/>
                <w:color w:val="000000"/>
                <w:kern w:val="0"/>
                <w:sz w:val="20"/>
                <w:szCs w:val="20"/>
                <w:lang w:val="en-US" w:eastAsia="zh-CN" w:bidi="ar"/>
              </w:rPr>
              <w:t>0</w:t>
            </w:r>
          </w:p>
        </w:tc>
      </w:tr>
    </w:tbl>
    <w:p>
      <w:pPr>
        <w:pStyle w:val="2"/>
        <w:shd w:val="clear" w:color="auto" w:fill="FFFFFF"/>
        <w:spacing w:before="0" w:beforeAutospacing="0" w:after="240" w:afterAutospacing="0" w:line="560" w:lineRule="exact"/>
        <w:ind w:firstLine="420"/>
        <w:jc w:val="both"/>
        <w:outlineLvl w:val="0"/>
        <w:rPr>
          <w:rFonts w:ascii="黑体" w:hAnsi="黑体" w:eastAsia="黑体"/>
          <w:color w:val="333333"/>
          <w:sz w:val="32"/>
          <w:szCs w:val="32"/>
        </w:rPr>
      </w:pPr>
      <w:r>
        <w:rPr>
          <w:rFonts w:hint="eastAsia" w:ascii="黑体" w:hAnsi="黑体" w:eastAsia="黑体"/>
          <w:color w:val="333333"/>
          <w:sz w:val="32"/>
          <w:szCs w:val="32"/>
          <w:shd w:val="clear" w:color="auto" w:fill="FFFFFF"/>
        </w:rPr>
        <w:t>三、收到和处理政府信息公开申请情况</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8"/>
        <w:gridCol w:w="854"/>
        <w:gridCol w:w="2086"/>
        <w:gridCol w:w="814"/>
        <w:gridCol w:w="755"/>
        <w:gridCol w:w="755"/>
        <w:gridCol w:w="814"/>
        <w:gridCol w:w="974"/>
        <w:gridCol w:w="712"/>
        <w:gridCol w:w="6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vMerge w:val="restart"/>
            <w:tcBorders>
              <w:tl2br w:val="nil"/>
              <w:tr2bl w:val="nil"/>
            </w:tcBorders>
            <w:tcMar>
              <w:left w:w="108" w:type="dxa"/>
              <w:right w:w="108" w:type="dxa"/>
            </w:tcMar>
            <w:vAlign w:val="center"/>
          </w:tcPr>
          <w:p>
            <w:pPr>
              <w:widowControl/>
              <w:spacing w:after="180" w:line="240" w:lineRule="auto"/>
              <w:jc w:val="center"/>
            </w:pPr>
            <w:r>
              <w:rPr>
                <w:rFonts w:hint="eastAsia" w:ascii="宋体" w:hAnsi="宋体" w:eastAsia="宋体" w:cs="宋体"/>
                <w:kern w:val="0"/>
                <w:sz w:val="20"/>
                <w:szCs w:val="20"/>
              </w:rPr>
              <w:t>（本列数据的勾稽关系为：第一项加第二项之和，等于第三项加第四项之和）</w:t>
            </w:r>
          </w:p>
        </w:tc>
        <w:tc>
          <w:tcPr>
            <w:tcW w:w="5513" w:type="dxa"/>
            <w:gridSpan w:val="7"/>
            <w:tcBorders>
              <w:tl2br w:val="nil"/>
              <w:tr2bl w:val="nil"/>
            </w:tcBorders>
            <w:tcMar>
              <w:left w:w="108" w:type="dxa"/>
              <w:right w:w="108" w:type="dxa"/>
            </w:tcMar>
            <w:vAlign w:val="center"/>
          </w:tcPr>
          <w:p>
            <w:pPr>
              <w:widowControl/>
              <w:spacing w:after="180" w:line="240" w:lineRule="auto"/>
              <w:jc w:val="center"/>
            </w:pPr>
            <w:r>
              <w:rPr>
                <w:rFonts w:hint="eastAsia" w:ascii="宋体" w:hAnsi="宋体" w:eastAsia="宋体" w:cs="宋体"/>
                <w:kern w:val="0"/>
                <w:sz w:val="20"/>
                <w:szCs w:val="20"/>
              </w:rPr>
              <w:t>申请人情况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vMerge w:val="continue"/>
            <w:tcBorders>
              <w:tl2br w:val="nil"/>
              <w:tr2bl w:val="nil"/>
            </w:tcBorders>
            <w:tcMar>
              <w:left w:w="108" w:type="dxa"/>
              <w:right w:w="108" w:type="dxa"/>
            </w:tcMar>
            <w:vAlign w:val="center"/>
          </w:tcPr>
          <w:p>
            <w:pPr>
              <w:spacing w:line="240" w:lineRule="auto"/>
              <w:rPr>
                <w:rFonts w:ascii="宋体"/>
                <w:sz w:val="24"/>
              </w:rPr>
            </w:pPr>
          </w:p>
        </w:tc>
        <w:tc>
          <w:tcPr>
            <w:tcW w:w="814" w:type="dxa"/>
            <w:vMerge w:val="restart"/>
            <w:tcBorders>
              <w:tl2br w:val="nil"/>
              <w:tr2bl w:val="nil"/>
            </w:tcBorders>
            <w:tcMar>
              <w:left w:w="108" w:type="dxa"/>
              <w:right w:w="108" w:type="dxa"/>
            </w:tcMar>
            <w:vAlign w:val="center"/>
          </w:tcPr>
          <w:p>
            <w:pPr>
              <w:widowControl/>
              <w:spacing w:after="180" w:line="240" w:lineRule="auto"/>
              <w:jc w:val="center"/>
            </w:pPr>
            <w:r>
              <w:rPr>
                <w:rFonts w:hint="eastAsia" w:ascii="宋体" w:hAnsi="宋体" w:eastAsia="宋体" w:cs="宋体"/>
                <w:kern w:val="0"/>
                <w:sz w:val="20"/>
                <w:szCs w:val="20"/>
              </w:rPr>
              <w:t>自然人</w:t>
            </w:r>
          </w:p>
        </w:tc>
        <w:tc>
          <w:tcPr>
            <w:tcW w:w="4010" w:type="dxa"/>
            <w:gridSpan w:val="5"/>
            <w:tcBorders>
              <w:tl2br w:val="nil"/>
              <w:tr2bl w:val="nil"/>
            </w:tcBorders>
            <w:tcMar>
              <w:left w:w="108" w:type="dxa"/>
              <w:right w:w="108" w:type="dxa"/>
            </w:tcMar>
            <w:vAlign w:val="center"/>
          </w:tcPr>
          <w:p>
            <w:pPr>
              <w:widowControl/>
              <w:spacing w:after="180" w:line="240" w:lineRule="auto"/>
              <w:jc w:val="center"/>
            </w:pPr>
            <w:r>
              <w:rPr>
                <w:rFonts w:hint="eastAsia" w:ascii="宋体" w:hAnsi="宋体" w:eastAsia="宋体" w:cs="宋体"/>
                <w:kern w:val="0"/>
                <w:sz w:val="20"/>
                <w:szCs w:val="20"/>
              </w:rPr>
              <w:t>法人或其他组织</w:t>
            </w:r>
          </w:p>
        </w:tc>
        <w:tc>
          <w:tcPr>
            <w:tcW w:w="689" w:type="dxa"/>
            <w:vMerge w:val="restart"/>
            <w:tcBorders>
              <w:tl2br w:val="nil"/>
              <w:tr2bl w:val="nil"/>
            </w:tcBorders>
            <w:tcMar>
              <w:left w:w="108" w:type="dxa"/>
              <w:right w:w="108" w:type="dxa"/>
            </w:tcMar>
            <w:vAlign w:val="center"/>
          </w:tcPr>
          <w:p>
            <w:pPr>
              <w:widowControl/>
              <w:spacing w:after="180" w:line="240" w:lineRule="auto"/>
              <w:jc w:val="center"/>
            </w:pPr>
            <w:r>
              <w:rPr>
                <w:rFonts w:hint="eastAsia" w:ascii="宋体" w:hAnsi="宋体" w:eastAsia="宋体" w:cs="宋体"/>
                <w:kern w:val="0"/>
                <w:sz w:val="20"/>
                <w:szCs w:val="20"/>
              </w:rPr>
              <w:t>总计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6" w:hRule="atLeast"/>
          <w:jc w:val="center"/>
        </w:trPr>
        <w:tc>
          <w:tcPr>
            <w:tcW w:w="3558" w:type="dxa"/>
            <w:gridSpan w:val="3"/>
            <w:vMerge w:val="continue"/>
            <w:tcBorders>
              <w:tl2br w:val="nil"/>
              <w:tr2bl w:val="nil"/>
            </w:tcBorders>
            <w:tcMar>
              <w:left w:w="108" w:type="dxa"/>
              <w:right w:w="108" w:type="dxa"/>
            </w:tcMar>
            <w:vAlign w:val="center"/>
          </w:tcPr>
          <w:p>
            <w:pPr>
              <w:spacing w:line="240" w:lineRule="auto"/>
              <w:rPr>
                <w:rFonts w:ascii="宋体"/>
                <w:sz w:val="24"/>
              </w:rPr>
            </w:pPr>
          </w:p>
        </w:tc>
        <w:tc>
          <w:tcPr>
            <w:tcW w:w="814" w:type="dxa"/>
            <w:vMerge w:val="continue"/>
            <w:tcBorders>
              <w:tl2br w:val="nil"/>
              <w:tr2bl w:val="nil"/>
            </w:tcBorders>
            <w:tcMar>
              <w:left w:w="108" w:type="dxa"/>
              <w:right w:w="108" w:type="dxa"/>
            </w:tcMar>
            <w:vAlign w:val="center"/>
          </w:tcPr>
          <w:p>
            <w:pPr>
              <w:spacing w:line="240" w:lineRule="auto"/>
              <w:rPr>
                <w:rFonts w:ascii="宋体"/>
                <w:sz w:val="24"/>
              </w:rPr>
            </w:pPr>
          </w:p>
        </w:tc>
        <w:tc>
          <w:tcPr>
            <w:tcW w:w="755" w:type="dxa"/>
            <w:tcBorders>
              <w:tl2br w:val="nil"/>
              <w:tr2bl w:val="nil"/>
            </w:tcBorders>
            <w:tcMar>
              <w:left w:w="108" w:type="dxa"/>
              <w:right w:w="108" w:type="dxa"/>
            </w:tcMar>
            <w:vAlign w:val="center"/>
          </w:tcPr>
          <w:p>
            <w:pPr>
              <w:widowControl/>
              <w:spacing w:after="180" w:line="240" w:lineRule="auto"/>
              <w:jc w:val="center"/>
            </w:pPr>
            <w:r>
              <w:rPr>
                <w:rFonts w:hint="eastAsia" w:ascii="宋体" w:hAnsi="宋体" w:eastAsia="宋体" w:cs="宋体"/>
                <w:kern w:val="0"/>
                <w:sz w:val="20"/>
                <w:szCs w:val="20"/>
              </w:rPr>
              <w:t>商业企业</w:t>
            </w:r>
          </w:p>
        </w:tc>
        <w:tc>
          <w:tcPr>
            <w:tcW w:w="755" w:type="dxa"/>
            <w:tcBorders>
              <w:tl2br w:val="nil"/>
              <w:tr2bl w:val="nil"/>
            </w:tcBorders>
            <w:tcMar>
              <w:left w:w="108" w:type="dxa"/>
              <w:right w:w="108" w:type="dxa"/>
            </w:tcMar>
            <w:vAlign w:val="center"/>
          </w:tcPr>
          <w:p>
            <w:pPr>
              <w:widowControl/>
              <w:spacing w:after="180" w:line="240" w:lineRule="auto"/>
              <w:jc w:val="center"/>
            </w:pPr>
            <w:r>
              <w:rPr>
                <w:rFonts w:hint="eastAsia" w:ascii="宋体" w:hAnsi="宋体" w:eastAsia="宋体" w:cs="宋体"/>
                <w:kern w:val="0"/>
                <w:sz w:val="20"/>
                <w:szCs w:val="20"/>
              </w:rPr>
              <w:t>科研机构</w:t>
            </w:r>
          </w:p>
        </w:tc>
        <w:tc>
          <w:tcPr>
            <w:tcW w:w="814" w:type="dxa"/>
            <w:tcBorders>
              <w:tl2br w:val="nil"/>
              <w:tr2bl w:val="nil"/>
            </w:tcBorders>
            <w:tcMar>
              <w:left w:w="108" w:type="dxa"/>
              <w:right w:w="108" w:type="dxa"/>
            </w:tcMar>
            <w:vAlign w:val="center"/>
          </w:tcPr>
          <w:p>
            <w:pPr>
              <w:widowControl/>
              <w:spacing w:after="180" w:line="240" w:lineRule="auto"/>
              <w:jc w:val="center"/>
            </w:pPr>
            <w:r>
              <w:rPr>
                <w:rFonts w:hint="eastAsia" w:ascii="宋体" w:hAnsi="宋体" w:eastAsia="宋体" w:cs="宋体"/>
                <w:kern w:val="0"/>
                <w:sz w:val="20"/>
                <w:szCs w:val="20"/>
              </w:rPr>
              <w:t>社会公益组织</w:t>
            </w:r>
          </w:p>
        </w:tc>
        <w:tc>
          <w:tcPr>
            <w:tcW w:w="974" w:type="dxa"/>
            <w:tcBorders>
              <w:tl2br w:val="nil"/>
              <w:tr2bl w:val="nil"/>
            </w:tcBorders>
            <w:tcMar>
              <w:left w:w="108" w:type="dxa"/>
              <w:right w:w="108" w:type="dxa"/>
            </w:tcMar>
            <w:vAlign w:val="center"/>
          </w:tcPr>
          <w:p>
            <w:pPr>
              <w:widowControl/>
              <w:spacing w:after="180" w:line="240" w:lineRule="auto"/>
              <w:jc w:val="center"/>
            </w:pPr>
            <w:r>
              <w:rPr>
                <w:rFonts w:hint="eastAsia" w:ascii="宋体" w:hAnsi="宋体" w:eastAsia="宋体" w:cs="宋体"/>
                <w:kern w:val="0"/>
                <w:sz w:val="20"/>
                <w:szCs w:val="20"/>
              </w:rPr>
              <w:t>法律服务机构</w:t>
            </w:r>
          </w:p>
        </w:tc>
        <w:tc>
          <w:tcPr>
            <w:tcW w:w="712" w:type="dxa"/>
            <w:tcBorders>
              <w:tl2br w:val="nil"/>
              <w:tr2bl w:val="nil"/>
            </w:tcBorders>
            <w:tcMar>
              <w:left w:w="108" w:type="dxa"/>
              <w:right w:w="108" w:type="dxa"/>
            </w:tcMar>
            <w:vAlign w:val="center"/>
          </w:tcPr>
          <w:p>
            <w:pPr>
              <w:widowControl/>
              <w:spacing w:after="180" w:line="240" w:lineRule="auto"/>
              <w:jc w:val="center"/>
            </w:pPr>
            <w:r>
              <w:rPr>
                <w:rFonts w:hint="eastAsia" w:ascii="宋体" w:hAnsi="宋体" w:eastAsia="宋体" w:cs="宋体"/>
                <w:kern w:val="0"/>
                <w:sz w:val="20"/>
                <w:szCs w:val="20"/>
              </w:rPr>
              <w:t>其他</w:t>
            </w:r>
          </w:p>
        </w:tc>
        <w:tc>
          <w:tcPr>
            <w:tcW w:w="689" w:type="dxa"/>
            <w:vMerge w:val="continue"/>
            <w:tcBorders>
              <w:tl2br w:val="nil"/>
              <w:tr2bl w:val="nil"/>
            </w:tcBorders>
            <w:tcMar>
              <w:left w:w="108" w:type="dxa"/>
              <w:right w:w="108" w:type="dxa"/>
            </w:tcMar>
            <w:vAlign w:val="center"/>
          </w:tcPr>
          <w:p>
            <w:pPr>
              <w:spacing w:line="240" w:lineRule="auto"/>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tcBorders>
              <w:tl2br w:val="nil"/>
              <w:tr2bl w:val="nil"/>
            </w:tcBorders>
            <w:tcMar>
              <w:left w:w="108" w:type="dxa"/>
              <w:right w:w="108" w:type="dxa"/>
            </w:tcMar>
            <w:vAlign w:val="center"/>
          </w:tcPr>
          <w:p>
            <w:pPr>
              <w:widowControl/>
              <w:spacing w:after="180" w:line="240" w:lineRule="auto"/>
              <w:jc w:val="left"/>
            </w:pPr>
            <w:r>
              <w:rPr>
                <w:rFonts w:hint="eastAsia" w:ascii="宋体" w:hAnsi="宋体" w:eastAsia="宋体" w:cs="宋体"/>
                <w:kern w:val="0"/>
                <w:sz w:val="20"/>
                <w:szCs w:val="20"/>
              </w:rPr>
              <w:t>一、本年新收政府信息公开申请数量</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tcBorders>
              <w:tl2br w:val="nil"/>
              <w:tr2bl w:val="nil"/>
            </w:tcBorders>
            <w:tcMar>
              <w:left w:w="108" w:type="dxa"/>
              <w:right w:w="108" w:type="dxa"/>
            </w:tcMar>
            <w:vAlign w:val="center"/>
          </w:tcPr>
          <w:p>
            <w:pPr>
              <w:widowControl/>
              <w:spacing w:after="180" w:line="240" w:lineRule="auto"/>
              <w:jc w:val="left"/>
            </w:pPr>
            <w:r>
              <w:rPr>
                <w:rFonts w:hint="eastAsia" w:ascii="宋体" w:hAnsi="宋体" w:eastAsia="宋体" w:cs="宋体"/>
                <w:kern w:val="0"/>
                <w:sz w:val="20"/>
                <w:szCs w:val="20"/>
              </w:rPr>
              <w:t>二、上年结转政府信息公开申请数量</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restart"/>
            <w:tcBorders>
              <w:tl2br w:val="nil"/>
              <w:tr2bl w:val="nil"/>
            </w:tcBorders>
            <w:tcMar>
              <w:left w:w="108" w:type="dxa"/>
              <w:right w:w="108" w:type="dxa"/>
            </w:tcMar>
            <w:vAlign w:val="center"/>
          </w:tcPr>
          <w:p>
            <w:pPr>
              <w:widowControl/>
              <w:spacing w:after="180" w:line="240" w:lineRule="auto"/>
              <w:jc w:val="center"/>
            </w:pPr>
            <w:r>
              <w:rPr>
                <w:rFonts w:hint="eastAsia" w:ascii="宋体" w:hAnsi="宋体" w:eastAsia="宋体" w:cs="宋体"/>
                <w:kern w:val="0"/>
                <w:sz w:val="20"/>
                <w:szCs w:val="20"/>
              </w:rPr>
              <w:t>三、本年度办理结果</w:t>
            </w:r>
          </w:p>
        </w:tc>
        <w:tc>
          <w:tcPr>
            <w:tcW w:w="2940" w:type="dxa"/>
            <w:gridSpan w:val="2"/>
            <w:tcBorders>
              <w:tl2br w:val="nil"/>
              <w:tr2bl w:val="nil"/>
            </w:tcBorders>
            <w:tcMar>
              <w:left w:w="108" w:type="dxa"/>
              <w:right w:w="108" w:type="dxa"/>
            </w:tcMar>
            <w:vAlign w:val="center"/>
          </w:tcPr>
          <w:p>
            <w:pPr>
              <w:widowControl/>
              <w:spacing w:after="180" w:line="240" w:lineRule="auto"/>
              <w:jc w:val="left"/>
            </w:pPr>
            <w:r>
              <w:rPr>
                <w:rFonts w:hint="eastAsia" w:ascii="楷体" w:hAnsi="楷体" w:eastAsia="楷体" w:cs="楷体"/>
                <w:kern w:val="0"/>
                <w:sz w:val="20"/>
                <w:szCs w:val="20"/>
              </w:rPr>
              <w:t>（一）予以公开</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spacing w:line="240" w:lineRule="auto"/>
              <w:rPr>
                <w:rFonts w:ascii="宋体"/>
                <w:sz w:val="24"/>
              </w:rPr>
            </w:pPr>
          </w:p>
        </w:tc>
        <w:tc>
          <w:tcPr>
            <w:tcW w:w="2940" w:type="dxa"/>
            <w:gridSpan w:val="2"/>
            <w:tcBorders>
              <w:tl2br w:val="nil"/>
              <w:tr2bl w:val="nil"/>
            </w:tcBorders>
            <w:tcMar>
              <w:left w:w="108" w:type="dxa"/>
              <w:right w:w="108" w:type="dxa"/>
            </w:tcMar>
            <w:vAlign w:val="center"/>
          </w:tcPr>
          <w:p>
            <w:pPr>
              <w:widowControl/>
              <w:spacing w:after="180" w:line="240" w:lineRule="auto"/>
              <w:jc w:val="left"/>
            </w:pPr>
            <w:r>
              <w:rPr>
                <w:rFonts w:hint="eastAsia" w:ascii="楷体" w:hAnsi="楷体" w:eastAsia="楷体" w:cs="楷体"/>
                <w:kern w:val="0"/>
                <w:sz w:val="20"/>
                <w:szCs w:val="20"/>
              </w:rPr>
              <w:t>（二）部分公开（区分处理的，只计这一情形，不计其他情形）</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spacing w:line="240" w:lineRule="auto"/>
              <w:rPr>
                <w:rFonts w:ascii="宋体"/>
                <w:sz w:val="24"/>
              </w:rPr>
            </w:pPr>
          </w:p>
        </w:tc>
        <w:tc>
          <w:tcPr>
            <w:tcW w:w="854" w:type="dxa"/>
            <w:vMerge w:val="restart"/>
            <w:tcBorders>
              <w:tl2br w:val="nil"/>
              <w:tr2bl w:val="nil"/>
            </w:tcBorders>
            <w:tcMar>
              <w:left w:w="108" w:type="dxa"/>
              <w:right w:w="108" w:type="dxa"/>
            </w:tcMar>
            <w:vAlign w:val="center"/>
          </w:tcPr>
          <w:p>
            <w:pPr>
              <w:widowControl/>
              <w:spacing w:after="180" w:line="240" w:lineRule="auto"/>
              <w:jc w:val="left"/>
            </w:pPr>
            <w:r>
              <w:rPr>
                <w:rFonts w:hint="eastAsia" w:ascii="楷体" w:hAnsi="楷体" w:eastAsia="楷体" w:cs="楷体"/>
                <w:kern w:val="0"/>
                <w:sz w:val="20"/>
                <w:szCs w:val="20"/>
              </w:rPr>
              <w:t>（三）不予公开</w:t>
            </w:r>
          </w:p>
        </w:tc>
        <w:tc>
          <w:tcPr>
            <w:tcW w:w="2086" w:type="dxa"/>
            <w:tcBorders>
              <w:tl2br w:val="nil"/>
              <w:tr2bl w:val="nil"/>
            </w:tcBorders>
            <w:tcMar>
              <w:left w:w="108" w:type="dxa"/>
              <w:right w:w="108" w:type="dxa"/>
            </w:tcMar>
            <w:vAlign w:val="center"/>
          </w:tcPr>
          <w:p>
            <w:pPr>
              <w:widowControl/>
              <w:spacing w:after="180" w:line="240" w:lineRule="auto"/>
              <w:jc w:val="left"/>
            </w:pPr>
            <w:r>
              <w:rPr>
                <w:rFonts w:hint="eastAsia" w:ascii="楷体" w:hAnsi="楷体" w:eastAsia="楷体" w:cs="楷体"/>
                <w:kern w:val="0"/>
                <w:sz w:val="20"/>
                <w:szCs w:val="20"/>
              </w:rPr>
              <w:t>1.属于国家秘密</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spacing w:line="240" w:lineRule="auto"/>
              <w:rPr>
                <w:rFonts w:ascii="宋体"/>
                <w:sz w:val="24"/>
              </w:rPr>
            </w:pPr>
          </w:p>
        </w:tc>
        <w:tc>
          <w:tcPr>
            <w:tcW w:w="854" w:type="dxa"/>
            <w:vMerge w:val="continue"/>
            <w:tcBorders>
              <w:tl2br w:val="nil"/>
              <w:tr2bl w:val="nil"/>
            </w:tcBorders>
            <w:tcMar>
              <w:left w:w="108" w:type="dxa"/>
              <w:right w:w="108" w:type="dxa"/>
            </w:tcMar>
            <w:vAlign w:val="center"/>
          </w:tcPr>
          <w:p>
            <w:pPr>
              <w:spacing w:line="240" w:lineRule="auto"/>
              <w:rPr>
                <w:rFonts w:ascii="宋体"/>
                <w:sz w:val="24"/>
              </w:rPr>
            </w:pPr>
          </w:p>
        </w:tc>
        <w:tc>
          <w:tcPr>
            <w:tcW w:w="2086" w:type="dxa"/>
            <w:tcBorders>
              <w:tl2br w:val="nil"/>
              <w:tr2bl w:val="nil"/>
            </w:tcBorders>
            <w:tcMar>
              <w:left w:w="108" w:type="dxa"/>
              <w:right w:w="108" w:type="dxa"/>
            </w:tcMar>
            <w:vAlign w:val="center"/>
          </w:tcPr>
          <w:p>
            <w:pPr>
              <w:widowControl/>
              <w:spacing w:after="180" w:line="240" w:lineRule="auto"/>
              <w:jc w:val="left"/>
            </w:pPr>
            <w:r>
              <w:rPr>
                <w:rFonts w:hint="eastAsia" w:ascii="楷体" w:hAnsi="楷体" w:eastAsia="楷体" w:cs="楷体"/>
                <w:kern w:val="0"/>
                <w:sz w:val="20"/>
                <w:szCs w:val="20"/>
              </w:rPr>
              <w:t>2.其他法律行政法规禁止公开</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spacing w:line="240" w:lineRule="auto"/>
              <w:rPr>
                <w:rFonts w:ascii="宋体"/>
                <w:sz w:val="24"/>
              </w:rPr>
            </w:pPr>
          </w:p>
        </w:tc>
        <w:tc>
          <w:tcPr>
            <w:tcW w:w="854" w:type="dxa"/>
            <w:vMerge w:val="continue"/>
            <w:tcBorders>
              <w:tl2br w:val="nil"/>
              <w:tr2bl w:val="nil"/>
            </w:tcBorders>
            <w:tcMar>
              <w:left w:w="108" w:type="dxa"/>
              <w:right w:w="108" w:type="dxa"/>
            </w:tcMar>
            <w:vAlign w:val="center"/>
          </w:tcPr>
          <w:p>
            <w:pPr>
              <w:spacing w:line="240" w:lineRule="auto"/>
              <w:rPr>
                <w:rFonts w:ascii="宋体"/>
                <w:sz w:val="24"/>
              </w:rPr>
            </w:pPr>
          </w:p>
        </w:tc>
        <w:tc>
          <w:tcPr>
            <w:tcW w:w="2086" w:type="dxa"/>
            <w:tcBorders>
              <w:tl2br w:val="nil"/>
              <w:tr2bl w:val="nil"/>
            </w:tcBorders>
            <w:tcMar>
              <w:left w:w="108" w:type="dxa"/>
              <w:right w:w="108" w:type="dxa"/>
            </w:tcMar>
            <w:vAlign w:val="center"/>
          </w:tcPr>
          <w:p>
            <w:pPr>
              <w:widowControl/>
              <w:spacing w:after="180" w:line="240" w:lineRule="auto"/>
              <w:jc w:val="left"/>
            </w:pPr>
            <w:r>
              <w:rPr>
                <w:rFonts w:hint="eastAsia" w:ascii="楷体" w:hAnsi="楷体" w:eastAsia="楷体" w:cs="楷体"/>
                <w:kern w:val="0"/>
                <w:sz w:val="20"/>
                <w:szCs w:val="20"/>
              </w:rPr>
              <w:t>3.危及“三安全一稳定”</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spacing w:line="240" w:lineRule="auto"/>
              <w:rPr>
                <w:rFonts w:ascii="宋体"/>
                <w:sz w:val="24"/>
              </w:rPr>
            </w:pPr>
          </w:p>
        </w:tc>
        <w:tc>
          <w:tcPr>
            <w:tcW w:w="854" w:type="dxa"/>
            <w:vMerge w:val="continue"/>
            <w:tcBorders>
              <w:tl2br w:val="nil"/>
              <w:tr2bl w:val="nil"/>
            </w:tcBorders>
            <w:tcMar>
              <w:left w:w="108" w:type="dxa"/>
              <w:right w:w="108" w:type="dxa"/>
            </w:tcMar>
            <w:vAlign w:val="center"/>
          </w:tcPr>
          <w:p>
            <w:pPr>
              <w:spacing w:line="240" w:lineRule="auto"/>
              <w:rPr>
                <w:rFonts w:ascii="宋体"/>
                <w:sz w:val="24"/>
              </w:rPr>
            </w:pPr>
          </w:p>
        </w:tc>
        <w:tc>
          <w:tcPr>
            <w:tcW w:w="2086" w:type="dxa"/>
            <w:tcBorders>
              <w:tl2br w:val="nil"/>
              <w:tr2bl w:val="nil"/>
            </w:tcBorders>
            <w:tcMar>
              <w:left w:w="108" w:type="dxa"/>
              <w:right w:w="108" w:type="dxa"/>
            </w:tcMar>
            <w:vAlign w:val="center"/>
          </w:tcPr>
          <w:p>
            <w:pPr>
              <w:widowControl/>
              <w:spacing w:after="180" w:line="240" w:lineRule="auto"/>
              <w:jc w:val="left"/>
            </w:pPr>
            <w:r>
              <w:rPr>
                <w:rFonts w:hint="eastAsia" w:ascii="楷体" w:hAnsi="楷体" w:eastAsia="楷体" w:cs="楷体"/>
                <w:kern w:val="0"/>
                <w:sz w:val="20"/>
                <w:szCs w:val="20"/>
              </w:rPr>
              <w:t>4.保护第三方合法权益</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spacing w:line="240" w:lineRule="auto"/>
              <w:rPr>
                <w:rFonts w:ascii="宋体"/>
                <w:sz w:val="24"/>
              </w:rPr>
            </w:pPr>
          </w:p>
        </w:tc>
        <w:tc>
          <w:tcPr>
            <w:tcW w:w="854" w:type="dxa"/>
            <w:vMerge w:val="continue"/>
            <w:tcBorders>
              <w:tl2br w:val="nil"/>
              <w:tr2bl w:val="nil"/>
            </w:tcBorders>
            <w:tcMar>
              <w:left w:w="108" w:type="dxa"/>
              <w:right w:w="108" w:type="dxa"/>
            </w:tcMar>
            <w:vAlign w:val="center"/>
          </w:tcPr>
          <w:p>
            <w:pPr>
              <w:spacing w:line="240" w:lineRule="auto"/>
              <w:rPr>
                <w:rFonts w:ascii="宋体"/>
                <w:sz w:val="24"/>
              </w:rPr>
            </w:pPr>
          </w:p>
        </w:tc>
        <w:tc>
          <w:tcPr>
            <w:tcW w:w="2086" w:type="dxa"/>
            <w:tcBorders>
              <w:tl2br w:val="nil"/>
              <w:tr2bl w:val="nil"/>
            </w:tcBorders>
            <w:tcMar>
              <w:left w:w="108" w:type="dxa"/>
              <w:right w:w="108" w:type="dxa"/>
            </w:tcMar>
            <w:vAlign w:val="center"/>
          </w:tcPr>
          <w:p>
            <w:pPr>
              <w:widowControl/>
              <w:spacing w:after="180" w:line="240" w:lineRule="auto"/>
              <w:jc w:val="left"/>
            </w:pPr>
            <w:r>
              <w:rPr>
                <w:rFonts w:hint="eastAsia" w:ascii="楷体" w:hAnsi="楷体" w:eastAsia="楷体" w:cs="楷体"/>
                <w:kern w:val="0"/>
                <w:sz w:val="20"/>
                <w:szCs w:val="20"/>
              </w:rPr>
              <w:t>5.属于三类内部事务信息</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spacing w:line="240" w:lineRule="auto"/>
              <w:rPr>
                <w:rFonts w:ascii="宋体"/>
                <w:sz w:val="24"/>
              </w:rPr>
            </w:pPr>
          </w:p>
        </w:tc>
        <w:tc>
          <w:tcPr>
            <w:tcW w:w="854" w:type="dxa"/>
            <w:vMerge w:val="continue"/>
            <w:tcBorders>
              <w:tl2br w:val="nil"/>
              <w:tr2bl w:val="nil"/>
            </w:tcBorders>
            <w:tcMar>
              <w:left w:w="108" w:type="dxa"/>
              <w:right w:w="108" w:type="dxa"/>
            </w:tcMar>
            <w:vAlign w:val="center"/>
          </w:tcPr>
          <w:p>
            <w:pPr>
              <w:spacing w:line="240" w:lineRule="auto"/>
              <w:rPr>
                <w:rFonts w:ascii="宋体"/>
                <w:sz w:val="24"/>
              </w:rPr>
            </w:pPr>
          </w:p>
        </w:tc>
        <w:tc>
          <w:tcPr>
            <w:tcW w:w="2086" w:type="dxa"/>
            <w:tcBorders>
              <w:tl2br w:val="nil"/>
              <w:tr2bl w:val="nil"/>
            </w:tcBorders>
            <w:tcMar>
              <w:left w:w="108" w:type="dxa"/>
              <w:right w:w="108" w:type="dxa"/>
            </w:tcMar>
            <w:vAlign w:val="center"/>
          </w:tcPr>
          <w:p>
            <w:pPr>
              <w:widowControl/>
              <w:spacing w:after="180" w:line="240" w:lineRule="auto"/>
              <w:jc w:val="left"/>
            </w:pPr>
            <w:r>
              <w:rPr>
                <w:rFonts w:hint="eastAsia" w:ascii="楷体" w:hAnsi="楷体" w:eastAsia="楷体" w:cs="楷体"/>
                <w:kern w:val="0"/>
                <w:sz w:val="20"/>
                <w:szCs w:val="20"/>
              </w:rPr>
              <w:t>6.属于四类过程性信息</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spacing w:line="240" w:lineRule="auto"/>
              <w:rPr>
                <w:rFonts w:ascii="宋体"/>
                <w:sz w:val="24"/>
              </w:rPr>
            </w:pPr>
          </w:p>
        </w:tc>
        <w:tc>
          <w:tcPr>
            <w:tcW w:w="854" w:type="dxa"/>
            <w:vMerge w:val="continue"/>
            <w:tcBorders>
              <w:tl2br w:val="nil"/>
              <w:tr2bl w:val="nil"/>
            </w:tcBorders>
            <w:tcMar>
              <w:left w:w="108" w:type="dxa"/>
              <w:right w:w="108" w:type="dxa"/>
            </w:tcMar>
            <w:vAlign w:val="center"/>
          </w:tcPr>
          <w:p>
            <w:pPr>
              <w:spacing w:line="240" w:lineRule="auto"/>
              <w:rPr>
                <w:rFonts w:ascii="宋体"/>
                <w:sz w:val="24"/>
              </w:rPr>
            </w:pPr>
          </w:p>
        </w:tc>
        <w:tc>
          <w:tcPr>
            <w:tcW w:w="2086" w:type="dxa"/>
            <w:tcBorders>
              <w:tl2br w:val="nil"/>
              <w:tr2bl w:val="nil"/>
            </w:tcBorders>
            <w:tcMar>
              <w:left w:w="108" w:type="dxa"/>
              <w:right w:w="108" w:type="dxa"/>
            </w:tcMar>
            <w:vAlign w:val="center"/>
          </w:tcPr>
          <w:p>
            <w:pPr>
              <w:widowControl/>
              <w:spacing w:after="180" w:line="240" w:lineRule="auto"/>
              <w:jc w:val="left"/>
            </w:pPr>
            <w:r>
              <w:rPr>
                <w:rFonts w:hint="eastAsia" w:ascii="楷体" w:hAnsi="楷体" w:eastAsia="楷体" w:cs="楷体"/>
                <w:kern w:val="0"/>
                <w:sz w:val="20"/>
                <w:szCs w:val="20"/>
              </w:rPr>
              <w:t>7.属于行政执法案卷</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spacing w:line="240" w:lineRule="auto"/>
              <w:rPr>
                <w:rFonts w:ascii="宋体"/>
                <w:sz w:val="24"/>
              </w:rPr>
            </w:pPr>
          </w:p>
        </w:tc>
        <w:tc>
          <w:tcPr>
            <w:tcW w:w="854" w:type="dxa"/>
            <w:vMerge w:val="continue"/>
            <w:tcBorders>
              <w:tl2br w:val="nil"/>
              <w:tr2bl w:val="nil"/>
            </w:tcBorders>
            <w:tcMar>
              <w:left w:w="108" w:type="dxa"/>
              <w:right w:w="108" w:type="dxa"/>
            </w:tcMar>
            <w:vAlign w:val="center"/>
          </w:tcPr>
          <w:p>
            <w:pPr>
              <w:spacing w:line="240" w:lineRule="auto"/>
              <w:rPr>
                <w:rFonts w:ascii="宋体"/>
                <w:sz w:val="24"/>
              </w:rPr>
            </w:pPr>
          </w:p>
        </w:tc>
        <w:tc>
          <w:tcPr>
            <w:tcW w:w="2086" w:type="dxa"/>
            <w:tcBorders>
              <w:tl2br w:val="nil"/>
              <w:tr2bl w:val="nil"/>
            </w:tcBorders>
            <w:tcMar>
              <w:left w:w="108" w:type="dxa"/>
              <w:right w:w="108" w:type="dxa"/>
            </w:tcMar>
            <w:vAlign w:val="center"/>
          </w:tcPr>
          <w:p>
            <w:pPr>
              <w:widowControl/>
              <w:spacing w:after="180" w:line="240" w:lineRule="auto"/>
              <w:jc w:val="left"/>
            </w:pPr>
            <w:r>
              <w:rPr>
                <w:rFonts w:hint="eastAsia" w:ascii="楷体" w:hAnsi="楷体" w:eastAsia="楷体" w:cs="楷体"/>
                <w:kern w:val="0"/>
                <w:sz w:val="20"/>
                <w:szCs w:val="20"/>
              </w:rPr>
              <w:t>8.属于行政查询事项</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tcMar>
              <w:left w:w="108" w:type="dxa"/>
              <w:right w:w="108" w:type="dxa"/>
            </w:tcMar>
            <w:vAlign w:val="center"/>
          </w:tcPr>
          <w:p>
            <w:pPr>
              <w:spacing w:line="240" w:lineRule="auto"/>
              <w:rPr>
                <w:rFonts w:ascii="宋体"/>
                <w:sz w:val="24"/>
              </w:rPr>
            </w:pPr>
          </w:p>
        </w:tc>
        <w:tc>
          <w:tcPr>
            <w:tcW w:w="854" w:type="dxa"/>
            <w:vMerge w:val="restart"/>
            <w:tcBorders>
              <w:tl2br w:val="nil"/>
              <w:tr2bl w:val="nil"/>
            </w:tcBorders>
            <w:tcMar>
              <w:left w:w="108" w:type="dxa"/>
              <w:right w:w="108" w:type="dxa"/>
            </w:tcMar>
            <w:vAlign w:val="center"/>
          </w:tcPr>
          <w:p>
            <w:pPr>
              <w:widowControl/>
              <w:spacing w:after="180" w:line="240" w:lineRule="auto"/>
              <w:jc w:val="left"/>
            </w:pPr>
            <w:r>
              <w:rPr>
                <w:rFonts w:hint="eastAsia" w:ascii="楷体" w:hAnsi="楷体" w:eastAsia="楷体" w:cs="楷体"/>
                <w:kern w:val="0"/>
                <w:sz w:val="20"/>
                <w:szCs w:val="20"/>
              </w:rPr>
              <w:t>（四）无法提供</w:t>
            </w:r>
          </w:p>
        </w:tc>
        <w:tc>
          <w:tcPr>
            <w:tcW w:w="2086" w:type="dxa"/>
            <w:tcBorders>
              <w:tl2br w:val="nil"/>
              <w:tr2bl w:val="nil"/>
            </w:tcBorders>
            <w:tcMar>
              <w:left w:w="108" w:type="dxa"/>
              <w:right w:w="108" w:type="dxa"/>
            </w:tcMar>
            <w:vAlign w:val="center"/>
          </w:tcPr>
          <w:p>
            <w:pPr>
              <w:widowControl/>
              <w:spacing w:after="180" w:line="240" w:lineRule="auto"/>
              <w:jc w:val="left"/>
            </w:pPr>
            <w:r>
              <w:rPr>
                <w:rFonts w:hint="eastAsia" w:ascii="楷体" w:hAnsi="楷体" w:eastAsia="楷体" w:cs="楷体"/>
                <w:kern w:val="0"/>
                <w:sz w:val="20"/>
                <w:szCs w:val="20"/>
              </w:rPr>
              <w:t>1.本机关不掌握相关政府信息</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bookmarkStart w:id="1" w:name="_Hlk94340911"/>
            <w:r>
              <w:rPr>
                <w:rFonts w:ascii="Calibri" w:eastAsia="宋体" w:cs="Calibri"/>
                <w:kern w:val="0"/>
                <w:sz w:val="20"/>
                <w:szCs w:val="20"/>
              </w:rPr>
              <w:t>0</w:t>
            </w:r>
            <w:bookmarkEnd w:id="1"/>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tcMar>
              <w:left w:w="108" w:type="dxa"/>
              <w:right w:w="108" w:type="dxa"/>
            </w:tcMar>
            <w:vAlign w:val="center"/>
          </w:tcPr>
          <w:p>
            <w:pPr>
              <w:spacing w:line="240" w:lineRule="auto"/>
              <w:rPr>
                <w:rFonts w:ascii="宋体"/>
                <w:sz w:val="24"/>
              </w:rPr>
            </w:pPr>
          </w:p>
        </w:tc>
        <w:tc>
          <w:tcPr>
            <w:tcW w:w="854" w:type="dxa"/>
            <w:vMerge w:val="continue"/>
            <w:tcBorders>
              <w:tl2br w:val="nil"/>
              <w:tr2bl w:val="nil"/>
            </w:tcBorders>
            <w:tcMar>
              <w:left w:w="108" w:type="dxa"/>
              <w:right w:w="108" w:type="dxa"/>
            </w:tcMar>
            <w:vAlign w:val="center"/>
          </w:tcPr>
          <w:p>
            <w:pPr>
              <w:spacing w:line="240" w:lineRule="auto"/>
              <w:rPr>
                <w:rFonts w:ascii="宋体"/>
                <w:sz w:val="24"/>
              </w:rPr>
            </w:pPr>
          </w:p>
        </w:tc>
        <w:tc>
          <w:tcPr>
            <w:tcW w:w="2086" w:type="dxa"/>
            <w:tcBorders>
              <w:tl2br w:val="nil"/>
              <w:tr2bl w:val="nil"/>
            </w:tcBorders>
            <w:tcMar>
              <w:left w:w="108" w:type="dxa"/>
              <w:right w:w="108" w:type="dxa"/>
            </w:tcMar>
            <w:vAlign w:val="center"/>
          </w:tcPr>
          <w:p>
            <w:pPr>
              <w:widowControl/>
              <w:spacing w:after="180" w:line="240" w:lineRule="auto"/>
              <w:jc w:val="left"/>
            </w:pPr>
            <w:r>
              <w:rPr>
                <w:rFonts w:hint="eastAsia" w:ascii="楷体" w:hAnsi="楷体" w:eastAsia="楷体" w:cs="楷体"/>
                <w:kern w:val="0"/>
                <w:sz w:val="20"/>
                <w:szCs w:val="20"/>
              </w:rPr>
              <w:t>2.没有现成信息需要另行制作</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tcMar>
              <w:left w:w="108" w:type="dxa"/>
              <w:right w:w="108" w:type="dxa"/>
            </w:tcMar>
            <w:vAlign w:val="center"/>
          </w:tcPr>
          <w:p>
            <w:pPr>
              <w:spacing w:line="240" w:lineRule="auto"/>
              <w:rPr>
                <w:rFonts w:ascii="宋体"/>
                <w:sz w:val="24"/>
              </w:rPr>
            </w:pPr>
          </w:p>
        </w:tc>
        <w:tc>
          <w:tcPr>
            <w:tcW w:w="854" w:type="dxa"/>
            <w:vMerge w:val="continue"/>
            <w:tcBorders>
              <w:tl2br w:val="nil"/>
              <w:tr2bl w:val="nil"/>
            </w:tcBorders>
            <w:tcMar>
              <w:left w:w="108" w:type="dxa"/>
              <w:right w:w="108" w:type="dxa"/>
            </w:tcMar>
            <w:vAlign w:val="center"/>
          </w:tcPr>
          <w:p>
            <w:pPr>
              <w:spacing w:line="240" w:lineRule="auto"/>
              <w:rPr>
                <w:rFonts w:ascii="宋体"/>
                <w:sz w:val="24"/>
              </w:rPr>
            </w:pPr>
          </w:p>
        </w:tc>
        <w:tc>
          <w:tcPr>
            <w:tcW w:w="2086" w:type="dxa"/>
            <w:tcBorders>
              <w:tl2br w:val="nil"/>
              <w:tr2bl w:val="nil"/>
            </w:tcBorders>
            <w:tcMar>
              <w:left w:w="108" w:type="dxa"/>
              <w:right w:w="108" w:type="dxa"/>
            </w:tcMar>
            <w:vAlign w:val="center"/>
          </w:tcPr>
          <w:p>
            <w:pPr>
              <w:widowControl/>
              <w:spacing w:after="180" w:line="240" w:lineRule="auto"/>
              <w:jc w:val="left"/>
            </w:pPr>
            <w:r>
              <w:rPr>
                <w:rFonts w:hint="eastAsia" w:ascii="楷体" w:hAnsi="楷体" w:eastAsia="楷体" w:cs="楷体"/>
                <w:kern w:val="0"/>
                <w:sz w:val="20"/>
                <w:szCs w:val="20"/>
              </w:rPr>
              <w:t>3.补正后申请内容仍不明确</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spacing w:line="240" w:lineRule="auto"/>
              <w:rPr>
                <w:rFonts w:ascii="宋体"/>
                <w:sz w:val="24"/>
              </w:rPr>
            </w:pPr>
          </w:p>
        </w:tc>
        <w:tc>
          <w:tcPr>
            <w:tcW w:w="854" w:type="dxa"/>
            <w:vMerge w:val="restart"/>
            <w:tcBorders>
              <w:tl2br w:val="nil"/>
              <w:tr2bl w:val="nil"/>
            </w:tcBorders>
            <w:tcMar>
              <w:left w:w="108" w:type="dxa"/>
              <w:right w:w="108" w:type="dxa"/>
            </w:tcMar>
            <w:vAlign w:val="center"/>
          </w:tcPr>
          <w:p>
            <w:pPr>
              <w:widowControl/>
              <w:spacing w:after="180" w:line="240" w:lineRule="auto"/>
              <w:jc w:val="left"/>
            </w:pPr>
            <w:r>
              <w:rPr>
                <w:rFonts w:hint="eastAsia" w:ascii="楷体" w:hAnsi="楷体" w:eastAsia="楷体" w:cs="楷体"/>
                <w:kern w:val="0"/>
                <w:sz w:val="20"/>
                <w:szCs w:val="20"/>
              </w:rPr>
              <w:t>（五）不予处理</w:t>
            </w:r>
          </w:p>
        </w:tc>
        <w:tc>
          <w:tcPr>
            <w:tcW w:w="2086" w:type="dxa"/>
            <w:tcBorders>
              <w:tl2br w:val="nil"/>
              <w:tr2bl w:val="nil"/>
            </w:tcBorders>
            <w:tcMar>
              <w:left w:w="108" w:type="dxa"/>
              <w:right w:w="108" w:type="dxa"/>
            </w:tcMar>
            <w:vAlign w:val="center"/>
          </w:tcPr>
          <w:p>
            <w:pPr>
              <w:widowControl/>
              <w:spacing w:after="180" w:line="240" w:lineRule="auto"/>
              <w:jc w:val="left"/>
            </w:pPr>
            <w:r>
              <w:rPr>
                <w:rFonts w:hint="eastAsia" w:ascii="楷体" w:hAnsi="楷体" w:eastAsia="楷体" w:cs="楷体"/>
                <w:kern w:val="0"/>
                <w:sz w:val="20"/>
                <w:szCs w:val="20"/>
              </w:rPr>
              <w:t>1.信访举报投诉类申请</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spacing w:line="240" w:lineRule="auto"/>
              <w:rPr>
                <w:rFonts w:ascii="宋体"/>
                <w:sz w:val="24"/>
              </w:rPr>
            </w:pPr>
          </w:p>
        </w:tc>
        <w:tc>
          <w:tcPr>
            <w:tcW w:w="854" w:type="dxa"/>
            <w:vMerge w:val="continue"/>
            <w:tcBorders>
              <w:tl2br w:val="nil"/>
              <w:tr2bl w:val="nil"/>
            </w:tcBorders>
            <w:tcMar>
              <w:left w:w="108" w:type="dxa"/>
              <w:right w:w="108" w:type="dxa"/>
            </w:tcMar>
            <w:vAlign w:val="center"/>
          </w:tcPr>
          <w:p>
            <w:pPr>
              <w:spacing w:line="240" w:lineRule="auto"/>
              <w:rPr>
                <w:rFonts w:ascii="宋体"/>
                <w:sz w:val="24"/>
              </w:rPr>
            </w:pPr>
          </w:p>
        </w:tc>
        <w:tc>
          <w:tcPr>
            <w:tcW w:w="2086" w:type="dxa"/>
            <w:tcBorders>
              <w:tl2br w:val="nil"/>
              <w:tr2bl w:val="nil"/>
            </w:tcBorders>
            <w:tcMar>
              <w:left w:w="108" w:type="dxa"/>
              <w:right w:w="108" w:type="dxa"/>
            </w:tcMar>
            <w:vAlign w:val="center"/>
          </w:tcPr>
          <w:p>
            <w:pPr>
              <w:widowControl/>
              <w:spacing w:after="180" w:line="240" w:lineRule="auto"/>
              <w:jc w:val="left"/>
            </w:pPr>
            <w:r>
              <w:rPr>
                <w:rFonts w:hint="eastAsia" w:ascii="楷体" w:hAnsi="楷体" w:eastAsia="楷体" w:cs="楷体"/>
                <w:kern w:val="0"/>
                <w:sz w:val="20"/>
                <w:szCs w:val="20"/>
              </w:rPr>
              <w:t>2.重复申请</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spacing w:line="240" w:lineRule="auto"/>
              <w:rPr>
                <w:rFonts w:ascii="宋体"/>
                <w:sz w:val="24"/>
              </w:rPr>
            </w:pPr>
          </w:p>
        </w:tc>
        <w:tc>
          <w:tcPr>
            <w:tcW w:w="854" w:type="dxa"/>
            <w:vMerge w:val="continue"/>
            <w:tcBorders>
              <w:tl2br w:val="nil"/>
              <w:tr2bl w:val="nil"/>
            </w:tcBorders>
            <w:tcMar>
              <w:left w:w="108" w:type="dxa"/>
              <w:right w:w="108" w:type="dxa"/>
            </w:tcMar>
            <w:vAlign w:val="center"/>
          </w:tcPr>
          <w:p>
            <w:pPr>
              <w:spacing w:line="240" w:lineRule="auto"/>
              <w:rPr>
                <w:rFonts w:ascii="宋体"/>
                <w:sz w:val="24"/>
              </w:rPr>
            </w:pPr>
          </w:p>
        </w:tc>
        <w:tc>
          <w:tcPr>
            <w:tcW w:w="2086" w:type="dxa"/>
            <w:tcBorders>
              <w:tl2br w:val="nil"/>
              <w:tr2bl w:val="nil"/>
            </w:tcBorders>
            <w:tcMar>
              <w:left w:w="108" w:type="dxa"/>
              <w:right w:w="108" w:type="dxa"/>
            </w:tcMar>
            <w:vAlign w:val="center"/>
          </w:tcPr>
          <w:p>
            <w:pPr>
              <w:widowControl/>
              <w:spacing w:after="180" w:line="240" w:lineRule="auto"/>
              <w:jc w:val="left"/>
            </w:pPr>
            <w:r>
              <w:rPr>
                <w:rFonts w:hint="eastAsia" w:ascii="楷体" w:hAnsi="楷体" w:eastAsia="楷体" w:cs="楷体"/>
                <w:kern w:val="0"/>
                <w:sz w:val="20"/>
                <w:szCs w:val="20"/>
              </w:rPr>
              <w:t>3.要求提供公开出版物</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spacing w:line="240" w:lineRule="auto"/>
              <w:rPr>
                <w:rFonts w:ascii="宋体"/>
                <w:sz w:val="24"/>
              </w:rPr>
            </w:pPr>
          </w:p>
        </w:tc>
        <w:tc>
          <w:tcPr>
            <w:tcW w:w="854" w:type="dxa"/>
            <w:vMerge w:val="continue"/>
            <w:tcBorders>
              <w:tl2br w:val="nil"/>
              <w:tr2bl w:val="nil"/>
            </w:tcBorders>
            <w:tcMar>
              <w:left w:w="108" w:type="dxa"/>
              <w:right w:w="108" w:type="dxa"/>
            </w:tcMar>
            <w:vAlign w:val="center"/>
          </w:tcPr>
          <w:p>
            <w:pPr>
              <w:spacing w:line="240" w:lineRule="auto"/>
              <w:rPr>
                <w:rFonts w:ascii="宋体"/>
                <w:sz w:val="24"/>
              </w:rPr>
            </w:pPr>
          </w:p>
        </w:tc>
        <w:tc>
          <w:tcPr>
            <w:tcW w:w="2086" w:type="dxa"/>
            <w:tcBorders>
              <w:tl2br w:val="nil"/>
              <w:tr2bl w:val="nil"/>
            </w:tcBorders>
            <w:tcMar>
              <w:left w:w="108" w:type="dxa"/>
              <w:right w:w="108" w:type="dxa"/>
            </w:tcMar>
            <w:vAlign w:val="center"/>
          </w:tcPr>
          <w:p>
            <w:pPr>
              <w:widowControl/>
              <w:spacing w:after="180" w:line="240" w:lineRule="auto"/>
              <w:jc w:val="left"/>
            </w:pPr>
            <w:r>
              <w:rPr>
                <w:rFonts w:hint="eastAsia" w:ascii="楷体" w:hAnsi="楷体" w:eastAsia="楷体" w:cs="楷体"/>
                <w:kern w:val="0"/>
                <w:sz w:val="20"/>
                <w:szCs w:val="20"/>
              </w:rPr>
              <w:t>4.无正当理由大量反复申请</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spacing w:line="240" w:lineRule="auto"/>
              <w:rPr>
                <w:rFonts w:ascii="宋体"/>
                <w:sz w:val="24"/>
              </w:rPr>
            </w:pPr>
          </w:p>
        </w:tc>
        <w:tc>
          <w:tcPr>
            <w:tcW w:w="854" w:type="dxa"/>
            <w:vMerge w:val="continue"/>
            <w:tcBorders>
              <w:tl2br w:val="nil"/>
              <w:tr2bl w:val="nil"/>
            </w:tcBorders>
            <w:tcMar>
              <w:left w:w="108" w:type="dxa"/>
              <w:right w:w="108" w:type="dxa"/>
            </w:tcMar>
            <w:vAlign w:val="center"/>
          </w:tcPr>
          <w:p>
            <w:pPr>
              <w:spacing w:line="240" w:lineRule="auto"/>
              <w:rPr>
                <w:rFonts w:ascii="宋体"/>
                <w:sz w:val="24"/>
              </w:rPr>
            </w:pPr>
          </w:p>
        </w:tc>
        <w:tc>
          <w:tcPr>
            <w:tcW w:w="2086" w:type="dxa"/>
            <w:tcBorders>
              <w:tl2br w:val="nil"/>
              <w:tr2bl w:val="nil"/>
            </w:tcBorders>
            <w:tcMar>
              <w:left w:w="108" w:type="dxa"/>
              <w:right w:w="108" w:type="dxa"/>
            </w:tcMar>
            <w:vAlign w:val="center"/>
          </w:tcPr>
          <w:p>
            <w:pPr>
              <w:widowControl/>
              <w:spacing w:after="180" w:line="240" w:lineRule="auto"/>
              <w:jc w:val="left"/>
            </w:pPr>
            <w:r>
              <w:rPr>
                <w:rFonts w:hint="eastAsia" w:ascii="楷体" w:hAnsi="楷体" w:eastAsia="楷体" w:cs="楷体"/>
                <w:kern w:val="0"/>
                <w:sz w:val="20"/>
                <w:szCs w:val="20"/>
              </w:rPr>
              <w:t>5.要求行政机关确认或重新出具已获取信息</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spacing w:line="240" w:lineRule="auto"/>
              <w:rPr>
                <w:rFonts w:ascii="宋体"/>
                <w:sz w:val="24"/>
              </w:rPr>
            </w:pPr>
          </w:p>
        </w:tc>
        <w:tc>
          <w:tcPr>
            <w:tcW w:w="2940" w:type="dxa"/>
            <w:gridSpan w:val="2"/>
            <w:tcBorders>
              <w:tl2br w:val="nil"/>
              <w:tr2bl w:val="nil"/>
            </w:tcBorders>
            <w:tcMar>
              <w:left w:w="108" w:type="dxa"/>
              <w:right w:w="108" w:type="dxa"/>
            </w:tcMar>
            <w:vAlign w:val="center"/>
          </w:tcPr>
          <w:p>
            <w:pPr>
              <w:widowControl/>
              <w:spacing w:after="180" w:line="240" w:lineRule="auto"/>
              <w:jc w:val="left"/>
            </w:pPr>
            <w:r>
              <w:rPr>
                <w:rFonts w:hint="eastAsia" w:ascii="楷体" w:hAnsi="楷体" w:eastAsia="楷体" w:cs="楷体"/>
                <w:kern w:val="0"/>
                <w:sz w:val="20"/>
                <w:szCs w:val="20"/>
              </w:rPr>
              <w:t>（六）其他处理</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spacing w:line="240" w:lineRule="auto"/>
              <w:rPr>
                <w:rFonts w:ascii="宋体"/>
                <w:sz w:val="24"/>
              </w:rPr>
            </w:pPr>
          </w:p>
        </w:tc>
        <w:tc>
          <w:tcPr>
            <w:tcW w:w="2940" w:type="dxa"/>
            <w:gridSpan w:val="2"/>
            <w:tcBorders>
              <w:tl2br w:val="nil"/>
              <w:tr2bl w:val="nil"/>
            </w:tcBorders>
            <w:tcMar>
              <w:left w:w="108" w:type="dxa"/>
              <w:right w:w="108" w:type="dxa"/>
            </w:tcMar>
            <w:vAlign w:val="center"/>
          </w:tcPr>
          <w:p>
            <w:pPr>
              <w:widowControl/>
              <w:spacing w:after="180" w:line="240" w:lineRule="auto"/>
              <w:jc w:val="left"/>
            </w:pPr>
            <w:r>
              <w:rPr>
                <w:rFonts w:hint="eastAsia" w:ascii="楷体" w:hAnsi="楷体" w:eastAsia="楷体" w:cs="楷体"/>
                <w:kern w:val="0"/>
                <w:sz w:val="20"/>
                <w:szCs w:val="20"/>
              </w:rPr>
              <w:t>（七）总计</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tcBorders>
              <w:tl2br w:val="nil"/>
              <w:tr2bl w:val="nil"/>
            </w:tcBorders>
            <w:tcMar>
              <w:left w:w="108" w:type="dxa"/>
              <w:right w:w="108" w:type="dxa"/>
            </w:tcMar>
            <w:vAlign w:val="center"/>
          </w:tcPr>
          <w:p>
            <w:pPr>
              <w:widowControl/>
              <w:spacing w:after="180" w:line="240" w:lineRule="auto"/>
              <w:jc w:val="left"/>
            </w:pPr>
            <w:r>
              <w:rPr>
                <w:rFonts w:hint="eastAsia" w:ascii="宋体" w:hAnsi="宋体" w:eastAsia="宋体" w:cs="宋体"/>
                <w:kern w:val="0"/>
                <w:sz w:val="20"/>
                <w:szCs w:val="20"/>
              </w:rPr>
              <w:t>四、结转下年度继续办理</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line="240" w:lineRule="auto"/>
              <w:jc w:val="center"/>
              <w:rPr>
                <w:rFonts w:ascii="宋体"/>
                <w:sz w:val="24"/>
              </w:rPr>
            </w:pPr>
            <w:r>
              <w:rPr>
                <w:rFonts w:ascii="Calibri" w:eastAsia="宋体" w:cs="Calibri"/>
                <w:kern w:val="0"/>
                <w:sz w:val="20"/>
                <w:szCs w:val="20"/>
              </w:rPr>
              <w:t>0</w:t>
            </w:r>
          </w:p>
        </w:tc>
      </w:tr>
    </w:tbl>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outlineLvl w:val="0"/>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四、政府信息公开行政复议、行政诉讼情况</w:t>
      </w:r>
    </w:p>
    <w:tbl>
      <w:tblPr>
        <w:tblStyle w:val="3"/>
        <w:tblpPr w:leftFromText="180" w:rightFromText="180" w:vertAnchor="text" w:horzAnchor="page" w:tblpX="1542" w:tblpY="555"/>
        <w:tblOverlap w:val="never"/>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240" w:lineRule="auto"/>
              <w:rPr>
                <w:rFonts w:ascii="宋体"/>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spacing w:line="240" w:lineRule="auto"/>
              <w:rPr>
                <w:rFonts w:ascii="宋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spacing w:line="240" w:lineRule="auto"/>
              <w:rPr>
                <w:rFonts w:ascii="宋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spacing w:line="240" w:lineRule="auto"/>
              <w:rPr>
                <w:rFonts w:ascii="宋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spacing w:line="240" w:lineRule="auto"/>
              <w:rPr>
                <w:rFonts w:ascii="宋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line="240" w:lineRule="auto"/>
              <w:jc w:val="center"/>
            </w:pPr>
            <w:r>
              <w:rPr>
                <w:rFonts w:ascii="Calibri" w:eastAsia="宋体" w:cs="Calibri"/>
                <w:kern w:val="0"/>
                <w:sz w:val="20"/>
                <w:szCs w:val="20"/>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line="240" w:lineRule="auto"/>
              <w:jc w:val="center"/>
              <w:rPr>
                <w:rFonts w:ascii="宋体"/>
                <w:sz w:val="24"/>
              </w:rPr>
            </w:pPr>
            <w:r>
              <w:rPr>
                <w:rFonts w:ascii="Calibri" w:eastAsia="宋体" w:cs="Calibri"/>
                <w:kern w:val="0"/>
                <w:sz w:val="20"/>
                <w:szCs w:val="20"/>
              </w:rPr>
              <w:t>0</w:t>
            </w:r>
          </w:p>
        </w:tc>
      </w:tr>
    </w:tbl>
    <w:p>
      <w:pPr>
        <w:pStyle w:val="2"/>
        <w:shd w:val="clear" w:color="auto" w:fill="FFFFFF"/>
        <w:spacing w:before="0" w:beforeAutospacing="0" w:after="0" w:afterAutospacing="0" w:line="560" w:lineRule="exact"/>
        <w:ind w:firstLine="420"/>
        <w:jc w:val="both"/>
        <w:outlineLvl w:val="0"/>
        <w:rPr>
          <w:rFonts w:ascii="黑体" w:hAnsi="黑体" w:eastAsia="黑体"/>
          <w:color w:val="333333"/>
          <w:sz w:val="32"/>
          <w:szCs w:val="32"/>
        </w:rPr>
      </w:pPr>
      <w:r>
        <w:rPr>
          <w:rFonts w:hint="eastAsia" w:ascii="黑体" w:hAnsi="黑体" w:eastAsia="黑体"/>
          <w:color w:val="333333"/>
          <w:sz w:val="32"/>
          <w:szCs w:val="32"/>
          <w:shd w:val="clear" w:color="auto" w:fill="FFFFFF"/>
        </w:rPr>
        <w:t>五、存在的主要问题及改进情况</w:t>
      </w:r>
    </w:p>
    <w:p>
      <w:pPr>
        <w:widowControl/>
        <w:shd w:val="clear" w:color="auto" w:fill="FFFFFF"/>
        <w:spacing w:line="560" w:lineRule="exact"/>
        <w:ind w:firstLine="645"/>
        <w:rPr>
          <w:rFonts w:hint="eastAsia" w:ascii="仿宋" w:hAnsi="仿宋" w:eastAsia="仿宋" w:cs="仿宋"/>
          <w:color w:val="333333"/>
          <w:kern w:val="0"/>
          <w:szCs w:val="32"/>
        </w:rPr>
      </w:pPr>
      <w:r>
        <w:rPr>
          <w:rFonts w:hint="eastAsia" w:ascii="楷体" w:hAnsi="楷体" w:eastAsia="楷体" w:cs="宋体"/>
          <w:color w:val="333333"/>
          <w:kern w:val="0"/>
          <w:szCs w:val="32"/>
        </w:rPr>
        <w:t>（一）政府信息公开工作意识有待加强。</w:t>
      </w:r>
      <w:r>
        <w:rPr>
          <w:rFonts w:hint="eastAsia" w:ascii="仿宋" w:hAnsi="仿宋" w:eastAsia="仿宋" w:cs="仿宋"/>
          <w:color w:val="333333"/>
          <w:kern w:val="0"/>
          <w:szCs w:val="32"/>
        </w:rPr>
        <w:t>随着政务公开、村务公开、党务公开等信息公开工作的深化推进，部分干部职工、村“两委”干部对信息公开工作的认识仍然不够全面，对主动公开信息工作积极性不高，缺少主动公开的意识。</w:t>
      </w:r>
    </w:p>
    <w:p>
      <w:pPr>
        <w:widowControl/>
        <w:shd w:val="clear" w:color="auto" w:fill="FFFFFF"/>
        <w:spacing w:line="560" w:lineRule="exact"/>
        <w:ind w:firstLine="645"/>
        <w:rPr>
          <w:rFonts w:hint="eastAsia" w:ascii="仿宋" w:hAnsi="仿宋" w:eastAsia="仿宋" w:cs="仿宋"/>
          <w:color w:val="333333"/>
          <w:kern w:val="0"/>
          <w:szCs w:val="32"/>
        </w:rPr>
      </w:pPr>
      <w:r>
        <w:rPr>
          <w:rFonts w:hint="eastAsia" w:ascii="楷体" w:hAnsi="楷体" w:eastAsia="楷体" w:cs="宋体"/>
          <w:color w:val="333333"/>
          <w:kern w:val="0"/>
          <w:szCs w:val="32"/>
        </w:rPr>
        <w:t>（二）信息公开工作知识的培训较少。</w:t>
      </w:r>
      <w:r>
        <w:rPr>
          <w:rFonts w:hint="eastAsia" w:ascii="仿宋" w:hAnsi="仿宋" w:eastAsia="仿宋" w:cs="仿宋"/>
          <w:color w:val="333333"/>
          <w:kern w:val="0"/>
          <w:szCs w:val="32"/>
        </w:rPr>
        <w:t>个别信息公开工作人员对主动公开的信息把握不准，业务不熟，特别是村“两委”干部普遍存在不熟练使用电脑甚至不会使用电脑的现象，对政务外网了解不够，对村级政务公开、党务公开存在一定难度。</w:t>
      </w:r>
    </w:p>
    <w:p>
      <w:pPr>
        <w:widowControl/>
        <w:shd w:val="clear" w:color="auto" w:fill="FFFFFF"/>
        <w:spacing w:line="560" w:lineRule="exact"/>
        <w:ind w:firstLine="645"/>
        <w:rPr>
          <w:rFonts w:cs="宋体" w:hAnsiTheme="minorEastAsia"/>
          <w:color w:val="333333"/>
          <w:kern w:val="0"/>
          <w:szCs w:val="32"/>
        </w:rPr>
      </w:pPr>
      <w:r>
        <w:rPr>
          <w:rFonts w:hint="eastAsia" w:ascii="楷体" w:hAnsi="楷体" w:eastAsia="楷体" w:cs="宋体"/>
          <w:color w:val="333333"/>
          <w:kern w:val="0"/>
          <w:szCs w:val="32"/>
        </w:rPr>
        <w:t>（三）信息公开平台载体建设还有待加强。</w:t>
      </w:r>
      <w:r>
        <w:rPr>
          <w:rFonts w:hint="eastAsia" w:ascii="仿宋" w:hAnsi="仿宋" w:eastAsia="仿宋" w:cs="仿宋"/>
          <w:color w:val="333333"/>
          <w:kern w:val="0"/>
          <w:szCs w:val="32"/>
        </w:rPr>
        <w:t>信息公开查阅场所、主动公开信息的平台还比较单一，局限于政务服务中心信息查阅点和各村（居）委会公告栏等，设施不够完善。</w:t>
      </w:r>
    </w:p>
    <w:p>
      <w:pPr>
        <w:widowControl/>
        <w:shd w:val="clear" w:color="auto" w:fill="FFFFFF"/>
        <w:spacing w:line="560" w:lineRule="exact"/>
        <w:ind w:firstLine="645"/>
        <w:rPr>
          <w:rFonts w:hint="eastAsia" w:ascii="仿宋" w:hAnsi="仿宋" w:eastAsia="仿宋" w:cs="仿宋"/>
          <w:color w:val="333333"/>
          <w:kern w:val="0"/>
          <w:szCs w:val="32"/>
        </w:rPr>
      </w:pPr>
      <w:r>
        <w:rPr>
          <w:rFonts w:hint="eastAsia" w:ascii="仿宋" w:hAnsi="仿宋" w:eastAsia="仿宋" w:cs="仿宋"/>
          <w:color w:val="333333"/>
          <w:kern w:val="0"/>
          <w:szCs w:val="32"/>
        </w:rPr>
        <w:t>下一步，我乡将继续严格按照政府信息公开、政务公开的各项要求和目标，依托统一的政府网站，不断完善政府信息公开的内容，提升信息公开的及时性。加强宣传教育，进一步增强干部做好信息公开工作的责任感和使命感，争取社会公众更深入地理解和支持；加强督促指导，健全信息公开工作制度，自查自检、立行整改，进一步规范信息公开行为和具体公开内容，不断提高信息公开质量和效率；加强信息保密审查，安排专人负责信息公开工作，在公开信息前进行信息公开保密审查，确保信息公开的真实、安全。</w:t>
      </w:r>
    </w:p>
    <w:p>
      <w:pPr>
        <w:pStyle w:val="2"/>
        <w:shd w:val="clear" w:color="auto" w:fill="FFFFFF"/>
        <w:spacing w:before="0" w:beforeAutospacing="0" w:after="0" w:afterAutospacing="0" w:line="560" w:lineRule="exact"/>
        <w:ind w:firstLine="420"/>
        <w:jc w:val="both"/>
        <w:outlineLvl w:val="0"/>
        <w:rPr>
          <w:rFonts w:ascii="黑体" w:hAnsi="黑体" w:eastAsia="黑体"/>
          <w:color w:val="333333"/>
          <w:sz w:val="32"/>
          <w:szCs w:val="32"/>
        </w:rPr>
      </w:pPr>
      <w:r>
        <w:rPr>
          <w:rFonts w:hint="eastAsia" w:ascii="黑体" w:hAnsi="黑体" w:eastAsia="黑体"/>
          <w:color w:val="333333"/>
          <w:sz w:val="32"/>
          <w:szCs w:val="32"/>
          <w:shd w:val="clear" w:color="auto" w:fill="FFFFFF"/>
        </w:rPr>
        <w:t>六、其他需要报告的事项</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0"/>
        <w:rPr>
          <w:rFonts w:hint="eastAsia" w:ascii="仿宋" w:hAnsi="仿宋" w:eastAsia="仿宋" w:cs="仿宋"/>
          <w:color w:val="333333"/>
          <w:sz w:val="32"/>
          <w:szCs w:val="32"/>
          <w:shd w:val="clear" w:color="auto" w:fill="FFFFFF"/>
          <w:lang w:val="en-US" w:eastAsia="zh-CN"/>
        </w:rPr>
      </w:pPr>
      <w:bookmarkStart w:id="2" w:name="_GoBack"/>
      <w:r>
        <w:rPr>
          <w:rFonts w:hint="eastAsia" w:ascii="仿宋" w:hAnsi="仿宋" w:eastAsia="仿宋" w:cs="仿宋"/>
          <w:color w:val="333333"/>
          <w:sz w:val="32"/>
          <w:szCs w:val="32"/>
          <w:shd w:val="clear" w:color="auto" w:fill="FFFFFF"/>
          <w:lang w:val="en-US" w:eastAsia="zh-CN"/>
        </w:rPr>
        <w:t>认真贯彻执行国务院办公厅《政府信息公开信息处理费管理办法》和《关于政府信息公开处理费管理有关事项的通知》。2022年未收取信息处理费。</w:t>
      </w:r>
    </w:p>
    <w:bookmarkEnd w:id="2"/>
    <w:p>
      <w:pPr>
        <w:pStyle w:val="2"/>
        <w:shd w:val="clear" w:color="auto" w:fill="FFFFFF"/>
        <w:spacing w:before="0" w:beforeAutospacing="0" w:after="0" w:afterAutospacing="0" w:line="560" w:lineRule="exact"/>
        <w:ind w:firstLine="420"/>
        <w:jc w:val="both"/>
        <w:rPr>
          <w:rFonts w:ascii="仿宋_GB2312" w:eastAsia="仿宋_GB2312"/>
          <w:color w:val="333333"/>
          <w:sz w:val="32"/>
          <w:szCs w:val="32"/>
          <w:shd w:val="clear" w:color="auto" w:fill="FFFFFF"/>
        </w:rPr>
      </w:pPr>
    </w:p>
    <w:p>
      <w:pPr>
        <w:pStyle w:val="2"/>
        <w:shd w:val="clear" w:color="auto" w:fill="FFFFFF"/>
        <w:spacing w:before="0" w:beforeAutospacing="0" w:after="0" w:afterAutospacing="0" w:line="560" w:lineRule="exact"/>
        <w:ind w:firstLine="420"/>
        <w:jc w:val="both"/>
        <w:rPr>
          <w:rFonts w:ascii="仿宋_GB2312" w:eastAsia="仿宋_GB2312"/>
          <w:color w:val="333333"/>
          <w:sz w:val="32"/>
          <w:szCs w:val="32"/>
          <w:shd w:val="clear" w:color="auto" w:fill="FFFFFF"/>
        </w:rPr>
      </w:pPr>
    </w:p>
    <w:p>
      <w:pPr>
        <w:pStyle w:val="2"/>
        <w:shd w:val="clear" w:color="auto" w:fill="FFFFFF"/>
        <w:spacing w:before="0" w:beforeAutospacing="0" w:after="0" w:afterAutospacing="0" w:line="560" w:lineRule="exact"/>
        <w:ind w:firstLine="4416" w:firstLineChars="1380"/>
        <w:jc w:val="right"/>
        <w:rPr>
          <w:rFonts w:ascii="仿宋_GB2312" w:eastAsia="仿宋_GB2312"/>
          <w:sz w:val="32"/>
          <w:szCs w:val="32"/>
        </w:rPr>
      </w:pPr>
    </w:p>
    <w:sectPr>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B229F"/>
    <w:rsid w:val="00040727"/>
    <w:rsid w:val="0007315B"/>
    <w:rsid w:val="001C1AC4"/>
    <w:rsid w:val="00371ECD"/>
    <w:rsid w:val="004429DE"/>
    <w:rsid w:val="00461802"/>
    <w:rsid w:val="005F69D5"/>
    <w:rsid w:val="00702617"/>
    <w:rsid w:val="0077067A"/>
    <w:rsid w:val="00885492"/>
    <w:rsid w:val="0091508B"/>
    <w:rsid w:val="00985103"/>
    <w:rsid w:val="00A55116"/>
    <w:rsid w:val="00A6650C"/>
    <w:rsid w:val="00E9692B"/>
    <w:rsid w:val="00EC254C"/>
    <w:rsid w:val="00F012DE"/>
    <w:rsid w:val="00F65696"/>
    <w:rsid w:val="026711A3"/>
    <w:rsid w:val="14F63CF5"/>
    <w:rsid w:val="3E5B229F"/>
    <w:rsid w:val="6C886E7C"/>
    <w:rsid w:val="72826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rPr>
  </w:style>
  <w:style w:type="character" w:styleId="5">
    <w:name w:val="Strong"/>
    <w:basedOn w:val="4"/>
    <w:qFormat/>
    <w:uiPriority w:val="22"/>
    <w:rPr>
      <w:b/>
      <w:bCs/>
    </w:rPr>
  </w:style>
  <w:style w:type="character" w:customStyle="1" w:styleId="6">
    <w:name w:val="Intense Reference"/>
    <w:basedOn w:val="4"/>
    <w:qFormat/>
    <w:uiPriority w:val="32"/>
    <w:rPr>
      <w:b/>
      <w:bCs/>
      <w:smallCaps/>
      <w:color w:val="5B9BD5" w:themeColor="accent1"/>
      <w:spacing w:val="5"/>
      <w14:textFill>
        <w14:solidFill>
          <w14:schemeClr w14:val="accent1"/>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2436</Words>
  <Characters>2469</Characters>
  <Lines>21</Lines>
  <Paragraphs>5</Paragraphs>
  <TotalTime>1</TotalTime>
  <ScaleCrop>false</ScaleCrop>
  <LinksUpToDate>false</LinksUpToDate>
  <CharactersWithSpaces>2469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2019-12-29T11:38:00Z</dcterms:created>
  <dc:creator>小公举</dc:creator>
  <cp:lastModifiedBy>晨曦</cp:lastModifiedBy>
  <cp:lastPrinted>2022-01-29T02:09:00Z</cp:lastPrinted>
  <dcterms:modified xsi:type="dcterms:W3CDTF">2023-03-23T02:48:17Z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582F7DEC762C43BEA89BCDF069FDE62D</vt:lpwstr>
  </property>
</Properties>
</file>