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center"/>
        <w:rPr>
          <w:rFonts w:hint="eastAsia"/>
          <w:b/>
          <w:bCs w:val="0"/>
          <w:color w:val="333333"/>
          <w:sz w:val="44"/>
          <w:szCs w:val="44"/>
          <w:shd w:val="clear" w:color="auto" w:fill="FFFFFF"/>
        </w:rPr>
      </w:pPr>
      <w:r>
        <w:rPr>
          <w:rFonts w:hint="eastAsia"/>
          <w:b/>
          <w:bCs w:val="0"/>
          <w:color w:val="333333"/>
          <w:sz w:val="44"/>
          <w:szCs w:val="44"/>
          <w:shd w:val="clear" w:color="auto" w:fill="FFFFFF"/>
        </w:rPr>
        <w:t>曲阳县应急管理局</w:t>
      </w:r>
    </w:p>
    <w:p>
      <w:pPr>
        <w:pStyle w:val="3"/>
        <w:shd w:val="clear" w:color="auto" w:fill="FFFFFF"/>
        <w:spacing w:before="0" w:beforeAutospacing="0" w:after="0" w:afterAutospacing="0"/>
        <w:jc w:val="center"/>
        <w:rPr>
          <w:b/>
          <w:bCs w:val="0"/>
          <w:color w:val="333333"/>
          <w:sz w:val="44"/>
          <w:szCs w:val="44"/>
        </w:rPr>
      </w:pPr>
      <w:r>
        <w:rPr>
          <w:rFonts w:hint="eastAsia"/>
          <w:b/>
          <w:bCs w:val="0"/>
          <w:color w:val="333333"/>
          <w:sz w:val="44"/>
          <w:szCs w:val="44"/>
          <w:shd w:val="clear" w:color="auto" w:fill="FFFFFF"/>
        </w:rPr>
        <w:t>2022年政府信息公开工作年度报告</w:t>
      </w:r>
    </w:p>
    <w:p>
      <w:pPr>
        <w:pStyle w:val="3"/>
        <w:shd w:val="clear" w:color="auto" w:fill="FFFFFF"/>
        <w:spacing w:before="0" w:beforeAutospacing="0" w:after="240" w:afterAutospacing="0"/>
        <w:ind w:firstLine="420"/>
        <w:jc w:val="both"/>
        <w:rPr>
          <w:rFonts w:hint="eastAsia"/>
          <w:b/>
          <w:color w:val="333333"/>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一、总体情况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本报告依据《中华人民共和国政府信息公开条例》和《中华人民共和国政府信息公开工作年度报告格式（试行）》要求编制而成。全文包括总体情况、主动公开政府信息情况、收到和处理政府信息公开申请情况、政府信息公开行政复议和行政诉讼情况、存在的主要问题及改进情况、其他需要报告的事项等六部分组成。本年度报告中所列数据的统计期限自2022年1月1日起，至2022年12月31日止。</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2022年，我局坚持以习近平新时代中国特色社会主义思想为指导，严格按照国家、省、市相关文件要求，坚持问题导向，多措并举，不断完善各项公开制度，细化公开程序和内容，着力打造安全监管阳光政务。我局以县政府门户网站、行政执法公示平台等为基础，结合微信公众号等媒体，大力推动安全生产公共管理和社会服务的信息资源共享，提高安全生产信息共享程度和公开程度。</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shd w:val="clear" w:color="auto" w:fill="FFFFFF"/>
        </w:rPr>
      </w:pPr>
      <w:r>
        <w:rPr>
          <w:rFonts w:hint="eastAsia" w:ascii="楷体" w:hAnsi="楷体" w:eastAsia="楷体" w:cs="楷体"/>
          <w:b w:val="0"/>
          <w:bCs w:val="0"/>
          <w:sz w:val="32"/>
          <w:szCs w:val="32"/>
          <w:shd w:val="clear" w:color="auto" w:fill="FFFFFF"/>
        </w:rPr>
        <w:t>（一）进一步强化领导。</w:t>
      </w:r>
      <w:r>
        <w:rPr>
          <w:rFonts w:hint="eastAsia" w:ascii="仿宋" w:hAnsi="仿宋" w:eastAsia="仿宋" w:cs="仿宋"/>
          <w:sz w:val="32"/>
          <w:szCs w:val="32"/>
          <w:shd w:val="clear" w:color="auto" w:fill="FFFFFF"/>
        </w:rPr>
        <w:t>成立了由局主要负责人担任政府信息公开工作领导小组组长的领导小组，明确专人负责政府信息公开工作。局长办公会议适时听取政府信息公开工作汇报，研究部署政府信息公开工作。制定并发布主动公开基本目录，严格在规定的时限内主动公开相关信息。</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shd w:val="clear" w:color="auto" w:fill="FFFFFF"/>
        </w:rPr>
      </w:pPr>
      <w:r>
        <w:rPr>
          <w:rFonts w:hint="eastAsia" w:ascii="楷体" w:hAnsi="楷体" w:eastAsia="楷体" w:cs="楷体"/>
          <w:b w:val="0"/>
          <w:bCs w:val="0"/>
          <w:sz w:val="32"/>
          <w:szCs w:val="32"/>
          <w:shd w:val="clear" w:color="auto" w:fill="FFFFFF"/>
        </w:rPr>
        <w:t>（二）进一步程序规范。</w:t>
      </w:r>
      <w:r>
        <w:rPr>
          <w:rFonts w:hint="eastAsia" w:ascii="仿宋" w:hAnsi="仿宋" w:eastAsia="仿宋" w:cs="仿宋"/>
          <w:sz w:val="32"/>
          <w:szCs w:val="32"/>
          <w:shd w:val="clear" w:color="auto" w:fill="FFFFFF"/>
        </w:rPr>
        <w:t>不断优化信息管理、信息发布、解读回应、依申请公开、舆情研判、监督考核等工作流程，及时修订政府信息公开指南，完善《曲阳县应急管理局政府信息公开工作制度》等相关制度，规范依申请公开工作；进一步规范政务信息公开工作流程，按照“谁起草、谁审核、谁公开、谁负责”的原则，严格落实信息公开分级保密审查，全面规范我局政府信息公开工作的原则、内容、程序和形式等。</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shd w:val="clear" w:color="auto" w:fill="FFFFFF"/>
        </w:rPr>
      </w:pPr>
      <w:r>
        <w:rPr>
          <w:rFonts w:hint="eastAsia" w:ascii="楷体" w:hAnsi="楷体" w:eastAsia="楷体" w:cs="楷体"/>
          <w:b w:val="0"/>
          <w:bCs w:val="0"/>
          <w:sz w:val="32"/>
          <w:szCs w:val="32"/>
          <w:shd w:val="clear" w:color="auto" w:fill="FFFFFF"/>
        </w:rPr>
        <w:t>（三）进一步丰富内容。</w:t>
      </w:r>
      <w:r>
        <w:rPr>
          <w:rFonts w:hint="eastAsia" w:ascii="仿宋" w:hAnsi="仿宋" w:eastAsia="仿宋" w:cs="仿宋"/>
          <w:sz w:val="32"/>
          <w:szCs w:val="32"/>
          <w:shd w:val="clear" w:color="auto" w:fill="FFFFFF"/>
        </w:rPr>
        <w:t>严格按照“公开为常态、不公开为例外”原则，积极扩大主动公开的范围和深度，进一步丰富公开内容。不断优化丰富信息公开栏目设置，并通过“曲阳县应急管理</w:t>
      </w:r>
      <w:r>
        <w:rPr>
          <w:rFonts w:hint="eastAsia" w:ascii="仿宋" w:hAnsi="仿宋" w:eastAsia="仿宋" w:cs="仿宋"/>
          <w:sz w:val="32"/>
          <w:szCs w:val="32"/>
          <w:shd w:val="clear" w:color="auto" w:fill="FFFFFF"/>
          <w:lang w:eastAsia="zh-CN"/>
        </w:rPr>
        <w:t>局</w:t>
      </w:r>
      <w:r>
        <w:rPr>
          <w:rFonts w:hint="eastAsia" w:ascii="仿宋" w:hAnsi="仿宋" w:eastAsia="仿宋" w:cs="仿宋"/>
          <w:sz w:val="32"/>
          <w:szCs w:val="32"/>
          <w:shd w:val="clear" w:color="auto" w:fill="FFFFFF"/>
        </w:rPr>
        <w:t>”微信公众号等多种形式发布政务信息，进一步拓宽信息公开渠道。2022年，我局在政府信息公开平台主动公开政府信息93条。在微信公众号发布信息</w:t>
      </w:r>
      <w:r>
        <w:rPr>
          <w:rFonts w:hint="eastAsia" w:ascii="仿宋" w:hAnsi="仿宋" w:eastAsia="仿宋" w:cs="仿宋"/>
          <w:sz w:val="32"/>
          <w:szCs w:val="32"/>
          <w:shd w:val="clear" w:color="auto" w:fill="FFFFFF"/>
          <w:lang w:val="en-US" w:eastAsia="zh-CN"/>
        </w:rPr>
        <w:t>190</w:t>
      </w:r>
      <w:r>
        <w:rPr>
          <w:rFonts w:hint="eastAsia" w:ascii="仿宋" w:hAnsi="仿宋" w:eastAsia="仿宋" w:cs="仿宋"/>
          <w:sz w:val="32"/>
          <w:szCs w:val="32"/>
          <w:shd w:val="clear" w:color="auto" w:fill="FFFFFF"/>
        </w:rPr>
        <w:t>条，内容涵盖灾害预警、安全常识、执法信息、工作动态、领导活动、安排部署、政策解读、规划计划、标准化建设等方方面面。</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二、主动公开政府信息情况</w:t>
      </w:r>
    </w:p>
    <w:tbl>
      <w:tblPr>
        <w:tblStyle w:val="4"/>
        <w:tblW w:w="91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941"/>
        <w:gridCol w:w="2064"/>
        <w:gridCol w:w="2064"/>
        <w:gridCol w:w="2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06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06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06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06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193"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193"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193"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宋体" w:eastAsia="宋体"/>
                <w:sz w:val="24"/>
                <w:szCs w:val="24"/>
                <w:lang w:val="en-US" w:eastAsia="zh-CN"/>
              </w:rPr>
            </w:pPr>
            <w:r>
              <w:rPr>
                <w:rFonts w:hint="eastAsia" w:ascii="宋体" w:hAnsi="宋体" w:eastAsia="宋体" w:cs="宋体"/>
                <w:color w:val="000000"/>
                <w:kern w:val="0"/>
                <w:sz w:val="20"/>
                <w:szCs w:val="20"/>
                <w:lang w:val="en-US" w:eastAsia="zh-CN" w:bidi="ar"/>
              </w:rPr>
              <w:t>0</w:t>
            </w:r>
          </w:p>
        </w:tc>
      </w:tr>
    </w:tbl>
    <w:p>
      <w:pPr>
        <w:pStyle w:val="3"/>
        <w:shd w:val="clear" w:color="auto" w:fill="FFFFFF"/>
        <w:spacing w:before="0" w:beforeAutospacing="0" w:after="240" w:afterAutospacing="0"/>
        <w:jc w:val="both"/>
        <w:outlineLvl w:val="0"/>
        <w:rPr>
          <w:b/>
          <w:color w:val="333333"/>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三、收到和处理政府信息公开申请情况</w:t>
      </w:r>
    </w:p>
    <w:tbl>
      <w:tblPr>
        <w:tblStyle w:val="4"/>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restart"/>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（本列数据的勾稽关系为：第一项加第二项之和，等于第三项加第四项之和）</w:t>
            </w:r>
          </w:p>
        </w:tc>
        <w:tc>
          <w:tcPr>
            <w:tcW w:w="5513" w:type="dxa"/>
            <w:gridSpan w:val="7"/>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tcMar>
              <w:left w:w="108" w:type="dxa"/>
              <w:right w:w="108" w:type="dxa"/>
            </w:tcMar>
            <w:vAlign w:val="center"/>
          </w:tcPr>
          <w:p>
            <w:pPr>
              <w:rPr>
                <w:rFonts w:ascii="宋体"/>
                <w:sz w:val="24"/>
              </w:rPr>
            </w:pPr>
          </w:p>
        </w:tc>
        <w:tc>
          <w:tcPr>
            <w:tcW w:w="814" w:type="dxa"/>
            <w:vMerge w:val="restart"/>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自然人</w:t>
            </w:r>
          </w:p>
        </w:tc>
        <w:tc>
          <w:tcPr>
            <w:tcW w:w="4010" w:type="dxa"/>
            <w:gridSpan w:val="5"/>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法人或其他组织</w:t>
            </w:r>
          </w:p>
        </w:tc>
        <w:tc>
          <w:tcPr>
            <w:tcW w:w="689" w:type="dxa"/>
            <w:vMerge w:val="restart"/>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tcMar>
              <w:left w:w="108" w:type="dxa"/>
              <w:right w:w="108" w:type="dxa"/>
            </w:tcMar>
            <w:vAlign w:val="center"/>
          </w:tcPr>
          <w:p>
            <w:pPr>
              <w:rPr>
                <w:rFonts w:ascii="宋体"/>
                <w:sz w:val="24"/>
              </w:rPr>
            </w:pPr>
          </w:p>
        </w:tc>
        <w:tc>
          <w:tcPr>
            <w:tcW w:w="814" w:type="dxa"/>
            <w:vMerge w:val="continue"/>
            <w:tcBorders>
              <w:tl2br w:val="nil"/>
              <w:tr2bl w:val="nil"/>
            </w:tcBorders>
            <w:tcMar>
              <w:left w:w="108" w:type="dxa"/>
              <w:right w:w="108" w:type="dxa"/>
            </w:tcMar>
            <w:vAlign w:val="center"/>
          </w:tcPr>
          <w:p>
            <w:pPr>
              <w:rPr>
                <w:rFonts w:ascii="宋体"/>
                <w:sz w:val="24"/>
              </w:rPr>
            </w:pPr>
          </w:p>
        </w:tc>
        <w:tc>
          <w:tcPr>
            <w:tcW w:w="755" w:type="dxa"/>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商业企业</w:t>
            </w:r>
          </w:p>
        </w:tc>
        <w:tc>
          <w:tcPr>
            <w:tcW w:w="755" w:type="dxa"/>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科研机构</w:t>
            </w:r>
          </w:p>
        </w:tc>
        <w:tc>
          <w:tcPr>
            <w:tcW w:w="814" w:type="dxa"/>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社会公益组织</w:t>
            </w:r>
          </w:p>
        </w:tc>
        <w:tc>
          <w:tcPr>
            <w:tcW w:w="974" w:type="dxa"/>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法律服务机构</w:t>
            </w:r>
          </w:p>
        </w:tc>
        <w:tc>
          <w:tcPr>
            <w:tcW w:w="712" w:type="dxa"/>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其他</w:t>
            </w:r>
          </w:p>
        </w:tc>
        <w:tc>
          <w:tcPr>
            <w:tcW w:w="689" w:type="dxa"/>
            <w:vMerge w:val="continue"/>
            <w:tcBorders>
              <w:tl2br w:val="nil"/>
              <w:tr2bl w:val="nil"/>
            </w:tcBorders>
            <w:tcMar>
              <w:left w:w="108" w:type="dxa"/>
              <w:right w:w="108" w:type="dxa"/>
            </w:tcMar>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widowControl/>
              <w:spacing w:after="180"/>
              <w:jc w:val="left"/>
            </w:pPr>
            <w:r>
              <w:rPr>
                <w:rFonts w:hint="eastAsia" w:ascii="宋体" w:hAnsi="宋体" w:eastAsia="宋体" w:cs="宋体"/>
                <w:kern w:val="0"/>
                <w:sz w:val="20"/>
                <w:szCs w:val="20"/>
              </w:rPr>
              <w:t>一、本年新收政府信息公开申请数量</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widowControl/>
              <w:spacing w:after="180"/>
              <w:jc w:val="left"/>
            </w:pPr>
            <w:r>
              <w:rPr>
                <w:rFonts w:hint="eastAsia" w:ascii="宋体" w:hAnsi="宋体" w:eastAsia="宋体" w:cs="宋体"/>
                <w:kern w:val="0"/>
                <w:sz w:val="20"/>
                <w:szCs w:val="20"/>
              </w:rPr>
              <w:t>二、上年结转政府信息公开申请数量</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restart"/>
            <w:tcBorders>
              <w:tl2br w:val="nil"/>
              <w:tr2bl w:val="nil"/>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三、本年度办理结果</w:t>
            </w:r>
          </w:p>
        </w:tc>
        <w:tc>
          <w:tcPr>
            <w:tcW w:w="2940" w:type="dxa"/>
            <w:gridSpan w:val="2"/>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（一）予以公开</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2940" w:type="dxa"/>
            <w:gridSpan w:val="2"/>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（二）部分公开（区分处理的，只计这一情形，不计其他情形）</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restart"/>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（三）不予公开</w:t>
            </w: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1.属于国家秘密</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2.其他法律行政法规禁止公开</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3.危及“三安全一稳定”</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4.保护第三方合法权益</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5.属于三类内部事务信息</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6.属于四类过程性信息</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7.属于行政执法案卷</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8.属于行政查询事项</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restart"/>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（四）无法提供</w:t>
            </w: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1.本机关不掌握相关政府信息</w:t>
            </w:r>
          </w:p>
        </w:tc>
        <w:tc>
          <w:tcPr>
            <w:tcW w:w="814" w:type="dxa"/>
            <w:tcBorders>
              <w:tl2br w:val="nil"/>
              <w:tr2bl w:val="nil"/>
            </w:tcBorders>
            <w:tcMar>
              <w:left w:w="108" w:type="dxa"/>
              <w:right w:w="108" w:type="dxa"/>
            </w:tcMar>
            <w:vAlign w:val="center"/>
          </w:tcPr>
          <w:p>
            <w:pPr>
              <w:widowControl/>
              <w:spacing w:after="180"/>
              <w:jc w:val="center"/>
              <w:rPr>
                <w:rFonts w:ascii="Calibri" w:eastAsia="宋体" w:cs="Calibri"/>
                <w:kern w:val="0"/>
                <w:sz w:val="20"/>
                <w:szCs w:val="20"/>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ascii="Calibri" w:eastAsia="宋体" w:cs="Calibri"/>
                <w:kern w:val="0"/>
                <w:sz w:val="20"/>
                <w:szCs w:val="20"/>
              </w:rPr>
            </w:pP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ascii="Calibri" w:eastAsia="宋体" w:cs="Calibri"/>
                <w:kern w:val="0"/>
                <w:sz w:val="20"/>
                <w:szCs w:val="20"/>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2.没有现成信息需要另行制作</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3.补正后申请内容仍不明确</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restart"/>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（五）不予处理</w:t>
            </w: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1.信访举报投诉类申请</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2.重复申请</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3.要求提供公开出版物</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r>
              <w:rPr>
                <w:rFonts w:ascii="Calibri" w:eastAsia="宋体" w:cs="Calibri"/>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4.无正当理由大量反复申请</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854" w:type="dxa"/>
            <w:vMerge w:val="continue"/>
            <w:tcBorders>
              <w:tl2br w:val="nil"/>
              <w:tr2bl w:val="nil"/>
            </w:tcBorders>
            <w:tcMar>
              <w:left w:w="108" w:type="dxa"/>
              <w:right w:w="108" w:type="dxa"/>
            </w:tcMar>
            <w:vAlign w:val="center"/>
          </w:tcPr>
          <w:p>
            <w:pPr>
              <w:rPr>
                <w:rFonts w:ascii="宋体"/>
                <w:sz w:val="24"/>
              </w:rPr>
            </w:pPr>
          </w:p>
        </w:tc>
        <w:tc>
          <w:tcPr>
            <w:tcW w:w="2086" w:type="dxa"/>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5.要求行政机关确认或重新出具已获取信息</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2940" w:type="dxa"/>
            <w:gridSpan w:val="2"/>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（六）其他处理</w:t>
            </w:r>
          </w:p>
        </w:tc>
        <w:tc>
          <w:tcPr>
            <w:tcW w:w="814"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689" w:type="dxa"/>
            <w:tcBorders>
              <w:tl2br w:val="nil"/>
              <w:tr2bl w:val="nil"/>
            </w:tcBorders>
            <w:tcMar>
              <w:left w:w="108" w:type="dxa"/>
              <w:right w:w="108" w:type="dxa"/>
            </w:tcMar>
            <w:vAlign w:val="center"/>
          </w:tcPr>
          <w:p>
            <w:pPr>
              <w:widowControl/>
              <w:spacing w:after="180"/>
              <w:jc w:val="center"/>
            </w:pPr>
            <w:r>
              <w:rPr>
                <w:rFonts w:hint="eastAsia" w:ascii="Calibri" w:eastAsia="宋体" w:cs="Calibri"/>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rPr>
                <w:rFonts w:ascii="宋体"/>
                <w:sz w:val="24"/>
              </w:rPr>
            </w:pPr>
          </w:p>
        </w:tc>
        <w:tc>
          <w:tcPr>
            <w:tcW w:w="2940" w:type="dxa"/>
            <w:gridSpan w:val="2"/>
            <w:tcBorders>
              <w:tl2br w:val="nil"/>
              <w:tr2bl w:val="nil"/>
            </w:tcBorders>
            <w:tcMar>
              <w:left w:w="108" w:type="dxa"/>
              <w:right w:w="108" w:type="dxa"/>
            </w:tcMar>
            <w:vAlign w:val="center"/>
          </w:tcPr>
          <w:p>
            <w:pPr>
              <w:widowControl/>
              <w:spacing w:after="180"/>
              <w:jc w:val="left"/>
            </w:pPr>
            <w:r>
              <w:rPr>
                <w:rFonts w:hint="eastAsia" w:ascii="楷体" w:hAnsi="楷体" w:eastAsia="楷体" w:cs="楷体"/>
                <w:kern w:val="0"/>
                <w:sz w:val="20"/>
                <w:szCs w:val="20"/>
              </w:rPr>
              <w:t>（七）总计</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ascii="Calibri" w:eastAsia="宋体" w:cs="Calibri"/>
                <w:kern w:val="0"/>
                <w:sz w:val="20"/>
                <w:szCs w:val="20"/>
              </w:rPr>
            </w:pPr>
            <w:r>
              <w:rPr>
                <w:rFonts w:hint="eastAsia" w:ascii="Calibri" w:eastAsia="宋体" w:cs="Calibri"/>
                <w:kern w:val="0"/>
                <w:sz w:val="20"/>
                <w:szCs w:val="20"/>
              </w:rPr>
              <w:t> 0</w:t>
            </w:r>
          </w:p>
        </w:tc>
        <w:tc>
          <w:tcPr>
            <w:tcW w:w="689" w:type="dxa"/>
            <w:tcBorders>
              <w:tl2br w:val="nil"/>
              <w:tr2bl w:val="nil"/>
            </w:tcBorders>
            <w:tcMar>
              <w:left w:w="108" w:type="dxa"/>
              <w:right w:w="108" w:type="dxa"/>
            </w:tcMar>
            <w:vAlign w:val="center"/>
          </w:tcPr>
          <w:p>
            <w:pPr>
              <w:widowControl/>
              <w:spacing w:after="180"/>
              <w:jc w:val="center"/>
              <w:rPr>
                <w:rFonts w:ascii="Calibri" w:eastAsia="宋体" w:cs="Calibri"/>
                <w:kern w:val="0"/>
                <w:sz w:val="20"/>
                <w:szCs w:val="20"/>
              </w:rPr>
            </w:pPr>
            <w:r>
              <w:rPr>
                <w:rFonts w:hint="eastAsia" w:ascii="Calibri" w:eastAsia="宋体" w:cs="Calibri"/>
                <w:kern w:val="0"/>
                <w:sz w:val="20"/>
                <w:szCs w:val="20"/>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widowControl/>
              <w:spacing w:after="180"/>
              <w:jc w:val="left"/>
            </w:pPr>
            <w:r>
              <w:rPr>
                <w:rFonts w:hint="eastAsia" w:ascii="宋体" w:hAnsi="宋体" w:eastAsia="宋体" w:cs="宋体"/>
                <w:kern w:val="0"/>
                <w:sz w:val="20"/>
                <w:szCs w:val="20"/>
              </w:rPr>
              <w:t>四、结转下年度继续办理</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55"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81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974" w:type="dxa"/>
            <w:tcBorders>
              <w:tl2br w:val="nil"/>
              <w:tr2bl w:val="nil"/>
            </w:tcBorders>
            <w:tcMar>
              <w:left w:w="108" w:type="dxa"/>
              <w:right w:w="108" w:type="dxa"/>
            </w:tcMar>
            <w:vAlign w:val="center"/>
          </w:tcPr>
          <w:p>
            <w:pPr>
              <w:widowControl/>
              <w:spacing w:after="180"/>
              <w:jc w:val="center"/>
              <w:rPr>
                <w:rFonts w:eastAsia="宋体"/>
              </w:rPr>
            </w:pPr>
            <w:r>
              <w:rPr>
                <w:rFonts w:ascii="Calibri" w:eastAsia="宋体" w:cs="Calibri"/>
                <w:kern w:val="0"/>
                <w:sz w:val="20"/>
                <w:szCs w:val="20"/>
              </w:rPr>
              <w:t> </w:t>
            </w:r>
            <w:r>
              <w:rPr>
                <w:rFonts w:hint="eastAsia" w:ascii="Calibri" w:eastAsia="宋体" w:cs="Calibri"/>
                <w:kern w:val="0"/>
                <w:sz w:val="20"/>
                <w:szCs w:val="20"/>
              </w:rPr>
              <w:t>0</w:t>
            </w:r>
          </w:p>
        </w:tc>
        <w:tc>
          <w:tcPr>
            <w:tcW w:w="712" w:type="dxa"/>
            <w:tcBorders>
              <w:tl2br w:val="nil"/>
              <w:tr2bl w:val="nil"/>
            </w:tcBorders>
            <w:tcMar>
              <w:left w:w="108" w:type="dxa"/>
              <w:right w:w="108" w:type="dxa"/>
            </w:tcMar>
            <w:vAlign w:val="center"/>
          </w:tcPr>
          <w:p>
            <w:pPr>
              <w:widowControl/>
              <w:spacing w:after="180"/>
              <w:jc w:val="center"/>
              <w:rPr>
                <w:rFonts w:ascii="Calibri" w:eastAsia="宋体" w:cs="Calibri"/>
                <w:kern w:val="0"/>
                <w:sz w:val="20"/>
                <w:szCs w:val="20"/>
              </w:rPr>
            </w:pPr>
            <w:r>
              <w:rPr>
                <w:rFonts w:hint="eastAsia" w:ascii="Calibri" w:eastAsia="宋体" w:cs="Calibri"/>
                <w:kern w:val="0"/>
                <w:sz w:val="20"/>
                <w:szCs w:val="20"/>
              </w:rPr>
              <w:t> 0</w:t>
            </w:r>
          </w:p>
        </w:tc>
        <w:tc>
          <w:tcPr>
            <w:tcW w:w="689" w:type="dxa"/>
            <w:tcBorders>
              <w:tl2br w:val="nil"/>
              <w:tr2bl w:val="nil"/>
            </w:tcBorders>
            <w:tcMar>
              <w:left w:w="108" w:type="dxa"/>
              <w:right w:w="108" w:type="dxa"/>
            </w:tcMar>
            <w:vAlign w:val="center"/>
          </w:tcPr>
          <w:p>
            <w:pPr>
              <w:widowControl/>
              <w:spacing w:after="180"/>
              <w:jc w:val="center"/>
              <w:rPr>
                <w:rFonts w:ascii="Calibri" w:eastAsia="宋体" w:cs="Calibri"/>
                <w:kern w:val="0"/>
                <w:sz w:val="20"/>
                <w:szCs w:val="20"/>
              </w:rPr>
            </w:pPr>
            <w:r>
              <w:rPr>
                <w:rFonts w:hint="eastAsia" w:ascii="Calibri" w:eastAsia="宋体" w:cs="Calibri"/>
                <w:kern w:val="0"/>
                <w:sz w:val="20"/>
                <w:szCs w:val="20"/>
              </w:rPr>
              <w:t>0</w:t>
            </w:r>
          </w:p>
        </w:tc>
      </w:tr>
    </w:tbl>
    <w:p>
      <w:pPr>
        <w:pStyle w:val="3"/>
        <w:shd w:val="clear" w:color="auto" w:fill="FFFFFF"/>
        <w:spacing w:before="0" w:beforeAutospacing="0" w:after="0" w:afterAutospacing="0"/>
        <w:ind w:firstLine="420"/>
        <w:jc w:val="both"/>
        <w:rPr>
          <w:color w:val="333333"/>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四、政府信息公开行政复议、行政诉讼情况</w:t>
      </w:r>
    </w:p>
    <w:p>
      <w:pPr>
        <w:pStyle w:val="3"/>
        <w:shd w:val="clear" w:color="auto" w:fill="FFFFFF"/>
        <w:spacing w:before="0" w:beforeAutospacing="0" w:after="0" w:afterAutospacing="0"/>
        <w:ind w:firstLine="420"/>
        <w:jc w:val="both"/>
        <w:rPr>
          <w:color w:val="333333"/>
        </w:rPr>
      </w:pP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宋体" w:hAnsi="宋体" w:eastAsia="宋体" w:cs="宋体"/>
                <w:kern w:val="0"/>
                <w:sz w:val="20"/>
                <w:szCs w:val="20"/>
              </w:rPr>
            </w:pPr>
            <w:r>
              <w:rPr>
                <w:rFonts w:hint="eastAsia" w:ascii="宋体" w:hAnsi="宋体" w:eastAsia="宋体" w:cs="宋体"/>
                <w:kern w:val="0"/>
                <w:sz w:val="20"/>
                <w:szCs w:val="20"/>
              </w:rPr>
              <w:t>0</w:t>
            </w:r>
          </w:p>
        </w:tc>
      </w:tr>
    </w:tbl>
    <w:p>
      <w:pPr>
        <w:widowControl/>
        <w:shd w:val="clear" w:color="auto" w:fill="FFFFFF"/>
        <w:rPr>
          <w:rFonts w:ascii="宋体" w:hAnsi="宋体" w:eastAsia="宋体" w:cs="宋体"/>
          <w:color w:val="333333"/>
          <w:sz w:val="24"/>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五、存在的主要问题及改进情况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2022年我局政务公开工作虽然取得了一定成绩，但与政府及上级部门的要求和人民群众期待还有一定差距，政策宣传解读的形式还不够丰富，政府信息公开的深度和广度还需进一步增强，与公众的互动服务还需进一步完善，政务公开工作标准化规范化水平还需进一步提升。</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在以后工作中，我局将继续坚持以人民为中心的工作理念，深化政府信息主动公开，进一步健全信息公开机制，持续深化重点领域信息公开，积极回应社会关切。加大政策宣传和解读，推动市场主体和社会公众更好地了解政策，用好政策。同时增强人员培训、查漏补缺，使我局信息公开工作再上新台阶。</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caps w:val="0"/>
          <w:color w:val="333333"/>
          <w:spacing w:val="0"/>
          <w:kern w:val="0"/>
          <w:sz w:val="32"/>
          <w:szCs w:val="32"/>
          <w:shd w:val="clear" w:fill="FFFFFF"/>
          <w:lang w:val="en-US" w:eastAsia="zh-CN" w:bidi="ar"/>
        </w:rPr>
      </w:pPr>
      <w:bookmarkStart w:id="0" w:name="_GoBack"/>
      <w:bookmarkEnd w:id="0"/>
      <w:r>
        <w:rPr>
          <w:rFonts w:hint="eastAsia" w:ascii="仿宋" w:hAnsi="仿宋" w:eastAsia="仿宋" w:cs="仿宋"/>
          <w:i w:val="0"/>
          <w:caps w:val="0"/>
          <w:color w:val="333333"/>
          <w:spacing w:val="0"/>
          <w:kern w:val="0"/>
          <w:sz w:val="32"/>
          <w:szCs w:val="32"/>
          <w:shd w:val="clear" w:fill="FFFFFF"/>
          <w:lang w:val="en-US" w:eastAsia="zh-CN" w:bidi="ar"/>
        </w:rPr>
        <w:t>认真贯彻执行国务院办公厅《政府信息公开信息处理费管理办法》和《关于政府信息公开处理费管理有关事项的通知》。2022年未收取信息处理费。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right"/>
        <w:textAlignment w:val="auto"/>
        <w:rPr>
          <w:rFonts w:hint="default"/>
          <w:shd w:val="clear" w:color="auto" w:fill="FFFFFF"/>
          <w:lang w:val="en-US" w:eastAsia="zh-CN"/>
        </w:rPr>
      </w:pPr>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ODQ0MjRkYTk4NDVmYzg1OTZmZTFmZjAzNmZmYjYifQ=="/>
  </w:docVars>
  <w:rsids>
    <w:rsidRoot w:val="3E5B229F"/>
    <w:rsid w:val="0030243E"/>
    <w:rsid w:val="003B07EC"/>
    <w:rsid w:val="007A236A"/>
    <w:rsid w:val="009408E5"/>
    <w:rsid w:val="009C3F45"/>
    <w:rsid w:val="00E1026A"/>
    <w:rsid w:val="13BD478D"/>
    <w:rsid w:val="1F7B710D"/>
    <w:rsid w:val="24353091"/>
    <w:rsid w:val="2AA20688"/>
    <w:rsid w:val="2BCD7F04"/>
    <w:rsid w:val="35DE4F44"/>
    <w:rsid w:val="3E5B229F"/>
    <w:rsid w:val="4B53745C"/>
    <w:rsid w:val="53025358"/>
    <w:rsid w:val="53D7563E"/>
    <w:rsid w:val="69C21BC3"/>
    <w:rsid w:val="6AC87148"/>
    <w:rsid w:val="6E425B0E"/>
    <w:rsid w:val="7093285C"/>
    <w:rsid w:val="72826491"/>
    <w:rsid w:val="750413D1"/>
    <w:rsid w:val="76FF31A5"/>
    <w:rsid w:val="7B741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rPr>
  </w:style>
  <w:style w:type="character" w:customStyle="1" w:styleId="6">
    <w:name w:val="批注框文本 Char"/>
    <w:basedOn w:val="5"/>
    <w:link w:val="2"/>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1967</Words>
  <Characters>2009</Characters>
  <Lines>18</Lines>
  <Paragraphs>5</Paragraphs>
  <TotalTime>0</TotalTime>
  <ScaleCrop>false</ScaleCrop>
  <LinksUpToDate>false</LinksUpToDate>
  <CharactersWithSpaces>2137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2019-12-29T11:38:00Z</dcterms:created>
  <dc:creator>小公举</dc:creator>
  <cp:lastModifiedBy>晨曦</cp:lastModifiedBy>
  <cp:lastPrinted>2023-01-16T01:54:00Z</cp:lastPrinted>
  <dcterms:modified xsi:type="dcterms:W3CDTF">2023-03-28T01:50:25Z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EC372EAF07364006A0519F8D70C5741C</vt:lpwstr>
  </property>
</Properties>
</file>