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FF0000"/>
          <w:sz w:val="96"/>
          <w:szCs w:val="96"/>
          <w:lang w:eastAsia="zh-CN"/>
          <w:highlight w:val="auto"/>
        </w:rPr>
      </w:pPr>
      <w:r>
        <w:rPr>
          <w:rFonts w:ascii="宋体" w:eastAsia="宋体" w:cs="宋体" w:hint="eastAsia"/>
          <w:b/>
          <w:bCs/>
          <w:color w:val="FF0000"/>
          <w:sz w:val="96"/>
          <w:szCs w:val="96"/>
          <w:lang w:eastAsia="zh-CN"/>
          <w:highlight w:val="auto"/>
        </w:rPr>
        <w:t>曲阳县统计局文件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曲统法字</w:t>
      </w: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[2023] 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44"/>
          <w:szCs w:val="44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82550</wp:posOffset>
                </wp:positionV>
                <wp:extent cx="5976620" cy="15874"/>
                <wp:effectExtent l="0" t="0" r="0" b="0"/>
                <wp:wrapNone/>
                <wp:docPr id="1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976620" cy="15874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2" o:spid="_x0000_s2" from="-18.25pt,6.5pt" to="452.35004pt,7.75pt" filled="f" stroked="t" strokeweight="2.25pt" style="position:absolute;flip:y;z-index: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曲阳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县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关于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印发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《202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年度“双随机、一公开”监管工作培训计划》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做好“双随机、一公开”监管工作，提升我局执法人员素质，提高行政执法工作水平，切实推进我局“双随机一公开”监管工作，确保部门内部联合全覆盖、常态化。有效保障河北省双随机监管平台的熟练运用，结合我局实际，特制定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0"/>
        <w:jc w:val="center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曲阳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  <w:lang w:eastAsia="zh-CN"/>
        </w:rPr>
        <w:t>统计</w:t>
      </w:r>
      <w:r>
        <w:rPr>
          <w:rFonts w:ascii="仿宋" w:eastAsia="仿宋" w:hAnsi="仿宋" w:hint="eastAsia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>
      <w:pPr>
        <w:ind w:right="720"/>
        <w:rPr>
          <w:rFonts w:ascii="仿宋" w:eastAsia="仿宋" w:hAnsi="仿宋"/>
          <w:sz w:val="32"/>
          <w:szCs w:val="32"/>
        </w:rPr>
      </w:pPr>
    </w:p>
    <w:p>
      <w:pPr>
        <w:ind w:right="720"/>
        <w:rPr>
          <w:rFonts w:ascii="仿宋" w:eastAsia="仿宋" w:hAnsi="仿宋" w:hint="eastAsia"/>
          <w:sz w:val="32"/>
          <w:szCs w:val="32"/>
        </w:rPr>
      </w:pPr>
    </w:p>
    <w:p>
      <w:pPr>
        <w:pBdr>
          <w:top w:val="single" w:sz="6" w:space="9" w:color="auto"/>
          <w:bottom w:val="single" w:sz="6" w:space="1" w:color="auto"/>
        </w:pBdr>
        <w:snapToGrid w:val="0"/>
        <w:spacing w:line="400" w:lineRule="exact"/>
        <w:rPr>
          <w:rFonts w:ascii="仿宋" w:eastAsia="仿宋" w:hAnsi="仿宋"/>
          <w:sz w:val="32"/>
          <w:szCs w:val="32"/>
        </w:rPr>
        <w:sectPr>
          <w:headerReference w:type="default" r:id="rId2"/>
          <w:footerReference w:type="default" r:id="rId3"/>
          <w:pgSz w:w="11906" w:h="16838"/>
          <w:pgMar w:top="2041" w:right="1531" w:bottom="2041" w:left="1531" w:header="851" w:footer="992" w:gutter="0"/>
          <w:cols w:num="1" w:space="720"/>
          <w:docGrid w:type="lines" w:linePitch="312" w:charSpace="0"/>
        </w:sectPr>
      </w:pPr>
      <w:r>
        <w:rPr>
          <w:rFonts w:ascii="仿宋_GB2312" w:eastAsia="仿宋_GB2312" w:cs="仿宋" w:hAnsi="仿宋" w:hint="eastAsia"/>
          <w:sz w:val="28"/>
          <w:szCs w:val="28"/>
          <w:lang w:eastAsia="zh-CN"/>
        </w:rPr>
        <w:t>曲阳县统计局办公室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                  </w:t>
      </w:r>
      <w:r>
        <w:rPr>
          <w:rFonts w:ascii="仿宋_GB2312" w:eastAsia="仿宋_GB2312" w:hAnsi="仿宋" w:hint="eastAsia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cs="仿宋" w:hAnsi="仿宋" w:hint="eastAsia"/>
          <w:sz w:val="28"/>
          <w:szCs w:val="28"/>
        </w:rPr>
        <w:t>月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" w:hAnsi="仿宋" w:hint="eastAsia"/>
          <w:sz w:val="28"/>
          <w:szCs w:val="28"/>
        </w:rPr>
        <w:t>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ascii="宋体" w:eastAsia="宋体" w:cs="宋体" w:hAnsi="宋体" w:hint="eastAsia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  <w:r>
        <w:rPr>
          <w:rFonts w:ascii="宋体" w:eastAsia="宋体" w:cs="宋体" w:hAnsi="宋体" w:hint="eastAsia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eastAsia="zh-CN"/>
        </w:rPr>
        <w:t>曲阳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</w:rPr>
        <w:t>县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eastAsia="zh-CN"/>
        </w:rPr>
        <w:t>统计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</w:rPr>
        <w:t>局202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</w:rPr>
        <w:t>年度</w:t>
      </w:r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eastAsia="zh-CN"/>
        </w:rPr>
        <w:t>“双随机、一公开”监管工作培训计划</w:t>
      </w:r>
    </w:p>
    <w:tbl>
      <w:tblPr>
        <w:tblpPr w:leftFromText="180" w:rightFromText="180" w:vertAnchor="text" w:horzAnchor="page" w:tblpX="2391" w:tblpY="960"/>
        <w:tblOverlap w:val="never"/>
        <w:tblW w:w="1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92"/>
        <w:gridCol w:w="1661"/>
        <w:gridCol w:w="2979"/>
      </w:tblGrid>
      <w:tr>
        <w:trPr>
          <w:trHeight w:val="72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 w:hAnsi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培训时间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 w:hAnsi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 w:hAnsi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培训方式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 w:hAnsi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培训人员</w:t>
            </w:r>
          </w:p>
        </w:tc>
      </w:tr>
      <w:tr>
        <w:trPr>
          <w:trHeight w:val="15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2023年3-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  <w:t>《“双随机、一公开”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集中培训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全体执法人员</w:t>
            </w:r>
          </w:p>
        </w:tc>
      </w:tr>
      <w:tr>
        <w:trPr>
          <w:trHeight w:val="151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2023年7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-12月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  <w:lang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集中培训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 w:hAnsi="仿宋_GB2312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8"/>
                <w:szCs w:val="28"/>
              </w:rPr>
              <w:t>全体执法人员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AD0DCE2D-ABEA-4047-83F6-D8EFB94C2B1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3</Pages>
  <Words>0</Words>
  <Characters>438</Characters>
  <Lines>0</Lines>
  <Paragraphs>22</Paragraphs>
  <CharactersWithSpaces>585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2021-01-27T03:27:00Z</cp:lastPrinted>
  <dcterms:created xsi:type="dcterms:W3CDTF">2020-12-11T09:23:00Z</dcterms:created>
  <dcterms:modified xsi:type="dcterms:W3CDTF">2023-10-19T03:56:14Z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9CAD050447934D6BAE356DB8C073F27C</vt:lpwstr>
  </property>
</Properties>
</file>