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关于继续实施创新企业境内发行存托凭证试点阶段有关税收政策的公告</w:t>
      </w:r>
    </w:p>
    <w:p>
      <w:pPr>
        <w:pStyle w:val="2"/>
        <w:keepNext w:val="0"/>
        <w:keepLines w:val="0"/>
        <w:widowControl/>
        <w:suppressLineNumbers w:val="0"/>
        <w:jc w:val="both"/>
      </w:pPr>
      <w:r>
        <w:t>　　为继续支持实施创新驱动发展战略，现将创新企业境内发行存托凭证（以下称创新企业CDR）试点阶段涉及的有关税收政策公告如下：  </w:t>
      </w:r>
    </w:p>
    <w:p>
      <w:pPr>
        <w:pStyle w:val="2"/>
        <w:keepNext w:val="0"/>
        <w:keepLines w:val="0"/>
        <w:widowControl/>
        <w:suppressLineNumbers w:val="0"/>
        <w:jc w:val="both"/>
      </w:pPr>
      <w:r>
        <w:t>　　一、个人所得税政策   </w:t>
      </w:r>
    </w:p>
    <w:p>
      <w:pPr>
        <w:pStyle w:val="2"/>
        <w:keepNext w:val="0"/>
        <w:keepLines w:val="0"/>
        <w:widowControl/>
        <w:suppressLineNumbers w:val="0"/>
        <w:jc w:val="both"/>
      </w:pPr>
      <w:r>
        <w:t>　　1.自2023年9月21日至2025年12月31日，对个人投资者转让创新企业CDR取得的差价所得，暂免征收个人所得税。   </w:t>
      </w:r>
    </w:p>
    <w:p>
      <w:pPr>
        <w:pStyle w:val="2"/>
        <w:keepNext w:val="0"/>
        <w:keepLines w:val="0"/>
        <w:widowControl/>
        <w:suppressLineNumbers w:val="0"/>
        <w:jc w:val="both"/>
      </w:pPr>
      <w:r>
        <w:t>　　2.自2023年9月21日至2025年12月31日，对个人投资者持有创新企业CDR取得的股息红利所得，实施股息红利差别化个人所得税政策，具体参照《财政部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   </w:t>
      </w:r>
    </w:p>
    <w:p>
      <w:pPr>
        <w:pStyle w:val="2"/>
        <w:keepNext w:val="0"/>
        <w:keepLines w:val="0"/>
        <w:widowControl/>
        <w:suppressLineNumbers w:val="0"/>
        <w:jc w:val="both"/>
      </w:pPr>
      <w:r>
        <w:t>　　二、企业所得税政策   </w:t>
      </w:r>
    </w:p>
    <w:p>
      <w:pPr>
        <w:pStyle w:val="2"/>
        <w:keepNext w:val="0"/>
        <w:keepLines w:val="0"/>
        <w:widowControl/>
        <w:suppressLineNumbers w:val="0"/>
        <w:jc w:val="both"/>
      </w:pPr>
      <w:r>
        <w:t>　　1.对企业投资者转让创新企业CDR取得的差价所得和持有创新企业CDR取得的股息红利所得，按转让股票差价所得和持有股票的股息红利所得政策规定征免企业所得税。   </w:t>
      </w:r>
    </w:p>
    <w:p>
      <w:pPr>
        <w:pStyle w:val="2"/>
        <w:keepNext w:val="0"/>
        <w:keepLines w:val="0"/>
        <w:widowControl/>
        <w:suppressLineNumbers w:val="0"/>
        <w:jc w:val="both"/>
      </w:pPr>
      <w:r>
        <w:t>　　2.对公募证券投资基金（封闭式证券投资基金、开放式证券投资基金）转让创新企业CDR取得的差价所得和持有创新企业CDR取得的股息红利所得，按公募证券投资基金税收政策规定暂不征收企业所得税。   </w:t>
      </w:r>
    </w:p>
    <w:p>
      <w:pPr>
        <w:pStyle w:val="2"/>
        <w:keepNext w:val="0"/>
        <w:keepLines w:val="0"/>
        <w:widowControl/>
        <w:suppressLineNumbers w:val="0"/>
        <w:jc w:val="both"/>
      </w:pPr>
      <w:r>
        <w:t>　　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   </w:t>
      </w:r>
    </w:p>
    <w:p>
      <w:pPr>
        <w:pStyle w:val="2"/>
        <w:keepNext w:val="0"/>
        <w:keepLines w:val="0"/>
        <w:widowControl/>
        <w:suppressLineNumbers w:val="0"/>
        <w:jc w:val="both"/>
      </w:pPr>
      <w:r>
        <w:t>　　三、增值税政策   </w:t>
      </w:r>
    </w:p>
    <w:p>
      <w:pPr>
        <w:pStyle w:val="2"/>
        <w:keepNext w:val="0"/>
        <w:keepLines w:val="0"/>
        <w:widowControl/>
        <w:suppressLineNumbers w:val="0"/>
        <w:jc w:val="both"/>
      </w:pPr>
      <w:r>
        <w:t>　　1.对个人投资者转让创新企业CDR取得的差价收入，暂免征收增值税。   </w:t>
      </w:r>
    </w:p>
    <w:p>
      <w:pPr>
        <w:pStyle w:val="2"/>
        <w:keepNext w:val="0"/>
        <w:keepLines w:val="0"/>
        <w:widowControl/>
        <w:suppressLineNumbers w:val="0"/>
        <w:jc w:val="both"/>
      </w:pPr>
      <w:r>
        <w:t>　　2.对单位投资者转让创新企业CDR取得的差价收入，按金融商品转让政策规定征免增值税。   </w:t>
      </w:r>
    </w:p>
    <w:p>
      <w:pPr>
        <w:pStyle w:val="2"/>
        <w:keepNext w:val="0"/>
        <w:keepLines w:val="0"/>
        <w:widowControl/>
        <w:suppressLineNumbers w:val="0"/>
        <w:jc w:val="both"/>
      </w:pPr>
      <w:r>
        <w:t>　　3.自2023年9月21日至2025年12月31日，对公募证券投资基金（封闭式证券投资基金、开放式证券投资基金）管理人运营基金过程中转让创新企业CDR取得的差价收入，暂免征收增值税。   </w:t>
      </w:r>
    </w:p>
    <w:p>
      <w:pPr>
        <w:pStyle w:val="2"/>
        <w:keepNext w:val="0"/>
        <w:keepLines w:val="0"/>
        <w:widowControl/>
        <w:suppressLineNumbers w:val="0"/>
        <w:jc w:val="both"/>
      </w:pPr>
      <w:r>
        <w:t>　　4.对合格境外机构投资者（QFII）、人民币合格境外机构投资者（RQFII）委托境内公司转让创新企业CDR取得的差价收入，暂免征收增值税。   </w:t>
      </w:r>
    </w:p>
    <w:p>
      <w:pPr>
        <w:pStyle w:val="2"/>
        <w:keepNext w:val="0"/>
        <w:keepLines w:val="0"/>
        <w:widowControl/>
        <w:suppressLineNumbers w:val="0"/>
        <w:jc w:val="both"/>
      </w:pPr>
      <w:r>
        <w:t>　　四、印花税政策   </w:t>
      </w:r>
    </w:p>
    <w:p>
      <w:pPr>
        <w:pStyle w:val="2"/>
        <w:keepNext w:val="0"/>
        <w:keepLines w:val="0"/>
        <w:widowControl/>
        <w:suppressLineNumbers w:val="0"/>
        <w:jc w:val="both"/>
      </w:pPr>
      <w:r>
        <w:t>　　在上海证券交易所、深圳证券交易所转让创新企业CDR，按照实际成交金额，由出让方按1‰的税率缴纳证券交易印花税。   </w:t>
      </w:r>
    </w:p>
    <w:p>
      <w:pPr>
        <w:pStyle w:val="2"/>
        <w:keepNext w:val="0"/>
        <w:keepLines w:val="0"/>
        <w:widowControl/>
        <w:suppressLineNumbers w:val="0"/>
        <w:jc w:val="both"/>
      </w:pPr>
      <w:r>
        <w:t>　　五、其他相关事项   </w:t>
      </w:r>
    </w:p>
    <w:p>
      <w:pPr>
        <w:pStyle w:val="2"/>
        <w:keepNext w:val="0"/>
        <w:keepLines w:val="0"/>
        <w:widowControl/>
        <w:suppressLineNumbers w:val="0"/>
        <w:jc w:val="both"/>
      </w:pPr>
      <w:r>
        <w:t>　　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中国证监会 </w:t>
      </w:r>
    </w:p>
    <w:p>
      <w:pPr>
        <w:pStyle w:val="2"/>
        <w:keepNext w:val="0"/>
        <w:keepLines w:val="0"/>
        <w:widowControl/>
        <w:suppressLineNumbers w:val="0"/>
        <w:jc w:val="right"/>
      </w:pPr>
      <w:r>
        <w:t>　　2023年8月21日 </w:t>
      </w:r>
      <w:r>
        <w:rPr>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1C41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2023-10-25T01:10:00Z</dcterms:created>
  <dc:creator>czj</dc:creator>
  <cp:lastModifiedBy>czj</cp:lastModifiedBy>
  <dcterms:modified xsi:type="dcterms:W3CDTF">2023-10-25T01:10:14Z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067299D500CD4F04B5735D917A4B2ECD_12</vt:lpwstr>
  </property>
</Properties>
</file>