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b/>
          <w:bCs/>
        </w:rPr>
        <w:t>关于继续实施页岩气减征资源税优惠政策的公告</w:t>
      </w:r>
      <w:r>
        <w:t>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为促进页岩气开发利用，有效增加天然气供给，在2027年12月31日之前，继续对页岩气资源税（按6%的规定税率）减征30%。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 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特此公告。 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　　财政部 税务总局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　　2023年9月20日 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ODNjN2Q3NmY4NmVjMGQ1MGQ4NjJmMGY1ZDlhOTEifQ=="/>
  </w:docVars>
  <w:rsids>
    <w:rsidRoot w:val="00000000"/>
    <w:rsid w:val="30C0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2023-10-25T01:38:02Z</dcterms:created>
  <dc:creator>czj</dc:creator>
  <cp:lastModifiedBy>czj</cp:lastModifiedBy>
  <dcterms:modified xsi:type="dcterms:W3CDTF">2023-10-25T01:38:15Z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BDFAC36B19E5492BB83B22E87F166CF8_12</vt:lpwstr>
  </property>
</Properties>
</file>