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关于继续实施银行业金融机构、金融资产管理公司不良债权以物抵债有关税收政策的公告</w:t>
      </w:r>
    </w:p>
    <w:p>
      <w:pPr>
        <w:pStyle w:val="2"/>
        <w:keepNext w:val="0"/>
        <w:keepLines w:val="0"/>
        <w:widowControl/>
        <w:suppressLineNumbers w:val="0"/>
        <w:jc w:val="both"/>
      </w:pPr>
      <w:r>
        <w:t>　　为继续支持银行业金融机构、金融资产管理公司处置不良债权，有效防范金融风险，现将有关税收政策公告如下：  </w:t>
      </w:r>
    </w:p>
    <w:p>
      <w:pPr>
        <w:pStyle w:val="2"/>
        <w:keepNext w:val="0"/>
        <w:keepLines w:val="0"/>
        <w:widowControl/>
        <w:suppressLineNumbers w:val="0"/>
        <w:jc w:val="both"/>
      </w:pPr>
      <w:r>
        <w:t>　　一、银行业金融机构、金融资产管理公司中的增值税一般纳税人处置抵债不动产，可选择以取得的全部价款和价外费用扣除取得该抵债不动产时的作价为销售额，适用9%税率计算缴纳增值税。    </w:t>
      </w:r>
    </w:p>
    <w:p>
      <w:pPr>
        <w:pStyle w:val="2"/>
        <w:keepNext w:val="0"/>
        <w:keepLines w:val="0"/>
        <w:widowControl/>
        <w:suppressLineNumbers w:val="0"/>
        <w:jc w:val="both"/>
      </w:pPr>
      <w:r>
        <w:t>　　按照上述规定从全部价款和价外费用中扣除抵债不动产的作价，应当取得人民法院、仲裁机构生效的法律文书。  </w:t>
      </w:r>
    </w:p>
    <w:p>
      <w:pPr>
        <w:pStyle w:val="2"/>
        <w:keepNext w:val="0"/>
        <w:keepLines w:val="0"/>
        <w:widowControl/>
        <w:suppressLineNumbers w:val="0"/>
        <w:jc w:val="both"/>
      </w:pPr>
      <w:r>
        <w:t>　　选择上述办法计算销售额的银行业金融机构、金融资产管理公司，接收抵债不动产取得增值税专用发票的，其进项税额不得从销项税额中抵扣；处置抵债不动产时，抵债不动产作价的部分不得向购买方开具增值税专用发票。  </w:t>
      </w:r>
    </w:p>
    <w:p>
      <w:pPr>
        <w:pStyle w:val="2"/>
        <w:keepNext w:val="0"/>
        <w:keepLines w:val="0"/>
        <w:widowControl/>
        <w:suppressLineNumbers w:val="0"/>
        <w:jc w:val="both"/>
      </w:pPr>
      <w:r>
        <w:t>　　根据《财政部 税务总局关于银行业金融机构、金融资产管理公司不良债权以物抵债有关税收政策的公告》（财政部 税务总局公告2022年第31号）有关规定计算增值税销售额的，按照上述规定执行。  </w:t>
      </w:r>
    </w:p>
    <w:p>
      <w:pPr>
        <w:pStyle w:val="2"/>
        <w:keepNext w:val="0"/>
        <w:keepLines w:val="0"/>
        <w:widowControl/>
        <w:suppressLineNumbers w:val="0"/>
        <w:jc w:val="both"/>
      </w:pPr>
      <w:r>
        <w:t>　　二、对银行业金融机构、金融资产管理公司接收、处置抵债资产过程中涉及的合同、产权转移书据和营业账簿免征印花税，对合同或产权转移书据其他各方当事人应缴纳的印花税照章征收。  </w:t>
      </w:r>
    </w:p>
    <w:p>
      <w:pPr>
        <w:pStyle w:val="2"/>
        <w:keepNext w:val="0"/>
        <w:keepLines w:val="0"/>
        <w:widowControl/>
        <w:suppressLineNumbers w:val="0"/>
        <w:jc w:val="both"/>
      </w:pPr>
      <w:r>
        <w:t>　　三、对银行业金融机构、金融资产管理公司接收抵债资产免征契税。  </w:t>
      </w:r>
    </w:p>
    <w:p>
      <w:pPr>
        <w:pStyle w:val="2"/>
        <w:keepNext w:val="0"/>
        <w:keepLines w:val="0"/>
        <w:widowControl/>
        <w:suppressLineNumbers w:val="0"/>
        <w:jc w:val="both"/>
      </w:pPr>
      <w:r>
        <w:t>　　四、各地可根据《中华人民共和国房产税暂行条例》、《中华人民共和国城镇土地使用税暂行条例》授权和本地实际，对银行业金融机构、金融资产管理公司持有的抵债不动产减免房产税、城镇土地使用税。  </w:t>
      </w:r>
    </w:p>
    <w:p>
      <w:pPr>
        <w:pStyle w:val="2"/>
        <w:keepNext w:val="0"/>
        <w:keepLines w:val="0"/>
        <w:widowControl/>
        <w:suppressLineNumbers w:val="0"/>
        <w:jc w:val="both"/>
      </w:pPr>
      <w:r>
        <w:t>　　五、本公告所称抵债不动产、抵债资产，是指经人民法院判决裁定或仲裁机构仲裁的抵债不动产、抵债资产。其中，金融资产管理公司的抵债不动产、抵债资产，限于其承接银行业金融机构不良债权涉及的抵债不动产、抵债资产。  </w:t>
      </w:r>
    </w:p>
    <w:p>
      <w:pPr>
        <w:pStyle w:val="2"/>
        <w:keepNext w:val="0"/>
        <w:keepLines w:val="0"/>
        <w:widowControl/>
        <w:suppressLineNumbers w:val="0"/>
        <w:jc w:val="both"/>
      </w:pPr>
      <w:r>
        <w:t>　　六、本公告所称银行业金融机构，是指在中华人民共和国境内设立的商业银行、农村合作银行、农村信用社、村镇银行、农村资金互助社以及政策性银行；所称金融资产管理公司，是指持有国务院银行业监督管理机构及其派出机构颁发的《金融许可证》的资产管理公司。  </w:t>
      </w:r>
    </w:p>
    <w:p>
      <w:pPr>
        <w:pStyle w:val="2"/>
        <w:keepNext w:val="0"/>
        <w:keepLines w:val="0"/>
        <w:widowControl/>
        <w:suppressLineNumbers w:val="0"/>
        <w:jc w:val="both"/>
      </w:pPr>
      <w:r>
        <w:t>　　七、本公告执行期限为2023年8月1日至2027年12月31日。本公告发布之前已征收入库的按照上述规定应予减免的税款，可抵减纳税人以后月份应缴纳的税款或办理税款退库。已向处置不动产的购买方全额开具增值税专用发票的，将上述增值税专用发票追回后方可适用本公告第一条的规定。  </w:t>
      </w:r>
    </w:p>
    <w:p>
      <w:pPr>
        <w:pStyle w:val="2"/>
        <w:keepNext w:val="0"/>
        <w:keepLines w:val="0"/>
        <w:widowControl/>
        <w:suppressLineNumbers w:val="0"/>
        <w:jc w:val="both"/>
      </w:pPr>
      <w:r>
        <w:t>　　特此公告。  </w:t>
      </w:r>
    </w:p>
    <w:p>
      <w:pPr>
        <w:pStyle w:val="2"/>
        <w:keepNext w:val="0"/>
        <w:keepLines w:val="0"/>
        <w:widowControl/>
        <w:suppressLineNumbers w:val="0"/>
        <w:jc w:val="both"/>
      </w:pPr>
      <w:r>
        <w:t>　　 </w:t>
      </w:r>
    </w:p>
    <w:p>
      <w:pPr>
        <w:pStyle w:val="2"/>
        <w:keepNext w:val="0"/>
        <w:keepLines w:val="0"/>
        <w:widowControl/>
        <w:suppressLineNumbers w:val="0"/>
        <w:jc w:val="right"/>
      </w:pPr>
      <w:r>
        <w:t>财政部 税务总局  </w:t>
      </w:r>
    </w:p>
    <w:p>
      <w:pPr>
        <w:pStyle w:val="2"/>
        <w:keepNext w:val="0"/>
        <w:keepLines w:val="0"/>
        <w:widowControl/>
        <w:suppressLineNumbers w:val="0"/>
        <w:jc w:val="right"/>
      </w:pPr>
      <w:r>
        <w:t>　　2023年8月21日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2A64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2023-10-25T01:12:17Z</dcterms:created>
  <dc:creator>czj</dc:creator>
  <cp:lastModifiedBy>czj</cp:lastModifiedBy>
  <dcterms:modified xsi:type="dcterms:W3CDTF">2023-10-25T01:12:38Z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30BC1F8651EB44488B59FF9132CD21D6_12</vt:lpwstr>
  </property>
</Properties>
</file>