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</w:rPr>
        <w:t>关于减半征收证券交易印花税的公告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为活跃资本市场、提振投资者信心，自2023年8月28日起，证券交易印花税实施减半征收。 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特此公告。 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财政部  税务总局 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2023年8月27日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DNjN2Q3NmY4NmVjMGQ1MGQ4NjJmMGY1ZDlhOTEifQ=="/>
  </w:docVars>
  <w:rsids>
    <w:rsidRoot w:val="00000000"/>
    <w:rsid w:val="2DB6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2023-10-25T01:16:23Z</dcterms:created>
  <dc:creator>czj</dc:creator>
  <cp:lastModifiedBy>czj</cp:lastModifiedBy>
  <dcterms:modified xsi:type="dcterms:W3CDTF">2023-10-25T01:16:34Z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2B17B97D750C48FC8C552F06AA56A401_12</vt:lpwstr>
  </property>
</Properties>
</file>