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关于设备、器具扣除有关企业所得税政策的公告</w:t>
      </w:r>
    </w:p>
    <w:p>
      <w:pPr>
        <w:pStyle w:val="2"/>
        <w:keepNext w:val="0"/>
        <w:keepLines w:val="0"/>
        <w:widowControl/>
        <w:suppressLineNumbers w:val="0"/>
        <w:jc w:val="both"/>
      </w:pPr>
      <w:r>
        <w:t>　　为引导企业加大设备、器具投资力度，现就有关企业所得税政策公告如下： </w:t>
      </w:r>
    </w:p>
    <w:p>
      <w:pPr>
        <w:pStyle w:val="2"/>
        <w:keepNext w:val="0"/>
        <w:keepLines w:val="0"/>
        <w:widowControl/>
        <w:suppressLineNumbers w:val="0"/>
        <w:jc w:val="both"/>
      </w:pPr>
      <w:r>
        <w:t>　　一、企业在2024年1月1日至2027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国家税务总局关于进一步完善固定资产加速折旧企业所得税政策的通知》（财税〔2015〕106号）等相关规定执行。  </w:t>
      </w:r>
    </w:p>
    <w:p>
      <w:pPr>
        <w:pStyle w:val="2"/>
        <w:keepNext w:val="0"/>
        <w:keepLines w:val="0"/>
        <w:widowControl/>
        <w:suppressLineNumbers w:val="0"/>
        <w:jc w:val="both"/>
      </w:pPr>
      <w:r>
        <w:t>　　二、本公告所称设备、器具，是指除房屋、建筑物以外的固定资产。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5E59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2023-10-25T01:07:49Z</dcterms:created>
  <dc:creator>czj</dc:creator>
  <cp:lastModifiedBy>czj</cp:lastModifiedBy>
  <dcterms:modified xsi:type="dcterms:W3CDTF">2023-10-25T01:08:03Z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E879E4A098E24A699EB2B3121DB00DE8_12</vt:lpwstr>
  </property>
</Properties>
</file>