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关于延续实施个人所得税综合所得汇算清缴有关政策的公告</w:t>
      </w:r>
    </w:p>
    <w:p>
      <w:pPr>
        <w:pStyle w:val="2"/>
        <w:keepNext w:val="0"/>
        <w:keepLines w:val="0"/>
        <w:widowControl/>
        <w:suppressLineNumbers w:val="0"/>
        <w:jc w:val="both"/>
      </w:pPr>
      <w:r>
        <w:t>　　为进一步减轻纳税人负担，现就个人所得税综合所得汇算清缴有关政策公告如下：  </w:t>
      </w:r>
    </w:p>
    <w:p>
      <w:pPr>
        <w:pStyle w:val="2"/>
        <w:keepNext w:val="0"/>
        <w:keepLines w:val="0"/>
        <w:widowControl/>
        <w:suppressLineNumbers w:val="0"/>
        <w:jc w:val="both"/>
      </w:pPr>
      <w:r>
        <w:t>　　2024年1月1日至2027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7AB0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2023-10-25T01:07:11Z</dcterms:created>
  <dc:creator>czj</dc:creator>
  <cp:lastModifiedBy>czj</cp:lastModifiedBy>
  <dcterms:modified xsi:type="dcterms:W3CDTF">2023-10-25T01:07:22Z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845AF82A97124899A3BB984CBDB8DB38_12</vt:lpwstr>
  </property>
</Properties>
</file>