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关于延续执行农户、小微企业和个体工商户融资担保增值税政策的公告</w:t>
      </w:r>
    </w:p>
    <w:p>
      <w:pPr>
        <w:pStyle w:val="2"/>
        <w:keepNext w:val="0"/>
        <w:keepLines w:val="0"/>
        <w:widowControl/>
        <w:suppressLineNumbers w:val="0"/>
        <w:jc w:val="both"/>
      </w:pPr>
      <w:r>
        <w:t>　　为进一步支持农户、小微企业和个体工商户融资，现将有关税收政策公告如下：  </w:t>
      </w:r>
    </w:p>
    <w:p>
      <w:pPr>
        <w:pStyle w:val="2"/>
        <w:keepNext w:val="0"/>
        <w:keepLines w:val="0"/>
        <w:widowControl/>
        <w:suppressLineNumbers w:val="0"/>
        <w:jc w:val="both"/>
      </w:pPr>
      <w:r>
        <w:t>　　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  </w:t>
      </w:r>
    </w:p>
    <w:p>
      <w:pPr>
        <w:pStyle w:val="2"/>
        <w:keepNext w:val="0"/>
        <w:keepLines w:val="0"/>
        <w:widowControl/>
        <w:suppressLineNumbers w:val="0"/>
        <w:jc w:val="both"/>
      </w:pPr>
      <w: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  </w:t>
      </w:r>
    </w:p>
    <w:p>
      <w:pPr>
        <w:pStyle w:val="2"/>
        <w:keepNext w:val="0"/>
        <w:keepLines w:val="0"/>
        <w:widowControl/>
        <w:suppressLineNumbers w:val="0"/>
        <w:jc w:val="both"/>
      </w:pPr>
      <w:r>
        <w:t>　　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  </w:t>
      </w:r>
    </w:p>
    <w:p>
      <w:pPr>
        <w:pStyle w:val="2"/>
        <w:keepNext w:val="0"/>
        <w:keepLines w:val="0"/>
        <w:widowControl/>
        <w:suppressLineNumbers w:val="0"/>
        <w:jc w:val="both"/>
      </w:pPr>
      <w:r>
        <w:t>　　营业收入（年）=企业实际存续期间营业收入/企业实际存续月数×12  </w:t>
      </w:r>
    </w:p>
    <w:p>
      <w:pPr>
        <w:pStyle w:val="2"/>
        <w:keepNext w:val="0"/>
        <w:keepLines w:val="0"/>
        <w:widowControl/>
        <w:suppressLineNumbers w:val="0"/>
        <w:jc w:val="both"/>
      </w:pPr>
      <w:r>
        <w:t>　　纳税人应将相关免税证明材料留存备查，单独核算符合免税条件的融资担保费和再担保费收入，按现行规定向主管税务机关办理纳税申报；未单独核算的，不得免征增值税。  </w:t>
      </w:r>
    </w:p>
    <w:p>
      <w:pPr>
        <w:pStyle w:val="2"/>
        <w:keepNext w:val="0"/>
        <w:keepLines w:val="0"/>
        <w:widowControl/>
        <w:suppressLineNumbers w:val="0"/>
        <w:jc w:val="both"/>
      </w:pPr>
      <w:r>
        <w:t>　　三、本公告执行至2027年12月31日。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7113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2023-10-25T00:51:20Z</dcterms:created>
  <dc:creator>czj</dc:creator>
  <cp:lastModifiedBy>czj</cp:lastModifiedBy>
  <dcterms:modified xsi:type="dcterms:W3CDTF">2023-10-25T00:51:34Z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288EFE1C4F4F4664861665D4CE1D3287_12</vt:lpwstr>
  </property>
</Properties>
</file>