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b/>
          <w:bCs/>
        </w:rPr>
        <w:t>关于支持货物期货市场对外开放有关增值税政策的公告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为继续支持货物期货市场对外开放，现将有关增值税政策公告如下：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对经国务院批准对外开放的货物期货品种保税交割业务，暂免征收增值税。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上述期货交易中实际交割的货物，如果发生进口或者出口的，统一按照现行货物进出口税收政策执行。非保税货物发生的期货实物交割仍按《国家税务总局关于下发&lt;货物期货征收增值税具体办法&gt;的通知》（国税发〔1994〕244号）的规定执行。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本公告执行至2027年12月31日。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特此公告。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 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t>　　财政部  税务总局 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t>　　2023年8月17日 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ODNjN2Q3NmY4NmVjMGQ1MGQ4NjJmMGY1ZDlhOTEifQ=="/>
  </w:docVars>
  <w:rsids>
    <w:rsidRoot w:val="00000000"/>
    <w:rsid w:val="692B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2023-10-25T01:01:12Z</dcterms:created>
  <dc:creator>czj</dc:creator>
  <cp:lastModifiedBy>czj</cp:lastModifiedBy>
  <dcterms:modified xsi:type="dcterms:W3CDTF">2023-10-25T01:01:29Z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2CF404F4C1C74EFDB25E12D97E7DA956_12</vt:lpwstr>
  </property>
</Properties>
</file>