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rPr>
          <w:b/>
          <w:bCs/>
        </w:rPr>
        <w:t>关于继续对废矿物油再生油品免征消费税的公告</w:t>
      </w:r>
    </w:p>
    <w:p>
      <w:pPr>
        <w:pStyle w:val="2"/>
        <w:keepNext w:val="0"/>
        <w:keepLines w:val="0"/>
        <w:widowControl/>
        <w:suppressLineNumbers w:val="0"/>
        <w:jc w:val="both"/>
      </w:pPr>
      <w:r>
        <w:t>　　为继续支持促进资源综合利用和环境保护，现对以回收的废矿物油为原料生产的润滑油基础油、汽油、柴油等工业油料免征消费税政策公告如下：  </w:t>
      </w:r>
    </w:p>
    <w:p>
      <w:pPr>
        <w:pStyle w:val="2"/>
        <w:keepNext w:val="0"/>
        <w:keepLines w:val="0"/>
        <w:widowControl/>
        <w:suppressLineNumbers w:val="0"/>
        <w:jc w:val="both"/>
      </w:pPr>
      <w:r>
        <w:t>　　一、废矿物油，是指工业生产领域机械设备及汽车、船舶等交通运输设备使用后失去或降低功效更换下来的废润滑油。  </w:t>
      </w:r>
    </w:p>
    <w:p>
      <w:pPr>
        <w:pStyle w:val="2"/>
        <w:keepNext w:val="0"/>
        <w:keepLines w:val="0"/>
        <w:widowControl/>
        <w:suppressLineNumbers w:val="0"/>
        <w:jc w:val="both"/>
      </w:pPr>
      <w:r>
        <w:t>　　二、纳税人利用废矿物油生产的润滑油基础油、汽油、柴油等工业油料免征消费税，应同时符合下列条件：  </w:t>
      </w:r>
    </w:p>
    <w:p>
      <w:pPr>
        <w:pStyle w:val="2"/>
        <w:keepNext w:val="0"/>
        <w:keepLines w:val="0"/>
        <w:widowControl/>
        <w:suppressLineNumbers w:val="0"/>
        <w:jc w:val="both"/>
      </w:pPr>
      <w:r>
        <w:t>　　（一）纳税人必须取得生态环境部门颁发的《危险废物（综合）经营许可证》，且该证件上核准生产经营范围应包括“利用”或“综合经营”字样。生产经营范围为“综合经营”的纳税人，还应同时提供颁发《危险废物（综合）经营许可证》的生态环境部门出具的能证明其生产经营范围包括“利用”的材料。  </w:t>
      </w:r>
    </w:p>
    <w:p>
      <w:pPr>
        <w:pStyle w:val="2"/>
        <w:keepNext w:val="0"/>
        <w:keepLines w:val="0"/>
        <w:widowControl/>
        <w:suppressLineNumbers w:val="0"/>
        <w:jc w:val="both"/>
      </w:pPr>
      <w:r>
        <w:t>　　纳税人在申请办理免征消费税备案时，应同时提交污染物排放地生态环境部门确定的该纳税人应予执行的污染物排放标准，以及污染物排放地生态环境部门在此前6个月以内出具的该纳税人的污染物排放符合上述标准的证明材料。  </w:t>
      </w:r>
    </w:p>
    <w:p>
      <w:pPr>
        <w:pStyle w:val="2"/>
        <w:keepNext w:val="0"/>
        <w:keepLines w:val="0"/>
        <w:widowControl/>
        <w:suppressLineNumbers w:val="0"/>
        <w:jc w:val="both"/>
      </w:pPr>
      <w:r>
        <w:t>　　纳税人回收的废矿物油应具备能显示其名称、特性、数量、接受日期等项目的《危险废物转移联单》。  </w:t>
      </w:r>
    </w:p>
    <w:p>
      <w:pPr>
        <w:pStyle w:val="2"/>
        <w:keepNext w:val="0"/>
        <w:keepLines w:val="0"/>
        <w:widowControl/>
        <w:suppressLineNumbers w:val="0"/>
        <w:jc w:val="both"/>
      </w:pPr>
      <w:r>
        <w:t>　　（二）生产原料中废矿物油重量必须占到90%以上。产成品中必须包括润滑油基础油，且每吨废矿物油生产的润滑油基础油应不少于0.65吨。  </w:t>
      </w:r>
    </w:p>
    <w:p>
      <w:pPr>
        <w:pStyle w:val="2"/>
        <w:keepNext w:val="0"/>
        <w:keepLines w:val="0"/>
        <w:widowControl/>
        <w:suppressLineNumbers w:val="0"/>
        <w:jc w:val="both"/>
      </w:pPr>
      <w:r>
        <w:t>　　（三）利用废矿物油生产的产品与利用其他原料生产的产品应分别核算。  </w:t>
      </w:r>
    </w:p>
    <w:p>
      <w:pPr>
        <w:pStyle w:val="2"/>
        <w:keepNext w:val="0"/>
        <w:keepLines w:val="0"/>
        <w:widowControl/>
        <w:suppressLineNumbers w:val="0"/>
        <w:jc w:val="both"/>
      </w:pPr>
      <w:r>
        <w:t>　　三、符合本公告第二条规定的纳税人销售免税油品时，应在增值税专用发票上注明产品名称，并在产品名称后加注“（废矿物油）”。  </w:t>
      </w:r>
    </w:p>
    <w:p>
      <w:pPr>
        <w:pStyle w:val="2"/>
        <w:keepNext w:val="0"/>
        <w:keepLines w:val="0"/>
        <w:widowControl/>
        <w:suppressLineNumbers w:val="0"/>
        <w:jc w:val="both"/>
      </w:pPr>
      <w:r>
        <w:t>　　四、符合本公告第二条规定的纳税人利用废矿物油生产的润滑油基础油连续加工生产润滑油，或纳税人（包括符合本公告第二条规定的纳税人及其他纳税人）外购利用废矿物油生产的润滑油基础油加工生产润滑油，在申报润滑油消费税额时按当期销售的润滑油数量扣减其耗用的符合本公告规定的润滑油基础油数量的余额计算缴纳消费税。  </w:t>
      </w:r>
    </w:p>
    <w:p>
      <w:pPr>
        <w:pStyle w:val="2"/>
        <w:keepNext w:val="0"/>
        <w:keepLines w:val="0"/>
        <w:widowControl/>
        <w:suppressLineNumbers w:val="0"/>
        <w:jc w:val="both"/>
      </w:pPr>
      <w:r>
        <w:t>　　五、对未达到相应的污染物排放标准或被取消《危险废物（综合）经营许可证》的纳税人，自发生违规排放行为之日或《危险废物（综合）经营许可证》被取消之日起，取消其享受本公告规定的免征消费税政策的资格，且三年内不得再次申请。纳税人自发生违规排放行为之日起已申请并办理免税的，应予追缴。  </w:t>
      </w:r>
    </w:p>
    <w:p>
      <w:pPr>
        <w:pStyle w:val="2"/>
        <w:keepNext w:val="0"/>
        <w:keepLines w:val="0"/>
        <w:widowControl/>
        <w:suppressLineNumbers w:val="0"/>
        <w:jc w:val="both"/>
      </w:pPr>
      <w:r>
        <w:t>　　六、各级税务机关应采取严密措施，对享受本公告规定的免征消费税政策的纳税人加强动态监管。凡经核实纳税人弄虚作假骗取享受本公告规定的免征消费税政策的，税务机关追缴其此前骗取的免税税款，并自纳税人发生上述违法违规行为年度起，取消其享受本公告规定的免征消费税政策的资格，且纳税人三年内不得再次申请。  </w:t>
      </w:r>
    </w:p>
    <w:p>
      <w:pPr>
        <w:pStyle w:val="2"/>
        <w:keepNext w:val="0"/>
        <w:keepLines w:val="0"/>
        <w:widowControl/>
        <w:suppressLineNumbers w:val="0"/>
        <w:jc w:val="both"/>
      </w:pPr>
      <w:r>
        <w:t>　　发生违规排放行为之日，是指已由污染物排放地生态环境部门查证确认的、纳税人发生未达到应予执行的污染物排放标准行为的当日。  </w:t>
      </w:r>
    </w:p>
    <w:p>
      <w:pPr>
        <w:pStyle w:val="2"/>
        <w:keepNext w:val="0"/>
        <w:keepLines w:val="0"/>
        <w:widowControl/>
        <w:suppressLineNumbers w:val="0"/>
        <w:jc w:val="both"/>
      </w:pPr>
      <w:r>
        <w:t>　　七、本公告执行至2027年12月31日。  </w:t>
      </w:r>
    </w:p>
    <w:p>
      <w:pPr>
        <w:pStyle w:val="2"/>
        <w:keepNext w:val="0"/>
        <w:keepLines w:val="0"/>
        <w:widowControl/>
        <w:suppressLineNumbers w:val="0"/>
        <w:jc w:val="both"/>
      </w:pPr>
      <w:r>
        <w:t>　　  </w:t>
      </w:r>
    </w:p>
    <w:p>
      <w:pPr>
        <w:pStyle w:val="2"/>
        <w:keepNext w:val="0"/>
        <w:keepLines w:val="0"/>
        <w:widowControl/>
        <w:suppressLineNumbers w:val="0"/>
        <w:jc w:val="right"/>
      </w:pPr>
      <w:r>
        <w:t>　　财政部 税务总局</w:t>
      </w:r>
    </w:p>
    <w:p>
      <w:pPr>
        <w:pStyle w:val="2"/>
        <w:keepNext w:val="0"/>
        <w:keepLines w:val="0"/>
        <w:widowControl/>
        <w:suppressLineNumbers w:val="0"/>
        <w:jc w:val="right"/>
      </w:pPr>
      <w:r>
        <w:t>2023年9月27日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0ODNjN2Q3NmY4NmVjMGQ1MGQ4NjJmMGY1ZDlhOTEifQ=="/>
  </w:docVars>
  <w:rsids>
    <w:rsidRoot w:val="00000000"/>
    <w:rsid w:val="2F722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2023-10-25T02:17:18Z</dcterms:created>
  <dc:creator>czj</dc:creator>
  <cp:lastModifiedBy>czj</cp:lastModifiedBy>
  <dcterms:modified xsi:type="dcterms:W3CDTF">2023-10-25T02:17:37Z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EE458E0B454F444AB4167D170BB510DA_12</vt:lpwstr>
  </property>
</Properties>
</file>