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4"/>
        <w:gridCol w:w="1956"/>
        <w:gridCol w:w="2934"/>
        <w:gridCol w:w="4757"/>
        <w:gridCol w:w="1823"/>
        <w:gridCol w:w="1245"/>
      </w:tblGrid>
      <w:tr>
        <w:trPr>
          <w:trHeight w:val="540"/>
        </w:trPr>
        <w:tc>
          <w:tcPr>
            <w:tcW w:w="14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方正小标宋简体" w:eastAsia="方正小标宋简体" w:cs="方正小标宋简体" w:hAnsi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cs="方正小标宋简体" w:hAnsi="方正小标宋简体" w:hint="eastAsia"/>
                <w:sz w:val="44"/>
                <w:szCs w:val="44"/>
                <w:lang w:val="en-US" w:eastAsia="zh-CN"/>
              </w:rPr>
              <w:t>曲阳县</w:t>
            </w:r>
            <w:r>
              <w:rPr>
                <w:rFonts w:ascii="方正小标宋简体" w:eastAsia="方正小标宋简体" w:cs="方正小标宋简体" w:hAnsi="方正小标宋简体" w:hint="eastAsia"/>
                <w:sz w:val="44"/>
                <w:szCs w:val="44"/>
              </w:rPr>
              <w:t>市场监督管理局重大行政执法决定法制审核目录清单</w:t>
            </w:r>
          </w:p>
        </w:tc>
      </w:tr>
      <w:tr>
        <w:trPr>
          <w:trHeight w:val="375"/>
        </w:trPr>
        <w:tc>
          <w:tcPr>
            <w:tcW w:w="12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  <w:t>执法种类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  <w:t>范围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  <w:t>提交资料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  <w:t>审核重点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  <w:t>审核依据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b/>
                <w:bCs/>
                <w:sz w:val="24"/>
                <w:szCs w:val="24"/>
              </w:rPr>
              <w:t>实施对象</w:t>
            </w:r>
          </w:p>
        </w:tc>
      </w:tr>
      <w:tr>
        <w:trPr>
          <w:trHeight w:val="2041"/>
        </w:trPr>
        <w:tc>
          <w:tcPr>
            <w:tcW w:w="12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行政许可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法律、法规、规章规定应当举行听证或者申请人、利害关系人要求听证的行政许可；涉及重大公共利益的行政许可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（一）法律、法规、规章以及有关规定要求的全部申请材料；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（二）实施行政许可的依据；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（三）经听证、评估的，提交听证笔录、评估报告。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（一）申请材料是否齐全、符合法定形式；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（二）是否超越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  <w:lang w:val="en-US" w:eastAsia="zh-CN"/>
              </w:rPr>
              <w:t>县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局权限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（三）适用依据是否准确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（四）程序和时限是否符合法定要求等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《</w:t>
            </w:r>
            <w:r>
              <w:rPr>
                <w:rFonts w:ascii="微软雅黑" w:eastAsia="微软雅黑" w:cs="微软雅黑" w:hAnsi="微软雅黑"/>
                <w:sz w:val="24"/>
                <w:szCs w:val="24"/>
              </w:rPr>
              <w:t>中华人民共和国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行政许可法》第三十四条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许可机构</w:t>
            </w:r>
          </w:p>
        </w:tc>
      </w:tr>
      <w:tr>
        <w:trPr>
          <w:trHeight w:val="2746"/>
        </w:trPr>
        <w:tc>
          <w:tcPr>
            <w:tcW w:w="12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行政处罚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拟对自然人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  <w:lang w:val="en-US" w:eastAsia="zh-CN"/>
              </w:rPr>
              <w:t>罚没款在1万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元以上（含本数）、法人或者其他组织作出罚没款在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万元以上（含本数）的案件；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拟吊销营业执照的处罚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（一）调查终结报告；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（二）拟作出的处罚决定；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（三）拟作出处罚决定的相关依据；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（四）拟作出处罚决定的证据资料；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（五）应当提交的其他材料。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（一）案件是否具有管辖权；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（二）违法主体认定是否准确；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（三）办案程序是否何合法；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（四）案件事实是否清楚，证据是否合法充分，执法文书是否规范；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（五）适用法律、</w:t>
            </w:r>
            <w:bookmarkStart w:id="0" w:name="_GoBack"/>
            <w:bookmarkEnd w:id="0"/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法规、规章是否准确；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（六）处理建议是否合法、适当；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（七）处罚裁量是否合理、公正；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pacing w:val="0"/>
                <w:sz w:val="24"/>
                <w:szCs w:val="24"/>
              </w:rPr>
              <w:t>（八）违法行为是否涉嫌犯罪需要移送司法机关。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《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  <w:lang w:eastAsia="zh-CN"/>
              </w:rPr>
              <w:t>曲阳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县市场监督管理局重大行政处罚案件集体讨论规则》第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办案机构</w:t>
            </w:r>
          </w:p>
        </w:tc>
      </w:tr>
      <w:tr>
        <w:trPr>
          <w:trHeight w:val="2101"/>
        </w:trPr>
        <w:tc>
          <w:tcPr>
            <w:tcW w:w="12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行政强制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涉及重大公共利益的，或者可能造成重大影响或引发社会风险的行政强制措施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采取行政强制措施的事实、依据及方式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（一）是否具有管辖权；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（二）违法主体认定是否准确；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（三）程序是否符合法定要求；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（四）案件事实是否清楚，证据是否合法充分，执法文书是否规范；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（五）适用法律依据是否准确；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（六）强制措施是否适当。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《</w:t>
            </w:r>
            <w:r>
              <w:rPr>
                <w:rFonts w:ascii="微软雅黑" w:eastAsia="微软雅黑" w:cs="微软雅黑" w:hAnsi="微软雅黑"/>
                <w:sz w:val="24"/>
                <w:szCs w:val="24"/>
              </w:rPr>
              <w:t>中华人民共和国</w:t>
            </w: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行政强制法》第四条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微软雅黑" w:eastAsia="微软雅黑" w:cs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cs="微软雅黑" w:hAnsi="微软雅黑" w:hint="eastAsia"/>
                <w:sz w:val="24"/>
                <w:szCs w:val="24"/>
              </w:rPr>
              <w:t>办案机构</w:t>
            </w:r>
          </w:p>
        </w:tc>
      </w:tr>
    </w:tbl>
    <w:p/>
    <w:sectPr>
      <w:pgSz w:w="16838" w:h="11906" w:orient="landscape"/>
      <w:pgMar w:top="964" w:right="1440" w:bottom="964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7D5C598-423B-4B63-88A5-17EE9369678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WPS_Yozo_Office9.0.4278.101ZH.S1</Application>
  <Pages>1</Pages>
  <Words>0</Words>
  <Characters>580</Characters>
  <Lines>0</Lines>
  <Paragraphs>2</Paragraphs>
  <CharactersWithSpaces>774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ZCFG</dc:creator>
  <cp:lastModifiedBy>ZCFG</cp:lastModifiedBy>
  <cp:revision>1</cp:revision>
  <dcterms:created xsi:type="dcterms:W3CDTF">2023-07-03T03:20:00Z</dcterms:created>
  <dcterms:modified xsi:type="dcterms:W3CDTF">2023-11-07T06:59:43Z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2052-11.8.2.11978</vt:lpwstr>
  </property>
  <property fmtid="{D5CDD505-2E9C-101B-9397-08002B2CF9AE}" pid="3" name="ICV">
    <vt:lpwstr>CCEF5834B9F246AABB6748BEDAAC22F4</vt:lpwstr>
  </property>
</Properties>
</file>