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jc w:val="center"/>
        <w:rPr>
          <w:rFonts w:ascii="宋体" w:hAnsi="宋体"/>
          <w:sz w:val="24"/>
          <w:szCs w:val="24"/>
          <w:highlight w:val="none"/>
        </w:rPr>
      </w:pPr>
    </w:p>
    <w:p>
      <w:pPr>
        <w:rPr>
          <w:rFonts w:ascii="宋体" w:hAnsi="宋体"/>
          <w:sz w:val="36"/>
          <w:szCs w:val="36"/>
          <w:highlight w:val="none"/>
        </w:rPr>
      </w:pPr>
    </w:p>
    <w:p>
      <w:pPr>
        <w:jc w:val="center"/>
        <w:rPr>
          <w:rFonts w:ascii="宋体" w:hAnsi="宋体"/>
          <w:szCs w:val="21"/>
          <w:highlight w:val="none"/>
        </w:rPr>
      </w:pPr>
    </w:p>
    <w:p>
      <w:pPr>
        <w:keepNext w:val="0"/>
        <w:keepLines w:val="0"/>
        <w:pageBreakBefore w:val="0"/>
        <w:widowControl w:val="0"/>
        <w:kinsoku/>
        <w:wordWrap/>
        <w:overflowPunct/>
        <w:topLinePunct w:val="0"/>
        <w:autoSpaceDE/>
        <w:autoSpaceDN/>
        <w:bidi w:val="0"/>
        <w:adjustRightInd/>
        <w:snapToGrid/>
        <w:spacing w:line="760" w:lineRule="exact"/>
        <w:jc w:val="center"/>
        <w:textAlignment w:val="auto"/>
        <w:rPr>
          <w:rFonts w:hint="eastAsia" w:ascii="宋体" w:hAnsi="宋体" w:cs="宋体"/>
          <w:b/>
          <w:bCs w:val="0"/>
          <w:sz w:val="44"/>
          <w:szCs w:val="44"/>
          <w:highlight w:val="none"/>
          <w:lang w:val="en-US" w:eastAsia="zh-CN"/>
        </w:rPr>
      </w:pPr>
      <w:r>
        <w:rPr>
          <w:rFonts w:hint="eastAsia" w:ascii="宋体" w:hAnsi="宋体" w:cs="宋体"/>
          <w:b/>
          <w:bCs w:val="0"/>
          <w:sz w:val="44"/>
          <w:szCs w:val="44"/>
          <w:highlight w:val="none"/>
          <w:lang w:val="en-US" w:eastAsia="zh-CN"/>
        </w:rPr>
        <w:t>曲阳县孟良河综合治理工程</w:t>
      </w:r>
    </w:p>
    <w:p>
      <w:pPr>
        <w:pStyle w:val="2"/>
        <w:rPr>
          <w:highlight w:val="none"/>
        </w:rPr>
      </w:pPr>
    </w:p>
    <w:p>
      <w:pPr>
        <w:keepNext w:val="0"/>
        <w:keepLines w:val="0"/>
        <w:pageBreakBefore w:val="0"/>
        <w:widowControl w:val="0"/>
        <w:kinsoku/>
        <w:wordWrap/>
        <w:overflowPunct/>
        <w:topLinePunct w:val="0"/>
        <w:autoSpaceDE/>
        <w:autoSpaceDN/>
        <w:bidi w:val="0"/>
        <w:adjustRightInd/>
        <w:snapToGrid/>
        <w:spacing w:line="760" w:lineRule="exact"/>
        <w:jc w:val="center"/>
        <w:textAlignment w:val="auto"/>
        <w:rPr>
          <w:rFonts w:hint="eastAsia" w:ascii="宋体" w:hAnsi="宋体" w:eastAsia="宋体" w:cs="宋体"/>
          <w:b/>
          <w:bCs w:val="0"/>
          <w:sz w:val="44"/>
          <w:szCs w:val="44"/>
          <w:highlight w:val="none"/>
          <w:lang w:val="en-US" w:eastAsia="zh-CN"/>
        </w:rPr>
      </w:pPr>
      <w:r>
        <w:rPr>
          <w:rFonts w:hint="eastAsia" w:ascii="宋体" w:hAnsi="宋体" w:eastAsia="宋体" w:cs="宋体"/>
          <w:b/>
          <w:bCs w:val="0"/>
          <w:sz w:val="44"/>
          <w:szCs w:val="44"/>
          <w:highlight w:val="none"/>
          <w:lang w:val="en-US" w:eastAsia="zh-CN"/>
        </w:rPr>
        <w:t>绩效评价报告</w:t>
      </w:r>
    </w:p>
    <w:p>
      <w:pPr>
        <w:pStyle w:val="2"/>
        <w:ind w:left="0" w:leftChars="0" w:firstLine="0" w:firstLineChars="0"/>
        <w:rPr>
          <w:highlight w:val="none"/>
        </w:rPr>
      </w:pPr>
    </w:p>
    <w:p>
      <w:pPr>
        <w:pStyle w:val="2"/>
        <w:rPr>
          <w:highlight w:val="none"/>
        </w:rPr>
      </w:pPr>
    </w:p>
    <w:p>
      <w:pPr>
        <w:rPr>
          <w:highlight w:val="none"/>
        </w:rPr>
      </w:pPr>
    </w:p>
    <w:p>
      <w:pPr>
        <w:pStyle w:val="2"/>
      </w:pPr>
    </w:p>
    <w:p>
      <w:pPr>
        <w:pStyle w:val="2"/>
        <w:rPr>
          <w:highlight w:val="none"/>
        </w:rPr>
      </w:pPr>
    </w:p>
    <w:p>
      <w:pPr>
        <w:rPr>
          <w:highlight w:val="none"/>
        </w:rPr>
      </w:pPr>
    </w:p>
    <w:p>
      <w:pPr>
        <w:spacing w:line="900" w:lineRule="exact"/>
        <w:ind w:firstLine="1280" w:firstLineChars="400"/>
        <w:jc w:val="left"/>
        <w:rPr>
          <w:rFonts w:hint="eastAsia" w:ascii="仿宋" w:hAnsi="仿宋" w:eastAsia="仿宋" w:cs="仿宋"/>
          <w:sz w:val="32"/>
          <w:szCs w:val="32"/>
          <w:highlight w:val="none"/>
          <w:lang w:eastAsia="zh-CN"/>
        </w:rPr>
      </w:pPr>
      <w:r>
        <w:rPr>
          <w:rFonts w:hint="eastAsia" w:ascii="仿宋" w:hAnsi="仿宋" w:eastAsia="仿宋" w:cs="仿宋"/>
          <w:sz w:val="32"/>
          <w:szCs w:val="32"/>
          <w:highlight w:val="none"/>
          <w:lang w:eastAsia="zh-CN"/>
        </w:rPr>
        <w:t>评估</w:t>
      </w:r>
      <w:r>
        <w:rPr>
          <w:rFonts w:hint="eastAsia" w:ascii="仿宋" w:hAnsi="仿宋" w:eastAsia="仿宋" w:cs="仿宋"/>
          <w:sz w:val="32"/>
          <w:szCs w:val="32"/>
          <w:highlight w:val="none"/>
        </w:rPr>
        <w:t>单位：</w:t>
      </w:r>
      <w:r>
        <w:rPr>
          <w:rFonts w:hint="eastAsia" w:ascii="仿宋" w:hAnsi="仿宋" w:eastAsia="仿宋" w:cs="仿宋"/>
          <w:sz w:val="32"/>
          <w:szCs w:val="32"/>
          <w:highlight w:val="none"/>
          <w:lang w:eastAsia="zh-CN"/>
        </w:rPr>
        <w:t>曲阳县财政局</w:t>
      </w:r>
    </w:p>
    <w:p>
      <w:pPr>
        <w:spacing w:line="900" w:lineRule="exact"/>
        <w:ind w:firstLine="1280" w:firstLineChars="400"/>
        <w:jc w:val="left"/>
        <w:rPr>
          <w:rFonts w:hint="eastAsia" w:ascii="仿宋" w:hAnsi="仿宋" w:eastAsia="仿宋" w:cs="仿宋"/>
          <w:sz w:val="32"/>
          <w:szCs w:val="32"/>
          <w:highlight w:val="none"/>
          <w:lang w:eastAsia="zh-CN"/>
        </w:rPr>
      </w:pPr>
      <w:r>
        <w:rPr>
          <w:rFonts w:hint="eastAsia" w:ascii="仿宋" w:hAnsi="仿宋" w:eastAsia="仿宋" w:cs="仿宋"/>
          <w:sz w:val="32"/>
          <w:szCs w:val="32"/>
          <w:highlight w:val="none"/>
        </w:rPr>
        <w:t>项目名称：</w:t>
      </w:r>
      <w:r>
        <w:rPr>
          <w:rFonts w:hint="eastAsia" w:ascii="仿宋" w:hAnsi="仿宋" w:eastAsia="仿宋" w:cs="仿宋"/>
          <w:sz w:val="32"/>
          <w:szCs w:val="32"/>
          <w:highlight w:val="none"/>
          <w:lang w:eastAsia="zh-CN"/>
        </w:rPr>
        <w:t>曲阳县孟良河综合治理工程</w:t>
      </w:r>
    </w:p>
    <w:p>
      <w:pPr>
        <w:spacing w:line="900" w:lineRule="exact"/>
        <w:ind w:firstLine="1280" w:firstLineChars="400"/>
        <w:jc w:val="left"/>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项目实施主体：曲阳县水利局</w:t>
      </w:r>
    </w:p>
    <w:p>
      <w:pPr>
        <w:spacing w:line="900" w:lineRule="exact"/>
        <w:ind w:firstLine="1280" w:firstLineChars="400"/>
        <w:jc w:val="left"/>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评 估 日 期：</w:t>
      </w:r>
      <w:r>
        <w:rPr>
          <w:rFonts w:hint="eastAsia" w:ascii="仿宋" w:hAnsi="仿宋" w:eastAsia="仿宋" w:cs="仿宋"/>
          <w:sz w:val="32"/>
          <w:szCs w:val="32"/>
          <w:highlight w:val="none"/>
          <w:lang w:eastAsia="zh-CN"/>
        </w:rPr>
        <w:t>2023年</w:t>
      </w:r>
      <w:r>
        <w:rPr>
          <w:rFonts w:hint="eastAsia" w:ascii="仿宋" w:hAnsi="仿宋" w:eastAsia="仿宋" w:cs="仿宋"/>
          <w:sz w:val="32"/>
          <w:szCs w:val="32"/>
          <w:highlight w:val="none"/>
          <w:lang w:val="en-US" w:eastAsia="zh-CN"/>
        </w:rPr>
        <w:t>5</w:t>
      </w:r>
      <w:r>
        <w:rPr>
          <w:rFonts w:hint="eastAsia" w:ascii="仿宋" w:hAnsi="仿宋" w:eastAsia="仿宋" w:cs="仿宋"/>
          <w:sz w:val="32"/>
          <w:szCs w:val="32"/>
          <w:highlight w:val="none"/>
          <w:lang w:eastAsia="zh-CN"/>
        </w:rPr>
        <w:t>月</w:t>
      </w:r>
      <w:r>
        <w:rPr>
          <w:rFonts w:hint="eastAsia" w:ascii="仿宋" w:hAnsi="仿宋" w:eastAsia="仿宋" w:cs="仿宋"/>
          <w:sz w:val="32"/>
          <w:szCs w:val="32"/>
          <w:highlight w:val="none"/>
          <w:lang w:val="en-US" w:eastAsia="zh-CN"/>
        </w:rPr>
        <w:t>10</w:t>
      </w:r>
      <w:r>
        <w:rPr>
          <w:rFonts w:hint="eastAsia" w:ascii="仿宋" w:hAnsi="仿宋" w:eastAsia="仿宋" w:cs="仿宋"/>
          <w:sz w:val="32"/>
          <w:szCs w:val="32"/>
          <w:highlight w:val="none"/>
          <w:lang w:eastAsia="zh-CN"/>
        </w:rPr>
        <w:t>日</w:t>
      </w:r>
    </w:p>
    <w:p>
      <w:pPr>
        <w:spacing w:line="900" w:lineRule="exact"/>
        <w:ind w:firstLine="1280" w:firstLineChars="400"/>
        <w:jc w:val="left"/>
        <w:rPr>
          <w:rFonts w:hint="eastAsia" w:ascii="仿宋" w:hAnsi="仿宋" w:eastAsia="仿宋" w:cs="仿宋"/>
          <w:sz w:val="32"/>
          <w:szCs w:val="32"/>
          <w:highlight w:val="none"/>
          <w:lang w:eastAsia="zh-CN"/>
        </w:rPr>
      </w:pPr>
      <w:r>
        <w:rPr>
          <w:rFonts w:hint="eastAsia" w:ascii="仿宋" w:hAnsi="仿宋" w:eastAsia="仿宋" w:cs="仿宋"/>
          <w:sz w:val="32"/>
          <w:szCs w:val="32"/>
          <w:highlight w:val="none"/>
        </w:rPr>
        <w:t>报 告 日 期：</w:t>
      </w:r>
      <w:r>
        <w:rPr>
          <w:rFonts w:hint="eastAsia" w:ascii="仿宋" w:hAnsi="仿宋" w:eastAsia="仿宋" w:cs="仿宋"/>
          <w:sz w:val="32"/>
          <w:szCs w:val="32"/>
          <w:highlight w:val="none"/>
          <w:lang w:eastAsia="zh-CN"/>
        </w:rPr>
        <w:t>2023年</w:t>
      </w:r>
      <w:r>
        <w:rPr>
          <w:rFonts w:hint="eastAsia" w:ascii="仿宋" w:hAnsi="仿宋" w:eastAsia="仿宋" w:cs="仿宋"/>
          <w:sz w:val="32"/>
          <w:szCs w:val="32"/>
          <w:highlight w:val="none"/>
          <w:lang w:val="en-US" w:eastAsia="zh-CN"/>
        </w:rPr>
        <w:t>6</w:t>
      </w:r>
      <w:r>
        <w:rPr>
          <w:rFonts w:hint="eastAsia" w:ascii="仿宋" w:hAnsi="仿宋" w:eastAsia="仿宋" w:cs="仿宋"/>
          <w:sz w:val="32"/>
          <w:szCs w:val="32"/>
          <w:highlight w:val="none"/>
          <w:lang w:eastAsia="zh-CN"/>
        </w:rPr>
        <w:t>月</w:t>
      </w:r>
      <w:r>
        <w:rPr>
          <w:rFonts w:hint="eastAsia" w:ascii="仿宋" w:hAnsi="仿宋" w:eastAsia="仿宋" w:cs="仿宋"/>
          <w:sz w:val="32"/>
          <w:szCs w:val="32"/>
          <w:highlight w:val="none"/>
          <w:lang w:val="en-US" w:eastAsia="zh-CN"/>
        </w:rPr>
        <w:t>5</w:t>
      </w:r>
      <w:r>
        <w:rPr>
          <w:rFonts w:hint="eastAsia" w:ascii="仿宋" w:hAnsi="仿宋" w:eastAsia="仿宋" w:cs="仿宋"/>
          <w:sz w:val="32"/>
          <w:szCs w:val="32"/>
          <w:highlight w:val="none"/>
          <w:lang w:eastAsia="zh-CN"/>
        </w:rPr>
        <w:t>日</w:t>
      </w:r>
    </w:p>
    <w:p>
      <w:pPr>
        <w:spacing w:before="0" w:beforeLines="0" w:after="0" w:afterLines="0" w:line="240" w:lineRule="auto"/>
        <w:ind w:left="0" w:leftChars="0" w:right="0" w:rightChars="0" w:firstLine="0" w:firstLineChars="0"/>
        <w:jc w:val="both"/>
        <w:rPr>
          <w:rFonts w:hint="eastAsia" w:ascii="仿宋" w:hAnsi="仿宋" w:eastAsia="仿宋" w:cs="仿宋"/>
          <w:sz w:val="30"/>
          <w:szCs w:val="30"/>
          <w:highlight w:val="none"/>
        </w:rPr>
      </w:pPr>
    </w:p>
    <w:p>
      <w:pPr>
        <w:pStyle w:val="2"/>
        <w:rPr>
          <w:rFonts w:hint="eastAsia"/>
          <w:highlight w:val="none"/>
        </w:rPr>
      </w:pPr>
    </w:p>
    <w:p>
      <w:pPr>
        <w:pStyle w:val="2"/>
        <w:rPr>
          <w:rFonts w:hint="eastAsia"/>
          <w:highlight w:val="none"/>
        </w:rPr>
      </w:pPr>
    </w:p>
    <w:p>
      <w:pPr>
        <w:rPr>
          <w:rFonts w:hint="eastAsia"/>
          <w:highlight w:val="none"/>
        </w:rPr>
      </w:pPr>
    </w:p>
    <w:p>
      <w:pPr>
        <w:pStyle w:val="2"/>
        <w:rPr>
          <w:rFonts w:hint="eastAsia"/>
          <w:highlight w:val="none"/>
        </w:rPr>
      </w:pPr>
    </w:p>
    <w:p>
      <w:pPr>
        <w:rPr>
          <w:rFonts w:hint="eastAsia"/>
          <w:highlight w:val="none"/>
        </w:rPr>
      </w:pPr>
    </w:p>
    <w:p>
      <w:pPr>
        <w:pStyle w:val="2"/>
        <w:rPr>
          <w:rFonts w:hint="eastAsia"/>
          <w:highlight w:val="none"/>
        </w:rPr>
      </w:pPr>
    </w:p>
    <w:p>
      <w:pPr>
        <w:rPr>
          <w:rFonts w:hint="eastAsia"/>
          <w:highlight w:val="none"/>
        </w:rPr>
      </w:pPr>
    </w:p>
    <w:p>
      <w:pPr>
        <w:pStyle w:val="2"/>
        <w:rPr>
          <w:rFonts w:hint="eastAsia"/>
        </w:rPr>
      </w:pPr>
    </w:p>
    <w:p>
      <w:pPr>
        <w:spacing w:line="560" w:lineRule="exact"/>
        <w:jc w:val="both"/>
        <w:outlineLvl w:val="0"/>
        <w:rPr>
          <w:rFonts w:hint="eastAsia" w:ascii="仿宋" w:hAnsi="仿宋" w:eastAsia="仿宋" w:cs="仿宋"/>
          <w:b/>
          <w:bCs w:val="0"/>
          <w:sz w:val="36"/>
          <w:szCs w:val="36"/>
          <w:highlight w:val="none"/>
          <w:lang w:eastAsia="zh-CN"/>
        </w:rPr>
      </w:pPr>
    </w:p>
    <w:p>
      <w:pPr>
        <w:spacing w:line="560" w:lineRule="exact"/>
        <w:jc w:val="center"/>
        <w:outlineLvl w:val="0"/>
        <w:rPr>
          <w:rFonts w:hint="eastAsia" w:ascii="仿宋" w:hAnsi="仿宋" w:eastAsia="仿宋" w:cs="仿宋"/>
          <w:b/>
          <w:bCs w:val="0"/>
          <w:sz w:val="36"/>
          <w:szCs w:val="36"/>
          <w:highlight w:val="none"/>
          <w:lang w:eastAsia="zh-CN"/>
        </w:rPr>
      </w:pPr>
      <w:r>
        <w:rPr>
          <w:rFonts w:hint="eastAsia" w:ascii="仿宋" w:hAnsi="仿宋" w:eastAsia="仿宋" w:cs="仿宋"/>
          <w:b/>
          <w:bCs w:val="0"/>
          <w:sz w:val="36"/>
          <w:szCs w:val="36"/>
          <w:highlight w:val="none"/>
          <w:lang w:eastAsia="zh-CN"/>
        </w:rPr>
        <w:t>曲阳县孟良河综合治理工程项目</w:t>
      </w:r>
    </w:p>
    <w:p>
      <w:pPr>
        <w:spacing w:after="156" w:line="560" w:lineRule="exact"/>
        <w:ind w:left="-359" w:leftChars="-171" w:firstLine="361" w:firstLineChars="100"/>
        <w:jc w:val="center"/>
        <w:outlineLvl w:val="0"/>
        <w:rPr>
          <w:rFonts w:hint="eastAsia" w:ascii="仿宋" w:hAnsi="仿宋" w:eastAsia="仿宋" w:cs="仿宋"/>
          <w:sz w:val="32"/>
          <w:szCs w:val="32"/>
          <w:highlight w:val="none"/>
        </w:rPr>
      </w:pPr>
      <w:bookmarkStart w:id="0" w:name="_Toc12514"/>
      <w:bookmarkStart w:id="1" w:name="_Toc2651"/>
      <w:r>
        <w:rPr>
          <w:rFonts w:hint="eastAsia" w:ascii="仿宋" w:hAnsi="仿宋" w:eastAsia="仿宋" w:cs="仿宋"/>
          <w:b/>
          <w:bCs w:val="0"/>
          <w:sz w:val="36"/>
          <w:szCs w:val="36"/>
          <w:highlight w:val="none"/>
        </w:rPr>
        <w:t>绩效评价报告</w:t>
      </w:r>
      <w:bookmarkEnd w:id="0"/>
      <w:bookmarkEnd w:id="1"/>
    </w:p>
    <w:p>
      <w:pPr>
        <w:pageBreakBefore w:val="0"/>
        <w:kinsoku/>
        <w:wordWrap/>
        <w:overflowPunct/>
        <w:topLinePunct w:val="0"/>
        <w:autoSpaceDE/>
        <w:autoSpaceDN/>
        <w:bidi w:val="0"/>
        <w:adjustRightInd/>
        <w:snapToGrid/>
        <w:spacing w:line="560" w:lineRule="exact"/>
        <w:ind w:firstLine="640" w:firstLineChars="200"/>
        <w:rPr>
          <w:rFonts w:hint="eastAsia" w:ascii="仿宋" w:hAnsi="仿宋" w:eastAsia="仿宋" w:cs="仿宋"/>
          <w:kern w:val="2"/>
          <w:sz w:val="32"/>
          <w:szCs w:val="32"/>
          <w:highlight w:val="none"/>
          <w:u w:val="none"/>
          <w:shd w:val="clear" w:color="auto" w:fill="auto"/>
          <w:lang w:val="en-US" w:eastAsia="zh-CN" w:bidi="ar-SA"/>
        </w:rPr>
      </w:pPr>
      <w:r>
        <w:rPr>
          <w:rFonts w:hint="eastAsia" w:ascii="仿宋" w:hAnsi="仿宋" w:eastAsia="仿宋" w:cs="仿宋"/>
          <w:kern w:val="2"/>
          <w:sz w:val="32"/>
          <w:szCs w:val="32"/>
          <w:highlight w:val="none"/>
          <w:u w:val="none"/>
          <w:shd w:val="clear" w:color="auto" w:fill="auto"/>
          <w:lang w:val="en-US" w:eastAsia="zh-CN" w:bidi="ar-SA"/>
        </w:rPr>
        <w:t>我局对2022年度曲阳县孟良河综合治理工程专项债券资金进行了绩效评价，项目实施单位和相关单位提供与绩效评价有关的项目资料，并对其真实性、完整性、合法性负责。我局对该项目的项目决策、项目过程、项目产出、项目效益四个方面和执行国家法律、法规的情况发表评价意见。</w:t>
      </w:r>
    </w:p>
    <w:p>
      <w:pPr>
        <w:pageBreakBefore w:val="0"/>
        <w:kinsoku/>
        <w:wordWrap/>
        <w:overflowPunct/>
        <w:topLinePunct w:val="0"/>
        <w:autoSpaceDE/>
        <w:autoSpaceDN/>
        <w:bidi w:val="0"/>
        <w:adjustRightInd/>
        <w:snapToGrid/>
        <w:spacing w:line="560" w:lineRule="exact"/>
        <w:ind w:firstLine="640" w:firstLineChars="200"/>
        <w:rPr>
          <w:rFonts w:hint="eastAsia"/>
        </w:rPr>
      </w:pPr>
      <w:r>
        <w:rPr>
          <w:rFonts w:hint="eastAsia" w:ascii="仿宋" w:hAnsi="仿宋" w:eastAsia="仿宋" w:cs="仿宋"/>
          <w:kern w:val="2"/>
          <w:sz w:val="32"/>
          <w:szCs w:val="32"/>
          <w:highlight w:val="none"/>
          <w:u w:val="none"/>
          <w:shd w:val="clear" w:color="auto" w:fill="auto"/>
          <w:lang w:val="en-US" w:eastAsia="zh-CN" w:bidi="ar-SA"/>
        </w:rPr>
        <w:t>我们的绩效评价工作是依据河北省政府债券资金绩效管理办法等相关规定进行的，对本年度债券项目进行全覆盖评价。在评价工作中，我们结合项目的实际情况制定了绩效评价指标体系，实施了包括资料查看、问询、现场检查、问卷调查等我们认为必要的评价手段。绩效评价工作现已完成，具体评价情况汇总如下：</w:t>
      </w:r>
    </w:p>
    <w:p>
      <w:pPr>
        <w:pageBreakBefore w:val="0"/>
        <w:kinsoku/>
        <w:wordWrap/>
        <w:overflowPunct/>
        <w:topLinePunct w:val="0"/>
        <w:autoSpaceDE/>
        <w:autoSpaceDN/>
        <w:bidi w:val="0"/>
        <w:adjustRightInd/>
        <w:snapToGrid/>
        <w:spacing w:line="560" w:lineRule="exact"/>
        <w:ind w:firstLine="643" w:firstLineChars="200"/>
        <w:outlineLvl w:val="0"/>
        <w:rPr>
          <w:rFonts w:hint="eastAsia" w:ascii="仿宋" w:hAnsi="仿宋" w:eastAsia="仿宋" w:cs="仿宋"/>
          <w:b/>
          <w:bCs/>
          <w:sz w:val="32"/>
          <w:szCs w:val="32"/>
          <w:highlight w:val="none"/>
        </w:rPr>
      </w:pPr>
      <w:bookmarkStart w:id="2" w:name="_Toc8967"/>
      <w:bookmarkStart w:id="3" w:name="_Toc83631027"/>
      <w:bookmarkStart w:id="4" w:name="_Toc83630317"/>
      <w:bookmarkStart w:id="5" w:name="_Toc30480"/>
      <w:r>
        <w:rPr>
          <w:rFonts w:hint="eastAsia" w:ascii="仿宋" w:hAnsi="仿宋" w:eastAsia="仿宋" w:cs="仿宋"/>
          <w:b/>
          <w:bCs/>
          <w:sz w:val="32"/>
          <w:szCs w:val="32"/>
          <w:highlight w:val="none"/>
          <w:lang w:val="en-US" w:eastAsia="zh-CN"/>
        </w:rPr>
        <w:t>一、</w:t>
      </w:r>
      <w:r>
        <w:rPr>
          <w:rFonts w:hint="eastAsia" w:ascii="仿宋" w:hAnsi="仿宋" w:eastAsia="仿宋" w:cs="仿宋"/>
          <w:b/>
          <w:bCs/>
          <w:sz w:val="32"/>
          <w:szCs w:val="32"/>
          <w:highlight w:val="none"/>
        </w:rPr>
        <w:t>项目概况</w:t>
      </w:r>
      <w:bookmarkEnd w:id="2"/>
      <w:bookmarkEnd w:id="3"/>
      <w:bookmarkEnd w:id="4"/>
      <w:bookmarkEnd w:id="5"/>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val="en-US" w:eastAsia="zh-CN"/>
        </w:rPr>
        <w:t xml:space="preserve">该项目治理范围为曲阳县孟良河S382省道桥至曲定县界，治理总长度 </w:t>
      </w:r>
      <w:r>
        <w:rPr>
          <w:rFonts w:hint="default" w:ascii="仿宋" w:hAnsi="仿宋" w:eastAsia="仿宋" w:cs="仿宋"/>
          <w:sz w:val="30"/>
          <w:szCs w:val="30"/>
          <w:highlight w:val="none"/>
          <w:lang w:val="en-US" w:eastAsia="zh-CN"/>
        </w:rPr>
        <w:t>20.63km</w:t>
      </w:r>
      <w:r>
        <w:rPr>
          <w:rFonts w:hint="eastAsia" w:ascii="仿宋" w:hAnsi="仿宋" w:eastAsia="仿宋" w:cs="仿宋"/>
          <w:sz w:val="30"/>
          <w:szCs w:val="30"/>
          <w:highlight w:val="none"/>
          <w:lang w:val="en-US" w:eastAsia="zh-CN"/>
        </w:rPr>
        <w:t>。主要建设内容为河道水生态治理工程、输中水工程及人工湿地工程。具体为新建加压泵站</w:t>
      </w:r>
      <w:r>
        <w:rPr>
          <w:rFonts w:hint="default" w:ascii="仿宋" w:hAnsi="仿宋" w:eastAsia="仿宋" w:cs="仿宋"/>
          <w:sz w:val="30"/>
          <w:szCs w:val="30"/>
          <w:highlight w:val="none"/>
          <w:lang w:val="en-US" w:eastAsia="zh-CN"/>
        </w:rPr>
        <w:t>1</w:t>
      </w:r>
      <w:r>
        <w:rPr>
          <w:rFonts w:hint="eastAsia" w:ascii="仿宋" w:hAnsi="仿宋" w:eastAsia="仿宋" w:cs="仿宋"/>
          <w:sz w:val="30"/>
          <w:szCs w:val="30"/>
          <w:highlight w:val="none"/>
          <w:lang w:val="en-US" w:eastAsia="zh-CN"/>
        </w:rPr>
        <w:t>座，新建湿地输水管道</w:t>
      </w:r>
      <w:r>
        <w:rPr>
          <w:rFonts w:hint="default" w:ascii="仿宋" w:hAnsi="仿宋" w:eastAsia="仿宋" w:cs="仿宋"/>
          <w:sz w:val="30"/>
          <w:szCs w:val="30"/>
          <w:highlight w:val="none"/>
          <w:lang w:val="en-US" w:eastAsia="zh-CN"/>
        </w:rPr>
        <w:t>6.3km</w:t>
      </w:r>
      <w:r>
        <w:rPr>
          <w:rFonts w:hint="eastAsia" w:ascii="仿宋" w:hAnsi="仿宋" w:eastAsia="仿宋" w:cs="仿宋"/>
          <w:sz w:val="30"/>
          <w:szCs w:val="30"/>
          <w:highlight w:val="none"/>
          <w:lang w:val="en-US" w:eastAsia="zh-CN"/>
        </w:rPr>
        <w:t>，新建人工潜流湿地</w:t>
      </w:r>
      <w:r>
        <w:rPr>
          <w:rFonts w:hint="default" w:ascii="仿宋" w:hAnsi="仿宋" w:eastAsia="仿宋" w:cs="仿宋"/>
          <w:sz w:val="30"/>
          <w:szCs w:val="30"/>
          <w:highlight w:val="none"/>
          <w:lang w:val="en-US" w:eastAsia="zh-CN"/>
        </w:rPr>
        <w:t>11.8h</w:t>
      </w:r>
      <w:r>
        <w:rPr>
          <w:rFonts w:hint="eastAsia" w:ascii="仿宋" w:hAnsi="仿宋" w:eastAsia="仿宋" w:cs="仿宋"/>
          <w:sz w:val="30"/>
          <w:szCs w:val="30"/>
          <w:highlight w:val="none"/>
          <w:lang w:val="en-US" w:eastAsia="zh-CN"/>
        </w:rPr>
        <w:t>㎡（其中东侧湿地</w:t>
      </w:r>
      <w:r>
        <w:rPr>
          <w:rFonts w:hint="default" w:ascii="仿宋" w:hAnsi="仿宋" w:eastAsia="仿宋" w:cs="仿宋"/>
          <w:sz w:val="30"/>
          <w:szCs w:val="30"/>
          <w:highlight w:val="none"/>
          <w:lang w:val="en-US" w:eastAsia="zh-CN"/>
        </w:rPr>
        <w:t xml:space="preserve">5.0h </w:t>
      </w:r>
      <w:r>
        <w:rPr>
          <w:rFonts w:hint="eastAsia" w:ascii="仿宋" w:hAnsi="仿宋" w:eastAsia="仿宋" w:cs="仿宋"/>
          <w:sz w:val="30"/>
          <w:szCs w:val="30"/>
          <w:highlight w:val="none"/>
          <w:lang w:val="en-US" w:eastAsia="zh-CN"/>
        </w:rPr>
        <w:t>㎡，处理规模</w:t>
      </w:r>
      <w:r>
        <w:rPr>
          <w:rFonts w:hint="default" w:ascii="仿宋" w:hAnsi="仿宋" w:eastAsia="仿宋" w:cs="仿宋"/>
          <w:sz w:val="30"/>
          <w:szCs w:val="30"/>
          <w:highlight w:val="none"/>
          <w:lang w:val="en-US" w:eastAsia="zh-CN"/>
        </w:rPr>
        <w:t>2.0</w:t>
      </w:r>
      <w:r>
        <w:rPr>
          <w:rFonts w:hint="eastAsia" w:ascii="仿宋" w:hAnsi="仿宋" w:eastAsia="仿宋" w:cs="仿宋"/>
          <w:sz w:val="30"/>
          <w:szCs w:val="30"/>
          <w:highlight w:val="none"/>
          <w:lang w:val="en-US" w:eastAsia="zh-CN"/>
        </w:rPr>
        <w:t>万㎡</w:t>
      </w:r>
      <w:r>
        <w:rPr>
          <w:rFonts w:hint="default" w:ascii="仿宋" w:hAnsi="仿宋" w:eastAsia="仿宋" w:cs="仿宋"/>
          <w:sz w:val="30"/>
          <w:szCs w:val="30"/>
          <w:highlight w:val="none"/>
          <w:lang w:val="en-US" w:eastAsia="zh-CN"/>
        </w:rPr>
        <w:t>/d</w:t>
      </w:r>
      <w:r>
        <w:rPr>
          <w:rFonts w:hint="eastAsia" w:ascii="仿宋" w:hAnsi="仿宋" w:eastAsia="仿宋" w:cs="仿宋"/>
          <w:sz w:val="30"/>
          <w:szCs w:val="30"/>
          <w:highlight w:val="none"/>
          <w:lang w:val="en-US" w:eastAsia="zh-CN"/>
        </w:rPr>
        <w:t>；西侧湿地6.8h㎡，处理规模</w:t>
      </w:r>
      <w:r>
        <w:rPr>
          <w:rFonts w:hint="default" w:ascii="仿宋" w:hAnsi="仿宋" w:eastAsia="仿宋" w:cs="仿宋"/>
          <w:sz w:val="30"/>
          <w:szCs w:val="30"/>
          <w:highlight w:val="none"/>
          <w:lang w:val="en-US" w:eastAsia="zh-CN"/>
        </w:rPr>
        <w:t>3.0</w:t>
      </w:r>
      <w:r>
        <w:rPr>
          <w:rFonts w:hint="eastAsia" w:ascii="仿宋" w:hAnsi="仿宋" w:eastAsia="仿宋" w:cs="仿宋"/>
          <w:sz w:val="30"/>
          <w:szCs w:val="30"/>
          <w:highlight w:val="none"/>
          <w:lang w:val="en-US" w:eastAsia="zh-CN"/>
        </w:rPr>
        <w:t>万㎡</w:t>
      </w:r>
      <w:r>
        <w:rPr>
          <w:rFonts w:hint="default" w:ascii="仿宋" w:hAnsi="仿宋" w:eastAsia="仿宋" w:cs="仿宋"/>
          <w:sz w:val="30"/>
          <w:szCs w:val="30"/>
          <w:highlight w:val="none"/>
          <w:lang w:val="en-US" w:eastAsia="zh-CN"/>
        </w:rPr>
        <w:t xml:space="preserve">/d </w:t>
      </w:r>
      <w:r>
        <w:rPr>
          <w:rFonts w:hint="eastAsia" w:ascii="仿宋" w:hAnsi="仿宋" w:eastAsia="仿宋" w:cs="仿宋"/>
          <w:sz w:val="30"/>
          <w:szCs w:val="30"/>
          <w:highlight w:val="none"/>
          <w:lang w:val="en-US" w:eastAsia="zh-CN"/>
        </w:rPr>
        <w:t>），河道底泥清运</w:t>
      </w:r>
      <w:r>
        <w:rPr>
          <w:rFonts w:hint="default" w:ascii="仿宋" w:hAnsi="仿宋" w:eastAsia="仿宋" w:cs="仿宋"/>
          <w:sz w:val="30"/>
          <w:szCs w:val="30"/>
          <w:highlight w:val="none"/>
          <w:lang w:val="en-US" w:eastAsia="zh-CN"/>
        </w:rPr>
        <w:t>20.63km</w:t>
      </w:r>
      <w:r>
        <w:rPr>
          <w:rFonts w:hint="eastAsia" w:ascii="仿宋" w:hAnsi="仿宋" w:eastAsia="仿宋" w:cs="仿宋"/>
          <w:sz w:val="30"/>
          <w:szCs w:val="30"/>
          <w:highlight w:val="none"/>
          <w:lang w:val="en-US" w:eastAsia="zh-CN"/>
        </w:rPr>
        <w:t>， 河底绿化</w:t>
      </w:r>
      <w:r>
        <w:rPr>
          <w:rFonts w:hint="default" w:ascii="仿宋" w:hAnsi="仿宋" w:eastAsia="仿宋" w:cs="仿宋"/>
          <w:sz w:val="30"/>
          <w:szCs w:val="30"/>
          <w:highlight w:val="none"/>
          <w:lang w:val="en-US" w:eastAsia="zh-CN"/>
        </w:rPr>
        <w:t>13</w:t>
      </w:r>
      <w:r>
        <w:rPr>
          <w:rFonts w:hint="eastAsia" w:ascii="仿宋" w:hAnsi="仿宋" w:eastAsia="仿宋" w:cs="仿宋"/>
          <w:sz w:val="30"/>
          <w:szCs w:val="30"/>
          <w:highlight w:val="none"/>
          <w:lang w:val="en-US" w:eastAsia="zh-CN"/>
        </w:rPr>
        <w:t>万㎡（兼做表流湿地），垃圾清运</w:t>
      </w:r>
      <w:r>
        <w:rPr>
          <w:rFonts w:hint="default" w:ascii="仿宋" w:hAnsi="仿宋" w:eastAsia="仿宋" w:cs="仿宋"/>
          <w:sz w:val="30"/>
          <w:szCs w:val="30"/>
          <w:highlight w:val="none"/>
          <w:lang w:val="en-US" w:eastAsia="zh-CN"/>
        </w:rPr>
        <w:t>2.0</w:t>
      </w:r>
      <w:r>
        <w:rPr>
          <w:rFonts w:hint="eastAsia" w:ascii="仿宋" w:hAnsi="仿宋" w:eastAsia="仿宋" w:cs="仿宋"/>
          <w:sz w:val="30"/>
          <w:szCs w:val="30"/>
          <w:highlight w:val="none"/>
          <w:lang w:val="en-US" w:eastAsia="zh-CN"/>
        </w:rPr>
        <w:t>万</w:t>
      </w:r>
      <w:r>
        <w:rPr>
          <w:rFonts w:hint="default" w:ascii="仿宋" w:hAnsi="仿宋" w:eastAsia="仿宋" w:cs="仿宋"/>
          <w:sz w:val="30"/>
          <w:szCs w:val="30"/>
          <w:highlight w:val="none"/>
          <w:lang w:val="en-US" w:eastAsia="zh-CN"/>
        </w:rPr>
        <w:t>m</w:t>
      </w:r>
      <w:r>
        <w:rPr>
          <w:rFonts w:hint="eastAsia" w:ascii="仿宋" w:hAnsi="仿宋" w:eastAsia="仿宋" w:cs="仿宋"/>
          <w:sz w:val="30"/>
          <w:szCs w:val="30"/>
          <w:highlight w:val="none"/>
          <w:lang w:val="en-US" w:eastAsia="zh-CN"/>
        </w:rPr>
        <w:t>³，修建生态壅水闸</w:t>
      </w:r>
      <w:r>
        <w:rPr>
          <w:rFonts w:hint="default" w:ascii="仿宋" w:hAnsi="仿宋" w:eastAsia="仿宋" w:cs="仿宋"/>
          <w:sz w:val="30"/>
          <w:szCs w:val="30"/>
          <w:highlight w:val="none"/>
          <w:lang w:val="en-US" w:eastAsia="zh-CN"/>
        </w:rPr>
        <w:t>4</w:t>
      </w:r>
      <w:r>
        <w:rPr>
          <w:rFonts w:hint="eastAsia" w:ascii="仿宋" w:hAnsi="仿宋" w:eastAsia="仿宋" w:cs="仿宋"/>
          <w:sz w:val="30"/>
          <w:szCs w:val="30"/>
          <w:highlight w:val="none"/>
          <w:lang w:val="en-US" w:eastAsia="zh-CN"/>
        </w:rPr>
        <w:t>座，生态浮岛</w:t>
      </w:r>
      <w:r>
        <w:rPr>
          <w:rFonts w:hint="default" w:ascii="仿宋" w:hAnsi="仿宋" w:eastAsia="仿宋" w:cs="仿宋"/>
          <w:sz w:val="30"/>
          <w:szCs w:val="30"/>
          <w:highlight w:val="none"/>
          <w:lang w:val="en-US" w:eastAsia="zh-CN"/>
        </w:rPr>
        <w:t>0.5</w:t>
      </w:r>
      <w:r>
        <w:rPr>
          <w:rFonts w:hint="eastAsia" w:ascii="仿宋" w:hAnsi="仿宋" w:eastAsia="仿宋" w:cs="仿宋"/>
          <w:sz w:val="30"/>
          <w:szCs w:val="30"/>
          <w:highlight w:val="none"/>
          <w:lang w:val="en-US" w:eastAsia="zh-CN"/>
        </w:rPr>
        <w:t>万㎡。</w:t>
      </w:r>
    </w:p>
    <w:p>
      <w:pPr>
        <w:pageBreakBefore w:val="0"/>
        <w:kinsoku/>
        <w:wordWrap/>
        <w:overflowPunct/>
        <w:topLinePunct w:val="0"/>
        <w:autoSpaceDE/>
        <w:autoSpaceDN/>
        <w:bidi w:val="0"/>
        <w:adjustRightInd/>
        <w:snapToGrid/>
        <w:spacing w:line="560" w:lineRule="exact"/>
        <w:ind w:firstLine="643" w:firstLineChars="200"/>
        <w:rPr>
          <w:rFonts w:hint="eastAsia" w:ascii="仿宋" w:hAnsi="仿宋" w:eastAsia="仿宋" w:cs="仿宋"/>
          <w:b/>
          <w:bCs/>
          <w:sz w:val="32"/>
          <w:szCs w:val="32"/>
          <w:highlight w:val="none"/>
        </w:rPr>
      </w:pPr>
      <w:bookmarkStart w:id="6" w:name="_Toc25381"/>
      <w:bookmarkStart w:id="7" w:name="_Toc22961"/>
      <w:bookmarkStart w:id="8" w:name="_Toc83630318"/>
      <w:bookmarkStart w:id="9" w:name="_Toc22022"/>
      <w:bookmarkStart w:id="10" w:name="_Toc19822"/>
      <w:bookmarkStart w:id="11" w:name="_Toc83631028"/>
      <w:r>
        <w:rPr>
          <w:rFonts w:hint="eastAsia" w:ascii="仿宋" w:hAnsi="仿宋" w:eastAsia="仿宋" w:cs="仿宋"/>
          <w:b/>
          <w:bCs/>
          <w:sz w:val="32"/>
          <w:szCs w:val="32"/>
          <w:highlight w:val="none"/>
          <w:lang w:val="en-US" w:eastAsia="zh-CN"/>
        </w:rPr>
        <w:t>二、</w:t>
      </w:r>
      <w:r>
        <w:rPr>
          <w:rFonts w:hint="eastAsia" w:ascii="仿宋" w:hAnsi="仿宋" w:eastAsia="仿宋" w:cs="仿宋"/>
          <w:b/>
          <w:bCs/>
          <w:sz w:val="32"/>
          <w:szCs w:val="32"/>
          <w:highlight w:val="none"/>
        </w:rPr>
        <w:t>项目实施内容和范围</w:t>
      </w:r>
      <w:bookmarkEnd w:id="6"/>
      <w:bookmarkEnd w:id="7"/>
      <w:bookmarkEnd w:id="8"/>
      <w:bookmarkEnd w:id="9"/>
      <w:bookmarkEnd w:id="10"/>
      <w:bookmarkEnd w:id="11"/>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bookmarkStart w:id="12" w:name="_Toc1525"/>
      <w:bookmarkStart w:id="13" w:name="_Toc24391"/>
      <w:bookmarkStart w:id="14" w:name="_Toc83630319"/>
      <w:bookmarkStart w:id="15" w:name="_Toc8527"/>
      <w:bookmarkStart w:id="16" w:name="_Toc17013"/>
      <w:bookmarkStart w:id="17" w:name="_Toc83631029"/>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lang w:val="en-US" w:eastAsia="zh-CN"/>
        </w:rPr>
        <w:t>一</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lang w:val="en-US" w:eastAsia="zh-CN"/>
        </w:rPr>
        <w:t>项目承担部门：</w:t>
      </w:r>
      <w:r>
        <w:rPr>
          <w:rFonts w:hint="eastAsia" w:ascii="仿宋" w:hAnsi="仿宋" w:eastAsia="仿宋" w:cs="仿宋"/>
          <w:sz w:val="30"/>
          <w:szCs w:val="30"/>
          <w:highlight w:val="none"/>
          <w:lang w:eastAsia="zh-CN"/>
        </w:rPr>
        <w:t>曲阳县水利局</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lang w:val="en-US" w:eastAsia="zh-CN"/>
        </w:rPr>
        <w:t>二</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lang w:val="en-US" w:eastAsia="zh-CN"/>
        </w:rPr>
        <w:t>项目实施主体：曲阳县水利局</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lang w:val="en-US" w:eastAsia="zh-CN"/>
        </w:rPr>
        <w:t>三</w:t>
      </w:r>
      <w:r>
        <w:rPr>
          <w:rFonts w:hint="eastAsia" w:ascii="仿宋" w:hAnsi="仿宋" w:eastAsia="仿宋" w:cs="仿宋"/>
          <w:sz w:val="30"/>
          <w:szCs w:val="30"/>
          <w:highlight w:val="none"/>
          <w:lang w:eastAsia="zh-CN"/>
        </w:rPr>
        <w:t>）本次建设地点:</w:t>
      </w:r>
      <w:r>
        <w:rPr>
          <w:rFonts w:hint="eastAsia" w:ascii="仿宋" w:hAnsi="仿宋" w:eastAsia="仿宋" w:cs="仿宋"/>
          <w:sz w:val="30"/>
          <w:szCs w:val="30"/>
          <w:highlight w:val="none"/>
          <w:lang w:val="en-US" w:eastAsia="zh-CN"/>
        </w:rPr>
        <w:t>曲阳县恒州镇、文德镇、燕赵镇</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val="en-US" w:eastAsia="en-US"/>
        </w:rPr>
      </w:pP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lang w:val="en-US" w:eastAsia="zh-CN"/>
        </w:rPr>
        <w:t>四</w:t>
      </w:r>
      <w:r>
        <w:rPr>
          <w:rFonts w:hint="eastAsia" w:ascii="仿宋" w:hAnsi="仿宋" w:eastAsia="仿宋" w:cs="仿宋"/>
          <w:sz w:val="30"/>
          <w:szCs w:val="30"/>
          <w:highlight w:val="none"/>
          <w:lang w:eastAsia="zh-CN"/>
        </w:rPr>
        <w:t>）建设规模：</w:t>
      </w:r>
      <w:r>
        <w:rPr>
          <w:rFonts w:hint="eastAsia" w:ascii="仿宋" w:hAnsi="仿宋" w:eastAsia="仿宋" w:cs="仿宋"/>
          <w:sz w:val="30"/>
          <w:szCs w:val="30"/>
          <w:highlight w:val="none"/>
          <w:lang w:val="en-US" w:eastAsia="zh-CN"/>
        </w:rPr>
        <w:t>项目治理范围为曲阳县孟良河</w:t>
      </w:r>
      <w:r>
        <w:rPr>
          <w:rFonts w:hint="eastAsia" w:ascii="仿宋" w:hAnsi="仿宋" w:eastAsia="仿宋" w:cs="仿宋"/>
          <w:sz w:val="30"/>
          <w:szCs w:val="30"/>
          <w:highlight w:val="none"/>
          <w:lang w:val="en-US" w:eastAsia="en-US"/>
        </w:rPr>
        <w:t xml:space="preserve">S382 </w:t>
      </w:r>
      <w:r>
        <w:rPr>
          <w:rFonts w:hint="eastAsia" w:ascii="仿宋" w:hAnsi="仿宋" w:eastAsia="仿宋" w:cs="仿宋"/>
          <w:sz w:val="30"/>
          <w:szCs w:val="30"/>
          <w:highlight w:val="none"/>
          <w:lang w:val="en-US" w:eastAsia="zh-CN"/>
        </w:rPr>
        <w:t>省道桥至曲定县界，治理总长度</w:t>
      </w:r>
      <w:r>
        <w:rPr>
          <w:rFonts w:hint="eastAsia" w:ascii="仿宋" w:hAnsi="仿宋" w:eastAsia="仿宋" w:cs="仿宋"/>
          <w:sz w:val="30"/>
          <w:szCs w:val="30"/>
          <w:highlight w:val="none"/>
          <w:lang w:val="en-US" w:eastAsia="en-US"/>
        </w:rPr>
        <w:t>20.63km。</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lang w:val="en-US" w:eastAsia="zh-CN"/>
        </w:rPr>
        <w:t>五</w:t>
      </w:r>
      <w:r>
        <w:rPr>
          <w:rFonts w:hint="eastAsia" w:ascii="仿宋" w:hAnsi="仿宋" w:eastAsia="仿宋" w:cs="仿宋"/>
          <w:sz w:val="30"/>
          <w:szCs w:val="30"/>
          <w:highlight w:val="none"/>
          <w:lang w:eastAsia="zh-CN"/>
        </w:rPr>
        <w:t>）建设</w:t>
      </w:r>
      <w:r>
        <w:rPr>
          <w:rFonts w:hint="eastAsia" w:ascii="仿宋" w:hAnsi="仿宋" w:eastAsia="仿宋" w:cs="仿宋"/>
          <w:sz w:val="30"/>
          <w:szCs w:val="30"/>
          <w:highlight w:val="none"/>
          <w:lang w:val="en-US" w:eastAsia="zh-CN"/>
        </w:rPr>
        <w:t>内容：主要建设内容为河道水生态治理工程、输中水工程及人工湿地工程。具体为新建加压泵站</w:t>
      </w:r>
      <w:r>
        <w:rPr>
          <w:rFonts w:hint="default" w:ascii="仿宋" w:hAnsi="仿宋" w:eastAsia="仿宋" w:cs="仿宋"/>
          <w:sz w:val="30"/>
          <w:szCs w:val="30"/>
          <w:highlight w:val="none"/>
          <w:lang w:val="en-US" w:eastAsia="zh-CN"/>
        </w:rPr>
        <w:t>1</w:t>
      </w:r>
      <w:r>
        <w:rPr>
          <w:rFonts w:hint="eastAsia" w:ascii="仿宋" w:hAnsi="仿宋" w:eastAsia="仿宋" w:cs="仿宋"/>
          <w:sz w:val="30"/>
          <w:szCs w:val="30"/>
          <w:highlight w:val="none"/>
          <w:lang w:val="en-US" w:eastAsia="zh-CN"/>
        </w:rPr>
        <w:t>座，新建湿地输水管道</w:t>
      </w:r>
      <w:r>
        <w:rPr>
          <w:rFonts w:hint="default" w:ascii="仿宋" w:hAnsi="仿宋" w:eastAsia="仿宋" w:cs="仿宋"/>
          <w:sz w:val="30"/>
          <w:szCs w:val="30"/>
          <w:highlight w:val="none"/>
          <w:lang w:val="en-US" w:eastAsia="zh-CN"/>
        </w:rPr>
        <w:t>6.3km</w:t>
      </w:r>
      <w:r>
        <w:rPr>
          <w:rFonts w:hint="eastAsia" w:ascii="仿宋" w:hAnsi="仿宋" w:eastAsia="仿宋" w:cs="仿宋"/>
          <w:sz w:val="30"/>
          <w:szCs w:val="30"/>
          <w:highlight w:val="none"/>
          <w:lang w:val="en-US" w:eastAsia="zh-CN"/>
        </w:rPr>
        <w:t>，新建人工潜流湿地</w:t>
      </w:r>
      <w:r>
        <w:rPr>
          <w:rFonts w:hint="default" w:ascii="仿宋" w:hAnsi="仿宋" w:eastAsia="仿宋" w:cs="仿宋"/>
          <w:sz w:val="30"/>
          <w:szCs w:val="30"/>
          <w:highlight w:val="none"/>
          <w:lang w:val="en-US" w:eastAsia="zh-CN"/>
        </w:rPr>
        <w:t>11.8h</w:t>
      </w:r>
      <w:r>
        <w:rPr>
          <w:rFonts w:hint="eastAsia" w:ascii="仿宋" w:hAnsi="仿宋" w:eastAsia="仿宋" w:cs="仿宋"/>
          <w:sz w:val="30"/>
          <w:szCs w:val="30"/>
          <w:highlight w:val="none"/>
          <w:lang w:val="en-US" w:eastAsia="zh-CN"/>
        </w:rPr>
        <w:t>㎡（其中东侧湿地</w:t>
      </w:r>
      <w:r>
        <w:rPr>
          <w:rFonts w:hint="default" w:ascii="仿宋" w:hAnsi="仿宋" w:eastAsia="仿宋" w:cs="仿宋"/>
          <w:sz w:val="30"/>
          <w:szCs w:val="30"/>
          <w:highlight w:val="none"/>
          <w:lang w:val="en-US" w:eastAsia="zh-CN"/>
        </w:rPr>
        <w:t xml:space="preserve">5.0h </w:t>
      </w:r>
      <w:r>
        <w:rPr>
          <w:rFonts w:hint="eastAsia" w:ascii="仿宋" w:hAnsi="仿宋" w:eastAsia="仿宋" w:cs="仿宋"/>
          <w:sz w:val="30"/>
          <w:szCs w:val="30"/>
          <w:highlight w:val="none"/>
          <w:lang w:val="en-US" w:eastAsia="zh-CN"/>
        </w:rPr>
        <w:t>㎡，处理规模</w:t>
      </w:r>
      <w:r>
        <w:rPr>
          <w:rFonts w:hint="default" w:ascii="仿宋" w:hAnsi="仿宋" w:eastAsia="仿宋" w:cs="仿宋"/>
          <w:sz w:val="30"/>
          <w:szCs w:val="30"/>
          <w:highlight w:val="none"/>
          <w:lang w:val="en-US" w:eastAsia="zh-CN"/>
        </w:rPr>
        <w:t>2.0</w:t>
      </w:r>
      <w:r>
        <w:rPr>
          <w:rFonts w:hint="eastAsia" w:ascii="仿宋" w:hAnsi="仿宋" w:eastAsia="仿宋" w:cs="仿宋"/>
          <w:sz w:val="30"/>
          <w:szCs w:val="30"/>
          <w:highlight w:val="none"/>
          <w:lang w:val="en-US" w:eastAsia="zh-CN"/>
        </w:rPr>
        <w:t>万㎡</w:t>
      </w:r>
      <w:r>
        <w:rPr>
          <w:rFonts w:hint="default" w:ascii="仿宋" w:hAnsi="仿宋" w:eastAsia="仿宋" w:cs="仿宋"/>
          <w:sz w:val="30"/>
          <w:szCs w:val="30"/>
          <w:highlight w:val="none"/>
          <w:lang w:val="en-US" w:eastAsia="zh-CN"/>
        </w:rPr>
        <w:t>/d</w:t>
      </w:r>
      <w:r>
        <w:rPr>
          <w:rFonts w:hint="eastAsia" w:ascii="仿宋" w:hAnsi="仿宋" w:eastAsia="仿宋" w:cs="仿宋"/>
          <w:sz w:val="30"/>
          <w:szCs w:val="30"/>
          <w:highlight w:val="none"/>
          <w:lang w:val="en-US" w:eastAsia="zh-CN"/>
        </w:rPr>
        <w:t>；西侧湿地6.8h㎡，处理规模</w:t>
      </w:r>
      <w:r>
        <w:rPr>
          <w:rFonts w:hint="default" w:ascii="仿宋" w:hAnsi="仿宋" w:eastAsia="仿宋" w:cs="仿宋"/>
          <w:sz w:val="30"/>
          <w:szCs w:val="30"/>
          <w:highlight w:val="none"/>
          <w:lang w:val="en-US" w:eastAsia="zh-CN"/>
        </w:rPr>
        <w:t>3.0</w:t>
      </w:r>
      <w:r>
        <w:rPr>
          <w:rFonts w:hint="eastAsia" w:ascii="仿宋" w:hAnsi="仿宋" w:eastAsia="仿宋" w:cs="仿宋"/>
          <w:sz w:val="30"/>
          <w:szCs w:val="30"/>
          <w:highlight w:val="none"/>
          <w:lang w:val="en-US" w:eastAsia="zh-CN"/>
        </w:rPr>
        <w:t>万㎡</w:t>
      </w:r>
      <w:r>
        <w:rPr>
          <w:rFonts w:hint="default" w:ascii="仿宋" w:hAnsi="仿宋" w:eastAsia="仿宋" w:cs="仿宋"/>
          <w:sz w:val="30"/>
          <w:szCs w:val="30"/>
          <w:highlight w:val="none"/>
          <w:lang w:val="en-US" w:eastAsia="zh-CN"/>
        </w:rPr>
        <w:t xml:space="preserve">/d </w:t>
      </w:r>
      <w:r>
        <w:rPr>
          <w:rFonts w:hint="eastAsia" w:ascii="仿宋" w:hAnsi="仿宋" w:eastAsia="仿宋" w:cs="仿宋"/>
          <w:sz w:val="30"/>
          <w:szCs w:val="30"/>
          <w:highlight w:val="none"/>
          <w:lang w:val="en-US" w:eastAsia="zh-CN"/>
        </w:rPr>
        <w:t>），河道底泥清运</w:t>
      </w:r>
      <w:r>
        <w:rPr>
          <w:rFonts w:hint="default" w:ascii="仿宋" w:hAnsi="仿宋" w:eastAsia="仿宋" w:cs="仿宋"/>
          <w:sz w:val="30"/>
          <w:szCs w:val="30"/>
          <w:highlight w:val="none"/>
          <w:lang w:val="en-US" w:eastAsia="zh-CN"/>
        </w:rPr>
        <w:t>20.63km</w:t>
      </w:r>
      <w:r>
        <w:rPr>
          <w:rFonts w:hint="eastAsia" w:ascii="仿宋" w:hAnsi="仿宋" w:eastAsia="仿宋" w:cs="仿宋"/>
          <w:sz w:val="30"/>
          <w:szCs w:val="30"/>
          <w:highlight w:val="none"/>
          <w:lang w:val="en-US" w:eastAsia="zh-CN"/>
        </w:rPr>
        <w:t>， 河底绿化</w:t>
      </w:r>
      <w:r>
        <w:rPr>
          <w:rFonts w:hint="default" w:ascii="仿宋" w:hAnsi="仿宋" w:eastAsia="仿宋" w:cs="仿宋"/>
          <w:sz w:val="30"/>
          <w:szCs w:val="30"/>
          <w:highlight w:val="none"/>
          <w:lang w:val="en-US" w:eastAsia="zh-CN"/>
        </w:rPr>
        <w:t>13</w:t>
      </w:r>
      <w:r>
        <w:rPr>
          <w:rFonts w:hint="eastAsia" w:ascii="仿宋" w:hAnsi="仿宋" w:eastAsia="仿宋" w:cs="仿宋"/>
          <w:sz w:val="30"/>
          <w:szCs w:val="30"/>
          <w:highlight w:val="none"/>
          <w:lang w:val="en-US" w:eastAsia="zh-CN"/>
        </w:rPr>
        <w:t>万㎡（兼做表流湿地），垃圾清运</w:t>
      </w:r>
      <w:r>
        <w:rPr>
          <w:rFonts w:hint="default" w:ascii="仿宋" w:hAnsi="仿宋" w:eastAsia="仿宋" w:cs="仿宋"/>
          <w:sz w:val="30"/>
          <w:szCs w:val="30"/>
          <w:highlight w:val="none"/>
          <w:lang w:val="en-US" w:eastAsia="zh-CN"/>
        </w:rPr>
        <w:t>2.0</w:t>
      </w:r>
      <w:r>
        <w:rPr>
          <w:rFonts w:hint="eastAsia" w:ascii="仿宋" w:hAnsi="仿宋" w:eastAsia="仿宋" w:cs="仿宋"/>
          <w:sz w:val="30"/>
          <w:szCs w:val="30"/>
          <w:highlight w:val="none"/>
          <w:lang w:val="en-US" w:eastAsia="zh-CN"/>
        </w:rPr>
        <w:t>万</w:t>
      </w:r>
      <w:r>
        <w:rPr>
          <w:rFonts w:hint="default" w:ascii="仿宋" w:hAnsi="仿宋" w:eastAsia="仿宋" w:cs="仿宋"/>
          <w:sz w:val="30"/>
          <w:szCs w:val="30"/>
          <w:highlight w:val="none"/>
          <w:lang w:val="en-US" w:eastAsia="zh-CN"/>
        </w:rPr>
        <w:t>m</w:t>
      </w:r>
      <w:r>
        <w:rPr>
          <w:rFonts w:hint="eastAsia" w:ascii="仿宋" w:hAnsi="仿宋" w:eastAsia="仿宋" w:cs="仿宋"/>
          <w:sz w:val="30"/>
          <w:szCs w:val="30"/>
          <w:highlight w:val="none"/>
          <w:lang w:val="en-US" w:eastAsia="zh-CN"/>
        </w:rPr>
        <w:t>³，修建生态壅水闸</w:t>
      </w:r>
      <w:r>
        <w:rPr>
          <w:rFonts w:hint="default" w:ascii="仿宋" w:hAnsi="仿宋" w:eastAsia="仿宋" w:cs="仿宋"/>
          <w:sz w:val="30"/>
          <w:szCs w:val="30"/>
          <w:highlight w:val="none"/>
          <w:lang w:val="en-US" w:eastAsia="zh-CN"/>
        </w:rPr>
        <w:t>4</w:t>
      </w:r>
      <w:r>
        <w:rPr>
          <w:rFonts w:hint="eastAsia" w:ascii="仿宋" w:hAnsi="仿宋" w:eastAsia="仿宋" w:cs="仿宋"/>
          <w:sz w:val="30"/>
          <w:szCs w:val="30"/>
          <w:highlight w:val="none"/>
          <w:lang w:val="en-US" w:eastAsia="zh-CN"/>
        </w:rPr>
        <w:t>座，生态浮岛</w:t>
      </w:r>
      <w:r>
        <w:rPr>
          <w:rFonts w:hint="default" w:ascii="仿宋" w:hAnsi="仿宋" w:eastAsia="仿宋" w:cs="仿宋"/>
          <w:sz w:val="30"/>
          <w:szCs w:val="30"/>
          <w:highlight w:val="none"/>
          <w:lang w:val="en-US" w:eastAsia="zh-CN"/>
        </w:rPr>
        <w:t>0.5</w:t>
      </w:r>
      <w:r>
        <w:rPr>
          <w:rFonts w:hint="eastAsia" w:ascii="仿宋" w:hAnsi="仿宋" w:eastAsia="仿宋" w:cs="仿宋"/>
          <w:sz w:val="30"/>
          <w:szCs w:val="30"/>
          <w:highlight w:val="none"/>
          <w:lang w:val="en-US" w:eastAsia="zh-CN"/>
        </w:rPr>
        <w:t>万㎡。</w:t>
      </w:r>
    </w:p>
    <w:p>
      <w:pPr>
        <w:pStyle w:val="34"/>
        <w:ind w:firstLine="600" w:firstLineChars="200"/>
        <w:rPr>
          <w:rFonts w:hint="eastAsia" w:ascii="仿宋" w:hAnsi="仿宋" w:eastAsia="仿宋" w:cs="仿宋"/>
          <w:kern w:val="2"/>
          <w:sz w:val="30"/>
          <w:szCs w:val="30"/>
          <w:highlight w:val="none"/>
          <w:lang w:val="en-US" w:eastAsia="zh-CN" w:bidi="ar-SA"/>
        </w:rPr>
      </w:pPr>
      <w:r>
        <w:rPr>
          <w:rFonts w:hint="eastAsia" w:ascii="仿宋" w:hAnsi="仿宋" w:eastAsia="仿宋" w:cs="仿宋"/>
          <w:kern w:val="2"/>
          <w:sz w:val="30"/>
          <w:szCs w:val="30"/>
          <w:highlight w:val="none"/>
          <w:lang w:val="en-US" w:eastAsia="zh-CN" w:bidi="ar-SA"/>
        </w:rPr>
        <w:t>（六）投资规模:根据</w:t>
      </w:r>
      <w:r>
        <w:rPr>
          <w:rFonts w:hint="default" w:ascii="仿宋" w:hAnsi="仿宋" w:eastAsia="仿宋" w:cs="仿宋"/>
          <w:kern w:val="2"/>
          <w:sz w:val="30"/>
          <w:szCs w:val="30"/>
          <w:highlight w:val="none"/>
          <w:lang w:val="en-US" w:eastAsia="zh-CN" w:bidi="ar-SA"/>
        </w:rPr>
        <w:t>曲阳发改审字【2019】32号</w:t>
      </w:r>
      <w:r>
        <w:rPr>
          <w:rFonts w:hint="eastAsia" w:ascii="仿宋" w:hAnsi="仿宋" w:eastAsia="仿宋" w:cs="仿宋"/>
          <w:kern w:val="2"/>
          <w:sz w:val="30"/>
          <w:szCs w:val="30"/>
          <w:highlight w:val="none"/>
          <w:lang w:val="en-US" w:eastAsia="zh-CN" w:bidi="ar-SA"/>
        </w:rPr>
        <w:t>文件显示，本项目总投资为19600.06万元。</w:t>
      </w:r>
    </w:p>
    <w:p>
      <w:pPr>
        <w:ind w:right="-334" w:rightChars="-159" w:firstLine="600" w:firstLineChars="200"/>
        <w:jc w:val="left"/>
        <w:rPr>
          <w:rFonts w:hint="default" w:ascii="仿宋" w:hAnsi="仿宋" w:eastAsia="仿宋" w:cs="仿宋"/>
          <w:kern w:val="2"/>
          <w:sz w:val="30"/>
          <w:szCs w:val="30"/>
          <w:highlight w:val="none"/>
          <w:lang w:val="en-US" w:eastAsia="zh-CN" w:bidi="ar-SA"/>
        </w:rPr>
      </w:pPr>
      <w:r>
        <w:rPr>
          <w:rFonts w:hint="eastAsia" w:ascii="仿宋" w:hAnsi="仿宋" w:eastAsia="仿宋" w:cs="仿宋"/>
          <w:kern w:val="2"/>
          <w:sz w:val="30"/>
          <w:szCs w:val="30"/>
          <w:highlight w:val="none"/>
          <w:lang w:val="en-US" w:eastAsia="zh-CN" w:bidi="ar-SA"/>
        </w:rPr>
        <w:t>（七）项</w:t>
      </w:r>
      <w:r>
        <w:rPr>
          <w:rFonts w:hint="eastAsia" w:ascii="仿宋" w:hAnsi="仿宋" w:eastAsia="仿宋" w:cs="仿宋"/>
          <w:sz w:val="30"/>
          <w:szCs w:val="30"/>
          <w:highlight w:val="none"/>
          <w:lang w:val="en-US" w:eastAsia="zh-CN"/>
        </w:rPr>
        <w:t>目计划</w:t>
      </w:r>
      <w:r>
        <w:rPr>
          <w:rFonts w:hint="default" w:ascii="仿宋" w:hAnsi="仿宋" w:eastAsia="仿宋" w:cs="仿宋"/>
          <w:sz w:val="30"/>
          <w:szCs w:val="30"/>
          <w:highlight w:val="none"/>
          <w:lang w:val="en-US" w:eastAsia="zh-CN"/>
        </w:rPr>
        <w:t>建设期限:</w:t>
      </w:r>
      <w:r>
        <w:rPr>
          <w:rFonts w:hint="eastAsia" w:ascii="仿宋" w:hAnsi="仿宋" w:eastAsia="仿宋" w:cs="仿宋"/>
          <w:sz w:val="30"/>
          <w:szCs w:val="30"/>
          <w:highlight w:val="none"/>
          <w:lang w:val="en-US" w:eastAsia="zh-CN"/>
        </w:rPr>
        <w:t>2019年7月签订的施工合同显示计划工期为2019年7月至2020年5月；2020年4月18日河北省委、省政府印发了“关于印发&lt;白洋淀生态环境综合整治方案(2020-2023年)的通知&gt;”，要求曲阳县孟良河综合治理工程2022年12月完成施工任务，2022年1月专项债券资金申请的实施方案</w:t>
      </w:r>
      <w:r>
        <w:rPr>
          <w:rFonts w:hint="eastAsia" w:ascii="仿宋" w:hAnsi="仿宋" w:eastAsia="仿宋" w:cs="仿宋"/>
          <w:kern w:val="2"/>
          <w:sz w:val="30"/>
          <w:szCs w:val="30"/>
          <w:highlight w:val="none"/>
          <w:lang w:val="en-US" w:eastAsia="zh-CN" w:bidi="ar-SA"/>
        </w:rPr>
        <w:t>显示的工程建设期为2019年12月至2022年12月。</w:t>
      </w:r>
    </w:p>
    <w:p>
      <w:pPr>
        <w:pageBreakBefore w:val="0"/>
        <w:kinsoku/>
        <w:wordWrap/>
        <w:overflowPunct/>
        <w:topLinePunct w:val="0"/>
        <w:autoSpaceDE/>
        <w:autoSpaceDN/>
        <w:bidi w:val="0"/>
        <w:adjustRightInd/>
        <w:snapToGrid/>
        <w:spacing w:line="560" w:lineRule="exact"/>
        <w:ind w:firstLine="643" w:firstLineChars="200"/>
        <w:outlineLvl w:val="0"/>
        <w:rPr>
          <w:rFonts w:hint="eastAsia" w:ascii="仿宋" w:hAnsi="仿宋" w:eastAsia="仿宋" w:cs="仿宋"/>
          <w:b/>
          <w:bCs/>
          <w:sz w:val="32"/>
          <w:szCs w:val="32"/>
          <w:highlight w:val="none"/>
        </w:rPr>
      </w:pPr>
      <w:r>
        <w:rPr>
          <w:rFonts w:hint="eastAsia" w:ascii="仿宋" w:hAnsi="仿宋" w:eastAsia="仿宋" w:cs="仿宋"/>
          <w:b/>
          <w:bCs/>
          <w:sz w:val="32"/>
          <w:szCs w:val="32"/>
          <w:highlight w:val="none"/>
          <w:lang w:val="en-US" w:eastAsia="zh-CN"/>
        </w:rPr>
        <w:t>三、</w:t>
      </w:r>
      <w:r>
        <w:rPr>
          <w:rFonts w:hint="eastAsia" w:ascii="仿宋" w:hAnsi="仿宋" w:eastAsia="仿宋" w:cs="仿宋"/>
          <w:b/>
          <w:bCs/>
          <w:sz w:val="32"/>
          <w:szCs w:val="32"/>
          <w:highlight w:val="none"/>
        </w:rPr>
        <w:t>项目资金使用情况</w:t>
      </w:r>
      <w:bookmarkEnd w:id="12"/>
      <w:bookmarkEnd w:id="13"/>
      <w:bookmarkEnd w:id="14"/>
      <w:bookmarkEnd w:id="15"/>
      <w:bookmarkEnd w:id="16"/>
      <w:bookmarkEnd w:id="17"/>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该项目于2019年4月完成项目立项，于2019年末开展项目建设。</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截至2022年末，该项目共安排政府财政资金20044.7021</w:t>
      </w:r>
      <w:r>
        <w:rPr>
          <w:rFonts w:hint="eastAsia" w:ascii="仿宋" w:hAnsi="仿宋" w:eastAsia="仿宋" w:cs="仿宋"/>
          <w:sz w:val="30"/>
          <w:szCs w:val="30"/>
          <w:highlight w:val="none"/>
          <w:lang w:eastAsia="zh-CN"/>
        </w:rPr>
        <w:t>万元（</w:t>
      </w:r>
      <w:r>
        <w:rPr>
          <w:rFonts w:hint="eastAsia" w:ascii="仿宋" w:hAnsi="仿宋" w:eastAsia="仿宋" w:cs="仿宋"/>
          <w:sz w:val="30"/>
          <w:szCs w:val="30"/>
          <w:highlight w:val="none"/>
          <w:lang w:val="en-US" w:eastAsia="zh-CN"/>
        </w:rPr>
        <w:t>其中：中央专项资金7000.00万元，专项债券资金13000.00万元，地方财政资金44.7021万元</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lang w:val="en-US" w:eastAsia="zh-CN"/>
        </w:rPr>
        <w:t>曲阳县水利局累计支出金额20044.7021</w:t>
      </w:r>
      <w:r>
        <w:rPr>
          <w:rFonts w:hint="eastAsia" w:ascii="仿宋" w:hAnsi="仿宋" w:eastAsia="仿宋" w:cs="仿宋"/>
          <w:sz w:val="30"/>
          <w:szCs w:val="30"/>
          <w:highlight w:val="none"/>
          <w:lang w:eastAsia="zh-CN"/>
        </w:rPr>
        <w:t>万元，</w:t>
      </w:r>
      <w:r>
        <w:rPr>
          <w:rFonts w:hint="eastAsia" w:ascii="仿宋" w:hAnsi="仿宋" w:eastAsia="仿宋" w:cs="仿宋"/>
          <w:sz w:val="30"/>
          <w:szCs w:val="30"/>
          <w:highlight w:val="none"/>
          <w:lang w:val="en-US" w:eastAsia="zh-CN"/>
        </w:rPr>
        <w:t>结余资金0.00</w:t>
      </w:r>
      <w:r>
        <w:rPr>
          <w:rFonts w:hint="eastAsia" w:ascii="仿宋" w:hAnsi="仿宋" w:eastAsia="仿宋" w:cs="仿宋"/>
          <w:sz w:val="30"/>
          <w:szCs w:val="30"/>
          <w:highlight w:val="none"/>
          <w:lang w:eastAsia="zh-CN"/>
        </w:rPr>
        <w:t>万元</w:t>
      </w:r>
      <w:r>
        <w:rPr>
          <w:rFonts w:hint="eastAsia" w:ascii="仿宋" w:hAnsi="仿宋" w:eastAsia="仿宋" w:cs="仿宋"/>
          <w:sz w:val="30"/>
          <w:szCs w:val="30"/>
          <w:highlight w:val="none"/>
          <w:lang w:val="en-US" w:eastAsia="zh-CN"/>
        </w:rPr>
        <w:t>。</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r>
        <w:rPr>
          <w:rFonts w:hint="eastAsia" w:ascii="仿宋" w:hAnsi="仿宋" w:eastAsia="仿宋" w:cs="仿宋"/>
          <w:b w:val="0"/>
          <w:bCs w:val="0"/>
          <w:sz w:val="30"/>
          <w:szCs w:val="30"/>
          <w:highlight w:val="none"/>
          <w:lang w:val="en-US" w:eastAsia="zh-CN"/>
        </w:rPr>
        <w:t>具体见下表：</w:t>
      </w:r>
    </w:p>
    <w:p>
      <w:pPr>
        <w:pageBreakBefore w:val="0"/>
        <w:kinsoku/>
        <w:wordWrap/>
        <w:overflowPunct/>
        <w:topLinePunct w:val="0"/>
        <w:autoSpaceDE/>
        <w:autoSpaceDN/>
        <w:bidi w:val="0"/>
        <w:adjustRightInd/>
        <w:snapToGrid/>
        <w:spacing w:line="560" w:lineRule="exact"/>
        <w:jc w:val="center"/>
        <w:rPr>
          <w:rFonts w:hint="eastAsia" w:ascii="仿宋_GB2312" w:eastAsia="仿宋_GB2312" w:cs="Times New Roman"/>
          <w:b w:val="0"/>
          <w:bCs w:val="0"/>
          <w:color w:val="000000"/>
          <w:sz w:val="24"/>
          <w:szCs w:val="24"/>
          <w:highlight w:val="none"/>
        </w:rPr>
      </w:pPr>
      <w:r>
        <w:rPr>
          <w:rFonts w:hint="eastAsia" w:ascii="仿宋_GB2312" w:eastAsia="仿宋_GB2312" w:cs="Times New Roman"/>
          <w:b w:val="0"/>
          <w:bCs w:val="0"/>
          <w:color w:val="000000"/>
          <w:sz w:val="24"/>
          <w:szCs w:val="24"/>
          <w:highlight w:val="none"/>
        </w:rPr>
        <w:t xml:space="preserve"> </w:t>
      </w:r>
      <w:r>
        <w:rPr>
          <w:rFonts w:hint="eastAsia" w:ascii="仿宋" w:hAnsi="仿宋" w:eastAsia="仿宋" w:cs="仿宋"/>
          <w:sz w:val="30"/>
          <w:szCs w:val="30"/>
          <w:highlight w:val="none"/>
          <w:lang w:val="en-US" w:eastAsia="zh-CN"/>
        </w:rPr>
        <w:t>曲阳县水利局孟良河综合治理项目支出明细表</w:t>
      </w:r>
      <w:r>
        <w:rPr>
          <w:rFonts w:hint="eastAsia" w:ascii="仿宋_GB2312" w:eastAsia="仿宋_GB2312" w:cs="Times New Roman"/>
          <w:b w:val="0"/>
          <w:bCs w:val="0"/>
          <w:color w:val="000000"/>
          <w:sz w:val="24"/>
          <w:szCs w:val="24"/>
          <w:highlight w:val="none"/>
        </w:rPr>
        <w:t xml:space="preserve">                                                     </w:t>
      </w:r>
    </w:p>
    <w:p>
      <w:pPr>
        <w:widowControl/>
        <w:spacing w:line="560" w:lineRule="exact"/>
        <w:jc w:val="center"/>
        <w:textAlignment w:val="center"/>
        <w:rPr>
          <w:rFonts w:ascii="仿宋_GB2312" w:eastAsia="仿宋_GB2312" w:cs="Times New Roman"/>
          <w:b w:val="0"/>
          <w:bCs w:val="0"/>
          <w:color w:val="000000"/>
          <w:sz w:val="24"/>
          <w:szCs w:val="24"/>
          <w:highlight w:val="none"/>
        </w:rPr>
      </w:pPr>
      <w:r>
        <w:rPr>
          <w:rFonts w:hint="eastAsia" w:ascii="仿宋_GB2312" w:eastAsia="仿宋_GB2312" w:cs="Times New Roman"/>
          <w:b w:val="0"/>
          <w:bCs w:val="0"/>
          <w:color w:val="000000"/>
          <w:sz w:val="24"/>
          <w:szCs w:val="24"/>
          <w:highlight w:val="none"/>
          <w:lang w:val="en-US" w:eastAsia="zh-CN"/>
        </w:rPr>
        <w:t xml:space="preserve">                                                                     </w:t>
      </w:r>
      <w:r>
        <w:rPr>
          <w:rFonts w:hint="eastAsia" w:ascii="仿宋_GB2312" w:eastAsia="仿宋_GB2312" w:cs="Times New Roman"/>
          <w:b w:val="0"/>
          <w:bCs w:val="0"/>
          <w:color w:val="000000"/>
          <w:sz w:val="24"/>
          <w:szCs w:val="24"/>
          <w:highlight w:val="none"/>
        </w:rPr>
        <w:t xml:space="preserve">  单位：万元</w:t>
      </w:r>
    </w:p>
    <w:tbl>
      <w:tblPr>
        <w:tblStyle w:val="17"/>
        <w:tblW w:w="9785" w:type="dxa"/>
        <w:tblInd w:w="60" w:type="dxa"/>
        <w:tblLayout w:type="fixed"/>
        <w:tblCellMar>
          <w:top w:w="0" w:type="dxa"/>
          <w:left w:w="108" w:type="dxa"/>
          <w:bottom w:w="0" w:type="dxa"/>
          <w:right w:w="108" w:type="dxa"/>
        </w:tblCellMar>
      </w:tblPr>
      <w:tblGrid>
        <w:gridCol w:w="800"/>
        <w:gridCol w:w="3007"/>
        <w:gridCol w:w="3633"/>
        <w:gridCol w:w="2345"/>
      </w:tblGrid>
      <w:tr>
        <w:tblPrEx>
          <w:tblCellMar>
            <w:top w:w="0" w:type="dxa"/>
            <w:left w:w="108" w:type="dxa"/>
            <w:bottom w:w="0" w:type="dxa"/>
            <w:right w:w="108" w:type="dxa"/>
          </w:tblCellMar>
        </w:tblPrEx>
        <w:trPr>
          <w:trHeight w:val="632" w:hRule="atLeast"/>
        </w:trPr>
        <w:tc>
          <w:tcPr>
            <w:tcW w:w="80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default" w:ascii="仿宋_GB2312" w:eastAsia="仿宋_GB2312" w:cs="Times New Roman"/>
                <w:b/>
                <w:bCs/>
                <w:color w:val="000000"/>
                <w:sz w:val="24"/>
                <w:szCs w:val="24"/>
                <w:highlight w:val="none"/>
                <w:lang w:val="en-US" w:eastAsia="zh-CN"/>
              </w:rPr>
            </w:pPr>
            <w:r>
              <w:rPr>
                <w:rFonts w:hint="eastAsia" w:ascii="仿宋_GB2312" w:eastAsia="仿宋_GB2312" w:cs="Times New Roman"/>
                <w:b/>
                <w:bCs/>
                <w:color w:val="000000"/>
                <w:sz w:val="24"/>
                <w:szCs w:val="24"/>
                <w:highlight w:val="none"/>
                <w:lang w:val="en-US" w:eastAsia="zh-CN"/>
              </w:rPr>
              <w:t>序号</w:t>
            </w:r>
          </w:p>
        </w:tc>
        <w:tc>
          <w:tcPr>
            <w:tcW w:w="3007" w:type="dxa"/>
            <w:tcBorders>
              <w:top w:val="single" w:color="auto" w:sz="4" w:space="0"/>
              <w:left w:val="nil"/>
              <w:bottom w:val="single" w:color="auto" w:sz="4" w:space="0"/>
              <w:right w:val="single" w:color="auto" w:sz="4" w:space="0"/>
            </w:tcBorders>
            <w:noWrap/>
            <w:vAlign w:val="center"/>
          </w:tcPr>
          <w:p>
            <w:pPr>
              <w:widowControl/>
              <w:jc w:val="center"/>
              <w:rPr>
                <w:rFonts w:hint="eastAsia" w:ascii="仿宋_GB2312" w:eastAsia="仿宋_GB2312" w:cs="Times New Roman"/>
                <w:b/>
                <w:bCs/>
                <w:color w:val="000000"/>
                <w:sz w:val="24"/>
                <w:szCs w:val="24"/>
                <w:highlight w:val="none"/>
                <w:lang w:val="en-US" w:eastAsia="zh-CN"/>
              </w:rPr>
            </w:pPr>
            <w:r>
              <w:rPr>
                <w:rFonts w:hint="eastAsia" w:ascii="仿宋_GB2312" w:eastAsia="仿宋_GB2312" w:cs="Times New Roman"/>
                <w:b/>
                <w:bCs/>
                <w:color w:val="000000"/>
                <w:sz w:val="24"/>
                <w:szCs w:val="24"/>
                <w:highlight w:val="none"/>
                <w:lang w:val="en-US" w:eastAsia="zh-CN"/>
              </w:rPr>
              <w:t>内容</w:t>
            </w:r>
          </w:p>
        </w:tc>
        <w:tc>
          <w:tcPr>
            <w:tcW w:w="3633" w:type="dxa"/>
            <w:tcBorders>
              <w:top w:val="single" w:color="auto" w:sz="4" w:space="0"/>
              <w:left w:val="nil"/>
              <w:bottom w:val="single" w:color="auto" w:sz="4" w:space="0"/>
              <w:right w:val="single" w:color="auto" w:sz="4" w:space="0"/>
            </w:tcBorders>
            <w:noWrap/>
            <w:vAlign w:val="center"/>
          </w:tcPr>
          <w:p>
            <w:pPr>
              <w:widowControl/>
              <w:jc w:val="center"/>
              <w:rPr>
                <w:rFonts w:hint="eastAsia" w:ascii="仿宋_GB2312" w:eastAsia="仿宋_GB2312" w:cs="Times New Roman"/>
                <w:b/>
                <w:bCs/>
                <w:color w:val="000000"/>
                <w:sz w:val="24"/>
                <w:szCs w:val="24"/>
                <w:highlight w:val="none"/>
                <w:lang w:val="en-US" w:eastAsia="zh-CN"/>
              </w:rPr>
            </w:pPr>
            <w:r>
              <w:rPr>
                <w:rFonts w:hint="eastAsia" w:ascii="仿宋_GB2312" w:eastAsia="仿宋_GB2312" w:cs="Times New Roman"/>
                <w:b/>
                <w:bCs/>
                <w:color w:val="000000"/>
                <w:sz w:val="24"/>
                <w:szCs w:val="24"/>
                <w:highlight w:val="none"/>
                <w:lang w:val="en-US" w:eastAsia="zh-CN"/>
              </w:rPr>
              <w:t>公司名称</w:t>
            </w:r>
          </w:p>
        </w:tc>
        <w:tc>
          <w:tcPr>
            <w:tcW w:w="2345" w:type="dxa"/>
            <w:tcBorders>
              <w:top w:val="single" w:color="auto" w:sz="4" w:space="0"/>
              <w:left w:val="nil"/>
              <w:bottom w:val="single" w:color="auto" w:sz="4" w:space="0"/>
              <w:right w:val="single" w:color="auto" w:sz="4" w:space="0"/>
            </w:tcBorders>
            <w:noWrap/>
            <w:vAlign w:val="center"/>
          </w:tcPr>
          <w:p>
            <w:pPr>
              <w:widowControl/>
              <w:jc w:val="center"/>
              <w:rPr>
                <w:rFonts w:hint="eastAsia" w:ascii="仿宋_GB2312" w:eastAsia="仿宋_GB2312" w:cs="Times New Roman"/>
                <w:b/>
                <w:bCs/>
                <w:color w:val="000000"/>
                <w:sz w:val="24"/>
                <w:szCs w:val="24"/>
                <w:highlight w:val="none"/>
                <w:lang w:val="en-US" w:eastAsia="zh-CN"/>
              </w:rPr>
            </w:pPr>
            <w:r>
              <w:rPr>
                <w:rFonts w:hint="eastAsia" w:ascii="仿宋_GB2312" w:eastAsia="仿宋_GB2312" w:cs="Times New Roman"/>
                <w:b/>
                <w:bCs/>
                <w:color w:val="000000"/>
                <w:sz w:val="24"/>
                <w:szCs w:val="24"/>
                <w:highlight w:val="none"/>
                <w:lang w:val="en-US" w:eastAsia="zh-CN"/>
              </w:rPr>
              <w:t>累计支付金额</w:t>
            </w:r>
          </w:p>
        </w:tc>
      </w:tr>
      <w:tr>
        <w:tblPrEx>
          <w:tblCellMar>
            <w:top w:w="0" w:type="dxa"/>
            <w:left w:w="108" w:type="dxa"/>
            <w:bottom w:w="0" w:type="dxa"/>
            <w:right w:w="108" w:type="dxa"/>
          </w:tblCellMar>
        </w:tblPrEx>
        <w:trPr>
          <w:trHeight w:val="632" w:hRule="atLeast"/>
        </w:trPr>
        <w:tc>
          <w:tcPr>
            <w:tcW w:w="800" w:type="dxa"/>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jc w:val="center"/>
              <w:textAlignment w:val="center"/>
              <w:rPr>
                <w:rFonts w:hint="default" w:ascii="仿宋_GB2312" w:eastAsia="仿宋_GB2312" w:cs="Times New Roman"/>
                <w:b/>
                <w:bCs/>
                <w:color w:val="000000"/>
                <w:sz w:val="24"/>
                <w:szCs w:val="24"/>
                <w:highlight w:val="none"/>
                <w:lang w:val="en-US" w:eastAsia="zh-CN"/>
              </w:rPr>
            </w:pPr>
            <w:r>
              <w:rPr>
                <w:rFonts w:hint="eastAsia" w:ascii="宋体" w:hAnsi="宋体" w:eastAsia="宋体" w:cs="宋体"/>
                <w:b/>
                <w:bCs/>
                <w:i w:val="0"/>
                <w:iCs w:val="0"/>
                <w:color w:val="000000"/>
                <w:kern w:val="0"/>
                <w:sz w:val="22"/>
                <w:szCs w:val="22"/>
                <w:highlight w:val="none"/>
                <w:u w:val="none"/>
                <w:lang w:val="en-US" w:eastAsia="zh-CN" w:bidi="ar"/>
              </w:rPr>
              <w:t>1</w:t>
            </w:r>
          </w:p>
        </w:tc>
        <w:tc>
          <w:tcPr>
            <w:tcW w:w="3007"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default" w:ascii="仿宋_GB2312" w:eastAsia="仿宋_GB2312" w:cs="Times New Roman"/>
                <w:b w:val="0"/>
                <w:bCs w:val="0"/>
                <w:color w:val="000000"/>
                <w:sz w:val="24"/>
                <w:szCs w:val="24"/>
                <w:highlight w:val="none"/>
                <w:lang w:val="en-US" w:eastAsia="zh-CN"/>
              </w:rPr>
            </w:pPr>
            <w:r>
              <w:rPr>
                <w:rFonts w:hint="eastAsia" w:ascii="宋体" w:hAnsi="宋体" w:eastAsia="宋体" w:cs="宋体"/>
                <w:i w:val="0"/>
                <w:iCs w:val="0"/>
                <w:color w:val="000000"/>
                <w:kern w:val="0"/>
                <w:sz w:val="22"/>
                <w:szCs w:val="22"/>
                <w:highlight w:val="none"/>
                <w:u w:val="none"/>
                <w:lang w:val="en-US" w:eastAsia="zh-CN" w:bidi="ar"/>
              </w:rPr>
              <w:t>可研报告编制费</w:t>
            </w:r>
          </w:p>
        </w:tc>
        <w:tc>
          <w:tcPr>
            <w:tcW w:w="3633"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default" w:ascii="仿宋_GB2312" w:eastAsia="仿宋_GB2312" w:cs="Times New Roman"/>
                <w:b w:val="0"/>
                <w:bCs w:val="0"/>
                <w:color w:val="000000"/>
                <w:sz w:val="24"/>
                <w:szCs w:val="24"/>
                <w:highlight w:val="none"/>
                <w:lang w:val="en-US" w:eastAsia="zh-CN"/>
              </w:rPr>
            </w:pPr>
            <w:r>
              <w:rPr>
                <w:rFonts w:hint="eastAsia" w:ascii="宋体" w:hAnsi="宋体" w:eastAsia="宋体" w:cs="宋体"/>
                <w:i w:val="0"/>
                <w:iCs w:val="0"/>
                <w:color w:val="000000"/>
                <w:kern w:val="0"/>
                <w:sz w:val="22"/>
                <w:szCs w:val="22"/>
                <w:highlight w:val="none"/>
                <w:u w:val="none"/>
                <w:lang w:val="en-US" w:eastAsia="zh-CN" w:bidi="ar"/>
              </w:rPr>
              <w:t>曲阳县众方林业开发有限公司</w:t>
            </w:r>
          </w:p>
        </w:tc>
        <w:tc>
          <w:tcPr>
            <w:tcW w:w="2345"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default" w:ascii="仿宋_GB2312" w:eastAsia="仿宋_GB2312" w:cs="Times New Roman"/>
                <w:b w:val="0"/>
                <w:bCs w:val="0"/>
                <w:color w:val="000000"/>
                <w:sz w:val="24"/>
                <w:szCs w:val="24"/>
                <w:highlight w:val="none"/>
                <w:lang w:val="en-US" w:eastAsia="zh-CN"/>
              </w:rPr>
            </w:pPr>
            <w:r>
              <w:rPr>
                <w:rFonts w:hint="eastAsia" w:ascii="宋体" w:hAnsi="宋体" w:eastAsia="宋体" w:cs="宋体"/>
                <w:i w:val="0"/>
                <w:iCs w:val="0"/>
                <w:color w:val="000000"/>
                <w:kern w:val="0"/>
                <w:sz w:val="22"/>
                <w:szCs w:val="22"/>
                <w:highlight w:val="none"/>
                <w:u w:val="none"/>
                <w:lang w:val="en-US" w:eastAsia="zh-CN" w:bidi="ar"/>
              </w:rPr>
              <w:t>15.00</w:t>
            </w:r>
          </w:p>
        </w:tc>
      </w:tr>
      <w:tr>
        <w:tblPrEx>
          <w:tblCellMar>
            <w:top w:w="0" w:type="dxa"/>
            <w:left w:w="108" w:type="dxa"/>
            <w:bottom w:w="0" w:type="dxa"/>
            <w:right w:w="108" w:type="dxa"/>
          </w:tblCellMar>
        </w:tblPrEx>
        <w:trPr>
          <w:trHeight w:val="632" w:hRule="atLeast"/>
        </w:trPr>
        <w:tc>
          <w:tcPr>
            <w:tcW w:w="800" w:type="dxa"/>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jc w:val="center"/>
              <w:textAlignment w:val="center"/>
              <w:rPr>
                <w:rFonts w:hint="default" w:ascii="仿宋_GB2312" w:eastAsia="仿宋_GB2312" w:cs="Times New Roman"/>
                <w:b/>
                <w:bCs/>
                <w:color w:val="000000"/>
                <w:sz w:val="24"/>
                <w:szCs w:val="24"/>
                <w:highlight w:val="none"/>
                <w:lang w:val="en-US" w:eastAsia="zh-CN"/>
              </w:rPr>
            </w:pPr>
            <w:r>
              <w:rPr>
                <w:rFonts w:hint="eastAsia" w:ascii="宋体" w:hAnsi="宋体" w:eastAsia="宋体" w:cs="宋体"/>
                <w:b/>
                <w:bCs/>
                <w:i w:val="0"/>
                <w:iCs w:val="0"/>
                <w:color w:val="000000"/>
                <w:kern w:val="0"/>
                <w:sz w:val="22"/>
                <w:szCs w:val="22"/>
                <w:highlight w:val="none"/>
                <w:u w:val="none"/>
                <w:lang w:val="en-US" w:eastAsia="zh-CN" w:bidi="ar"/>
              </w:rPr>
              <w:t>2</w:t>
            </w:r>
          </w:p>
        </w:tc>
        <w:tc>
          <w:tcPr>
            <w:tcW w:w="3007"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default" w:ascii="仿宋_GB2312" w:eastAsia="仿宋_GB2312" w:cs="Times New Roman"/>
                <w:b w:val="0"/>
                <w:bCs w:val="0"/>
                <w:color w:val="000000"/>
                <w:sz w:val="24"/>
                <w:szCs w:val="24"/>
                <w:highlight w:val="none"/>
                <w:lang w:val="en-US" w:eastAsia="zh-CN"/>
              </w:rPr>
            </w:pPr>
            <w:r>
              <w:rPr>
                <w:rFonts w:hint="eastAsia" w:ascii="宋体" w:hAnsi="宋体" w:eastAsia="宋体" w:cs="宋体"/>
                <w:i w:val="0"/>
                <w:iCs w:val="0"/>
                <w:color w:val="000000"/>
                <w:kern w:val="0"/>
                <w:sz w:val="22"/>
                <w:szCs w:val="22"/>
                <w:highlight w:val="none"/>
                <w:u w:val="none"/>
                <w:lang w:val="en-US" w:eastAsia="zh-CN" w:bidi="ar"/>
              </w:rPr>
              <w:t>勘察费</w:t>
            </w:r>
          </w:p>
        </w:tc>
        <w:tc>
          <w:tcPr>
            <w:tcW w:w="3633"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default" w:ascii="仿宋_GB2312" w:eastAsia="仿宋_GB2312" w:cs="Times New Roman"/>
                <w:b w:val="0"/>
                <w:bCs w:val="0"/>
                <w:color w:val="000000"/>
                <w:sz w:val="24"/>
                <w:szCs w:val="24"/>
                <w:highlight w:val="none"/>
                <w:lang w:val="en-US" w:eastAsia="zh-CN"/>
              </w:rPr>
            </w:pPr>
            <w:r>
              <w:rPr>
                <w:rFonts w:hint="eastAsia" w:ascii="宋体" w:hAnsi="宋体" w:eastAsia="宋体" w:cs="宋体"/>
                <w:i w:val="0"/>
                <w:iCs w:val="0"/>
                <w:color w:val="000000"/>
                <w:kern w:val="0"/>
                <w:sz w:val="22"/>
                <w:szCs w:val="22"/>
                <w:highlight w:val="none"/>
                <w:u w:val="none"/>
                <w:lang w:val="en-US" w:eastAsia="zh-CN" w:bidi="ar"/>
              </w:rPr>
              <w:t xml:space="preserve"> 北京中水利德科技发展有限公司 </w:t>
            </w:r>
          </w:p>
        </w:tc>
        <w:tc>
          <w:tcPr>
            <w:tcW w:w="2345"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default" w:ascii="仿宋_GB2312" w:eastAsia="仿宋_GB2312" w:cs="Times New Roman"/>
                <w:b w:val="0"/>
                <w:bCs w:val="0"/>
                <w:color w:val="000000"/>
                <w:sz w:val="24"/>
                <w:szCs w:val="24"/>
                <w:highlight w:val="none"/>
                <w:lang w:val="en-US" w:eastAsia="zh-CN"/>
              </w:rPr>
            </w:pPr>
            <w:r>
              <w:rPr>
                <w:rFonts w:hint="eastAsia" w:ascii="宋体" w:hAnsi="宋体" w:eastAsia="宋体" w:cs="宋体"/>
                <w:i w:val="0"/>
                <w:iCs w:val="0"/>
                <w:color w:val="000000"/>
                <w:kern w:val="0"/>
                <w:sz w:val="22"/>
                <w:szCs w:val="22"/>
                <w:highlight w:val="none"/>
                <w:u w:val="none"/>
                <w:lang w:val="en-US" w:eastAsia="zh-CN" w:bidi="ar"/>
              </w:rPr>
              <w:t>374.2221</w:t>
            </w:r>
          </w:p>
        </w:tc>
      </w:tr>
      <w:tr>
        <w:tblPrEx>
          <w:tblCellMar>
            <w:top w:w="0" w:type="dxa"/>
            <w:left w:w="108" w:type="dxa"/>
            <w:bottom w:w="0" w:type="dxa"/>
            <w:right w:w="108" w:type="dxa"/>
          </w:tblCellMar>
        </w:tblPrEx>
        <w:trPr>
          <w:trHeight w:val="632" w:hRule="atLeast"/>
        </w:trPr>
        <w:tc>
          <w:tcPr>
            <w:tcW w:w="800" w:type="dxa"/>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jc w:val="center"/>
              <w:textAlignment w:val="center"/>
              <w:rPr>
                <w:rFonts w:hint="default" w:ascii="仿宋_GB2312" w:eastAsia="仿宋_GB2312" w:cs="Times New Roman"/>
                <w:b/>
                <w:bCs/>
                <w:color w:val="000000"/>
                <w:sz w:val="24"/>
                <w:szCs w:val="24"/>
                <w:highlight w:val="none"/>
                <w:lang w:val="en-US" w:eastAsia="zh-CN"/>
              </w:rPr>
            </w:pPr>
            <w:r>
              <w:rPr>
                <w:rFonts w:hint="eastAsia" w:ascii="宋体" w:hAnsi="宋体" w:eastAsia="宋体" w:cs="宋体"/>
                <w:b/>
                <w:bCs/>
                <w:i w:val="0"/>
                <w:iCs w:val="0"/>
                <w:color w:val="000000"/>
                <w:kern w:val="0"/>
                <w:sz w:val="22"/>
                <w:szCs w:val="22"/>
                <w:highlight w:val="none"/>
                <w:u w:val="none"/>
                <w:lang w:val="en-US" w:eastAsia="zh-CN" w:bidi="ar"/>
              </w:rPr>
              <w:t>3</w:t>
            </w:r>
          </w:p>
        </w:tc>
        <w:tc>
          <w:tcPr>
            <w:tcW w:w="3007"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default" w:ascii="仿宋_GB2312" w:eastAsia="仿宋_GB2312" w:cs="Times New Roman"/>
                <w:b w:val="0"/>
                <w:bCs w:val="0"/>
                <w:color w:val="000000"/>
                <w:sz w:val="24"/>
                <w:szCs w:val="24"/>
                <w:highlight w:val="none"/>
                <w:lang w:val="en-US" w:eastAsia="zh-CN"/>
              </w:rPr>
            </w:pPr>
            <w:r>
              <w:rPr>
                <w:rFonts w:hint="eastAsia" w:ascii="宋体" w:hAnsi="宋体" w:eastAsia="宋体" w:cs="宋体"/>
                <w:i w:val="0"/>
                <w:iCs w:val="0"/>
                <w:color w:val="000000"/>
                <w:kern w:val="0"/>
                <w:sz w:val="22"/>
                <w:szCs w:val="22"/>
                <w:highlight w:val="none"/>
                <w:u w:val="none"/>
                <w:lang w:val="en-US" w:eastAsia="zh-CN" w:bidi="ar"/>
              </w:rPr>
              <w:t>设计费</w:t>
            </w:r>
          </w:p>
        </w:tc>
        <w:tc>
          <w:tcPr>
            <w:tcW w:w="3633"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default" w:ascii="仿宋_GB2312" w:eastAsia="仿宋_GB2312" w:cs="Times New Roman"/>
                <w:b w:val="0"/>
                <w:bCs w:val="0"/>
                <w:color w:val="000000"/>
                <w:sz w:val="24"/>
                <w:szCs w:val="24"/>
                <w:highlight w:val="none"/>
                <w:lang w:val="en-US" w:eastAsia="zh-CN"/>
              </w:rPr>
            </w:pPr>
            <w:r>
              <w:rPr>
                <w:rFonts w:hint="eastAsia" w:ascii="宋体" w:hAnsi="宋体" w:eastAsia="宋体" w:cs="宋体"/>
                <w:i w:val="0"/>
                <w:iCs w:val="0"/>
                <w:color w:val="000000"/>
                <w:kern w:val="0"/>
                <w:sz w:val="22"/>
                <w:szCs w:val="22"/>
                <w:highlight w:val="none"/>
                <w:u w:val="none"/>
                <w:lang w:val="en-US" w:eastAsia="zh-CN" w:bidi="ar"/>
              </w:rPr>
              <w:t>北京中水利德科技发展有限公司</w:t>
            </w:r>
          </w:p>
        </w:tc>
        <w:tc>
          <w:tcPr>
            <w:tcW w:w="2345"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default" w:ascii="仿宋_GB2312" w:eastAsia="仿宋_GB2312" w:cs="Times New Roman"/>
                <w:b w:val="0"/>
                <w:bCs w:val="0"/>
                <w:color w:val="000000"/>
                <w:sz w:val="24"/>
                <w:szCs w:val="24"/>
                <w:highlight w:val="none"/>
                <w:lang w:val="en-US" w:eastAsia="zh-CN"/>
              </w:rPr>
            </w:pPr>
            <w:r>
              <w:rPr>
                <w:rFonts w:hint="eastAsia" w:ascii="宋体" w:hAnsi="宋体" w:eastAsia="宋体" w:cs="宋体"/>
                <w:i w:val="0"/>
                <w:iCs w:val="0"/>
                <w:color w:val="000000"/>
                <w:kern w:val="0"/>
                <w:sz w:val="22"/>
                <w:szCs w:val="22"/>
                <w:highlight w:val="none"/>
                <w:u w:val="none"/>
                <w:lang w:val="en-US" w:eastAsia="zh-CN" w:bidi="ar"/>
              </w:rPr>
              <w:t>345.5886</w:t>
            </w:r>
          </w:p>
        </w:tc>
      </w:tr>
      <w:tr>
        <w:tblPrEx>
          <w:tblCellMar>
            <w:top w:w="0" w:type="dxa"/>
            <w:left w:w="108" w:type="dxa"/>
            <w:bottom w:w="0" w:type="dxa"/>
            <w:right w:w="108" w:type="dxa"/>
          </w:tblCellMar>
        </w:tblPrEx>
        <w:trPr>
          <w:trHeight w:val="686" w:hRule="atLeast"/>
        </w:trPr>
        <w:tc>
          <w:tcPr>
            <w:tcW w:w="800" w:type="dxa"/>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_GB2312" w:eastAsia="仿宋_GB2312" w:cs="Times New Roman"/>
                <w:b/>
                <w:bCs/>
                <w:color w:val="000000"/>
                <w:sz w:val="24"/>
                <w:szCs w:val="24"/>
                <w:highlight w:val="none"/>
                <w:lang w:val="en-US" w:eastAsia="zh-CN"/>
              </w:rPr>
            </w:pPr>
            <w:r>
              <w:rPr>
                <w:rFonts w:hint="eastAsia" w:ascii="宋体" w:hAnsi="宋体" w:eastAsia="宋体" w:cs="宋体"/>
                <w:b/>
                <w:bCs/>
                <w:i w:val="0"/>
                <w:iCs w:val="0"/>
                <w:color w:val="000000"/>
                <w:kern w:val="0"/>
                <w:sz w:val="22"/>
                <w:szCs w:val="22"/>
                <w:highlight w:val="none"/>
                <w:u w:val="none"/>
                <w:lang w:val="en-US" w:eastAsia="zh-CN" w:bidi="ar"/>
              </w:rPr>
              <w:t>4</w:t>
            </w:r>
          </w:p>
        </w:tc>
        <w:tc>
          <w:tcPr>
            <w:tcW w:w="3007" w:type="dxa"/>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_GB2312" w:eastAsia="仿宋_GB2312" w:cs="Times New Roman"/>
                <w:b/>
                <w:bCs/>
                <w:color w:val="000000"/>
                <w:sz w:val="24"/>
                <w:szCs w:val="24"/>
                <w:highlight w:val="none"/>
                <w:lang w:val="en-US" w:eastAsia="zh-CN"/>
              </w:rPr>
            </w:pPr>
            <w:r>
              <w:rPr>
                <w:rFonts w:hint="eastAsia" w:ascii="宋体" w:hAnsi="宋体" w:eastAsia="宋体" w:cs="宋体"/>
                <w:i w:val="0"/>
                <w:iCs w:val="0"/>
                <w:color w:val="000000"/>
                <w:kern w:val="0"/>
                <w:sz w:val="22"/>
                <w:szCs w:val="22"/>
                <w:highlight w:val="none"/>
                <w:u w:val="none"/>
                <w:lang w:val="en-US" w:eastAsia="zh-CN" w:bidi="ar"/>
              </w:rPr>
              <w:t>工程设计费（水管线涉路）</w:t>
            </w:r>
          </w:p>
        </w:tc>
        <w:tc>
          <w:tcPr>
            <w:tcW w:w="3633" w:type="dxa"/>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jc w:val="center"/>
              <w:textAlignment w:val="center"/>
              <w:rPr>
                <w:rFonts w:hint="default" w:ascii="仿宋_GB2312" w:hAnsi="宋体" w:eastAsia="仿宋_GB2312" w:cs="仿宋_GB2312"/>
                <w:b/>
                <w:bCs/>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中铁城际规划设计有限公司</w:t>
            </w:r>
          </w:p>
        </w:tc>
        <w:tc>
          <w:tcPr>
            <w:tcW w:w="2345" w:type="dxa"/>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jc w:val="center"/>
              <w:textAlignment w:val="center"/>
              <w:rPr>
                <w:rFonts w:hint="default" w:ascii="仿宋_GB2312" w:hAnsi="宋体" w:eastAsia="仿宋_GB2312" w:cs="仿宋_GB2312"/>
                <w:b/>
                <w:bCs/>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10.00</w:t>
            </w:r>
          </w:p>
        </w:tc>
      </w:tr>
      <w:tr>
        <w:tblPrEx>
          <w:tblCellMar>
            <w:top w:w="0" w:type="dxa"/>
            <w:left w:w="108" w:type="dxa"/>
            <w:bottom w:w="0" w:type="dxa"/>
            <w:right w:w="108" w:type="dxa"/>
          </w:tblCellMar>
        </w:tblPrEx>
        <w:trPr>
          <w:trHeight w:val="686" w:hRule="atLeast"/>
        </w:trPr>
        <w:tc>
          <w:tcPr>
            <w:tcW w:w="800" w:type="dxa"/>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_GB2312" w:eastAsia="仿宋_GB2312" w:cs="Times New Roman"/>
                <w:b/>
                <w:bCs/>
                <w:color w:val="000000"/>
                <w:sz w:val="24"/>
                <w:szCs w:val="24"/>
                <w:highlight w:val="none"/>
              </w:rPr>
            </w:pPr>
            <w:r>
              <w:rPr>
                <w:rFonts w:hint="eastAsia" w:ascii="宋体" w:hAnsi="宋体" w:eastAsia="宋体" w:cs="宋体"/>
                <w:b/>
                <w:bCs/>
                <w:i w:val="0"/>
                <w:iCs w:val="0"/>
                <w:color w:val="000000"/>
                <w:kern w:val="0"/>
                <w:sz w:val="22"/>
                <w:szCs w:val="22"/>
                <w:highlight w:val="none"/>
                <w:u w:val="none"/>
                <w:lang w:val="en-US" w:eastAsia="zh-CN" w:bidi="ar"/>
              </w:rPr>
              <w:t>5</w:t>
            </w:r>
          </w:p>
        </w:tc>
        <w:tc>
          <w:tcPr>
            <w:tcW w:w="3007" w:type="dxa"/>
            <w:vMerge w:val="restart"/>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_GB2312" w:eastAsia="仿宋_GB2312" w:cs="Times New Roman"/>
                <w:b/>
                <w:bCs/>
                <w:color w:val="000000"/>
                <w:sz w:val="24"/>
                <w:szCs w:val="24"/>
                <w:highlight w:val="none"/>
                <w:lang w:val="en-US" w:eastAsia="zh-CN"/>
              </w:rPr>
            </w:pPr>
            <w:r>
              <w:rPr>
                <w:rFonts w:hint="eastAsia" w:ascii="宋体" w:hAnsi="宋体" w:eastAsia="宋体" w:cs="宋体"/>
                <w:i w:val="0"/>
                <w:iCs w:val="0"/>
                <w:color w:val="000000"/>
                <w:kern w:val="0"/>
                <w:sz w:val="22"/>
                <w:szCs w:val="22"/>
                <w:highlight w:val="none"/>
                <w:u w:val="none"/>
                <w:lang w:val="en-US" w:eastAsia="zh-CN" w:bidi="ar"/>
              </w:rPr>
              <w:t>占地补偿费</w:t>
            </w:r>
          </w:p>
        </w:tc>
        <w:tc>
          <w:tcPr>
            <w:tcW w:w="3633" w:type="dxa"/>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jc w:val="center"/>
              <w:textAlignment w:val="center"/>
              <w:rPr>
                <w:rFonts w:hint="default" w:ascii="仿宋_GB2312" w:hAnsi="宋体" w:eastAsia="仿宋_GB2312" w:cs="仿宋_GB2312"/>
                <w:b/>
                <w:bCs/>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曲阳县恒州镇财政所</w:t>
            </w:r>
          </w:p>
        </w:tc>
        <w:tc>
          <w:tcPr>
            <w:tcW w:w="2345" w:type="dxa"/>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2,000.00</w:t>
            </w:r>
          </w:p>
        </w:tc>
      </w:tr>
      <w:tr>
        <w:tblPrEx>
          <w:tblCellMar>
            <w:top w:w="0" w:type="dxa"/>
            <w:left w:w="108" w:type="dxa"/>
            <w:bottom w:w="0" w:type="dxa"/>
            <w:right w:w="108" w:type="dxa"/>
          </w:tblCellMar>
        </w:tblPrEx>
        <w:trPr>
          <w:trHeight w:val="686" w:hRule="atLeast"/>
        </w:trPr>
        <w:tc>
          <w:tcPr>
            <w:tcW w:w="800" w:type="dxa"/>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_GB2312" w:eastAsia="仿宋_GB2312" w:cs="Times New Roman"/>
                <w:b/>
                <w:bCs/>
                <w:color w:val="000000"/>
                <w:sz w:val="24"/>
                <w:szCs w:val="24"/>
                <w:highlight w:val="none"/>
              </w:rPr>
            </w:pPr>
            <w:r>
              <w:rPr>
                <w:rFonts w:hint="eastAsia" w:ascii="宋体" w:hAnsi="宋体" w:eastAsia="宋体" w:cs="宋体"/>
                <w:b/>
                <w:bCs/>
                <w:i w:val="0"/>
                <w:iCs w:val="0"/>
                <w:color w:val="000000"/>
                <w:kern w:val="0"/>
                <w:sz w:val="22"/>
                <w:szCs w:val="22"/>
                <w:highlight w:val="none"/>
                <w:u w:val="none"/>
                <w:lang w:val="en-US" w:eastAsia="zh-CN" w:bidi="ar"/>
              </w:rPr>
              <w:t>6</w:t>
            </w:r>
          </w:p>
        </w:tc>
        <w:tc>
          <w:tcPr>
            <w:tcW w:w="3007" w:type="dxa"/>
            <w:vMerge w:val="continue"/>
            <w:tcBorders>
              <w:top w:val="single" w:color="auto" w:sz="4" w:space="0"/>
              <w:left w:val="single" w:color="auto" w:sz="4" w:space="0"/>
              <w:bottom w:val="single" w:color="auto" w:sz="4" w:space="0"/>
              <w:right w:val="single" w:color="auto" w:sz="4" w:space="0"/>
            </w:tcBorders>
            <w:noWrap/>
            <w:vAlign w:val="center"/>
          </w:tcPr>
          <w:p>
            <w:pPr>
              <w:jc w:val="center"/>
              <w:rPr>
                <w:rFonts w:hint="eastAsia" w:ascii="仿宋_GB2312" w:eastAsia="仿宋_GB2312" w:cs="Times New Roman"/>
                <w:b/>
                <w:bCs/>
                <w:color w:val="000000"/>
                <w:sz w:val="24"/>
                <w:szCs w:val="24"/>
                <w:highlight w:val="none"/>
                <w:lang w:val="en-US" w:eastAsia="zh-CN"/>
              </w:rPr>
            </w:pPr>
          </w:p>
        </w:tc>
        <w:tc>
          <w:tcPr>
            <w:tcW w:w="3633" w:type="dxa"/>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jc w:val="center"/>
              <w:textAlignment w:val="center"/>
              <w:rPr>
                <w:rFonts w:hint="default" w:ascii="仿宋_GB2312" w:hAnsi="宋体" w:eastAsia="仿宋_GB2312" w:cs="仿宋_GB2312"/>
                <w:b/>
                <w:bCs/>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曲阳县恒州镇人民政府</w:t>
            </w:r>
          </w:p>
        </w:tc>
        <w:tc>
          <w:tcPr>
            <w:tcW w:w="2345" w:type="dxa"/>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highlight w:val="none"/>
                <w:u w:val="none"/>
                <w:lang w:val="en-US" w:eastAsia="zh-CN" w:bidi="ar-SA"/>
              </w:rPr>
            </w:pPr>
            <w:r>
              <w:rPr>
                <w:rFonts w:hint="eastAsia" w:ascii="宋体" w:hAnsi="宋体" w:eastAsia="宋体" w:cs="宋体"/>
                <w:i w:val="0"/>
                <w:iCs w:val="0"/>
                <w:color w:val="000000"/>
                <w:kern w:val="0"/>
                <w:sz w:val="22"/>
                <w:szCs w:val="22"/>
                <w:highlight w:val="none"/>
                <w:u w:val="none"/>
                <w:lang w:val="en-US" w:eastAsia="zh-CN" w:bidi="ar"/>
              </w:rPr>
              <w:t>902.4665</w:t>
            </w:r>
          </w:p>
        </w:tc>
      </w:tr>
      <w:tr>
        <w:tblPrEx>
          <w:tblCellMar>
            <w:top w:w="0" w:type="dxa"/>
            <w:left w:w="108" w:type="dxa"/>
            <w:bottom w:w="0" w:type="dxa"/>
            <w:right w:w="108" w:type="dxa"/>
          </w:tblCellMar>
        </w:tblPrEx>
        <w:trPr>
          <w:trHeight w:val="686" w:hRule="atLeast"/>
        </w:trPr>
        <w:tc>
          <w:tcPr>
            <w:tcW w:w="800" w:type="dxa"/>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_GB2312" w:eastAsia="仿宋_GB2312" w:cs="Times New Roman"/>
                <w:b/>
                <w:bCs/>
                <w:color w:val="000000"/>
                <w:sz w:val="24"/>
                <w:szCs w:val="24"/>
                <w:highlight w:val="none"/>
              </w:rPr>
            </w:pPr>
            <w:r>
              <w:rPr>
                <w:rFonts w:hint="eastAsia" w:ascii="宋体" w:hAnsi="宋体" w:eastAsia="宋体" w:cs="宋体"/>
                <w:b/>
                <w:bCs/>
                <w:i w:val="0"/>
                <w:iCs w:val="0"/>
                <w:color w:val="000000"/>
                <w:kern w:val="0"/>
                <w:sz w:val="22"/>
                <w:szCs w:val="22"/>
                <w:highlight w:val="none"/>
                <w:u w:val="none"/>
                <w:lang w:val="en-US" w:eastAsia="zh-CN" w:bidi="ar"/>
              </w:rPr>
              <w:t>7</w:t>
            </w:r>
          </w:p>
        </w:tc>
        <w:tc>
          <w:tcPr>
            <w:tcW w:w="3007" w:type="dxa"/>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_GB2312" w:eastAsia="仿宋_GB2312" w:cs="Times New Roman"/>
                <w:b/>
                <w:bCs/>
                <w:color w:val="000000"/>
                <w:sz w:val="24"/>
                <w:szCs w:val="24"/>
                <w:highlight w:val="none"/>
                <w:lang w:val="en-US" w:eastAsia="zh-CN"/>
              </w:rPr>
            </w:pPr>
            <w:r>
              <w:rPr>
                <w:rFonts w:hint="eastAsia" w:ascii="宋体" w:hAnsi="宋体" w:eastAsia="宋体" w:cs="宋体"/>
                <w:i w:val="0"/>
                <w:iCs w:val="0"/>
                <w:color w:val="000000"/>
                <w:kern w:val="0"/>
                <w:sz w:val="22"/>
                <w:szCs w:val="22"/>
                <w:highlight w:val="none"/>
                <w:u w:val="none"/>
                <w:lang w:val="en-US" w:eastAsia="zh-CN" w:bidi="ar"/>
              </w:rPr>
              <w:t>监理费</w:t>
            </w:r>
          </w:p>
        </w:tc>
        <w:tc>
          <w:tcPr>
            <w:tcW w:w="3633" w:type="dxa"/>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jc w:val="center"/>
              <w:textAlignment w:val="center"/>
              <w:rPr>
                <w:rFonts w:hint="default" w:ascii="仿宋_GB2312" w:hAnsi="宋体" w:eastAsia="仿宋_GB2312" w:cs="仿宋_GB2312"/>
                <w:b/>
                <w:bCs/>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河北金浩工程项目管理有限公司</w:t>
            </w:r>
          </w:p>
        </w:tc>
        <w:tc>
          <w:tcPr>
            <w:tcW w:w="2345" w:type="dxa"/>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128.00</w:t>
            </w:r>
          </w:p>
        </w:tc>
      </w:tr>
      <w:tr>
        <w:tblPrEx>
          <w:tblCellMar>
            <w:top w:w="0" w:type="dxa"/>
            <w:left w:w="108" w:type="dxa"/>
            <w:bottom w:w="0" w:type="dxa"/>
            <w:right w:w="108" w:type="dxa"/>
          </w:tblCellMar>
        </w:tblPrEx>
        <w:trPr>
          <w:trHeight w:val="686" w:hRule="atLeast"/>
        </w:trPr>
        <w:tc>
          <w:tcPr>
            <w:tcW w:w="800" w:type="dxa"/>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_GB2312" w:eastAsia="仿宋_GB2312" w:cs="Times New Roman"/>
                <w:b/>
                <w:bCs/>
                <w:color w:val="000000"/>
                <w:sz w:val="24"/>
                <w:szCs w:val="24"/>
                <w:highlight w:val="none"/>
              </w:rPr>
            </w:pPr>
            <w:r>
              <w:rPr>
                <w:rFonts w:hint="eastAsia" w:ascii="宋体" w:hAnsi="宋体" w:eastAsia="宋体" w:cs="宋体"/>
                <w:b/>
                <w:bCs/>
                <w:i w:val="0"/>
                <w:iCs w:val="0"/>
                <w:color w:val="000000"/>
                <w:kern w:val="0"/>
                <w:sz w:val="22"/>
                <w:szCs w:val="22"/>
                <w:highlight w:val="none"/>
                <w:u w:val="none"/>
                <w:lang w:val="en-US" w:eastAsia="zh-CN" w:bidi="ar"/>
              </w:rPr>
              <w:t>8</w:t>
            </w:r>
          </w:p>
        </w:tc>
        <w:tc>
          <w:tcPr>
            <w:tcW w:w="3007" w:type="dxa"/>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_GB2312" w:eastAsia="仿宋_GB2312" w:cs="Times New Roman"/>
                <w:b/>
                <w:bCs/>
                <w:color w:val="000000"/>
                <w:sz w:val="24"/>
                <w:szCs w:val="24"/>
                <w:highlight w:val="none"/>
                <w:lang w:val="en-US" w:eastAsia="zh-CN"/>
              </w:rPr>
            </w:pPr>
            <w:r>
              <w:rPr>
                <w:rFonts w:hint="eastAsia" w:ascii="宋体" w:hAnsi="宋体" w:eastAsia="宋体" w:cs="宋体"/>
                <w:i w:val="0"/>
                <w:iCs w:val="0"/>
                <w:color w:val="000000"/>
                <w:kern w:val="0"/>
                <w:sz w:val="22"/>
                <w:szCs w:val="22"/>
                <w:highlight w:val="none"/>
                <w:u w:val="none"/>
                <w:lang w:val="en-US" w:eastAsia="zh-CN" w:bidi="ar"/>
              </w:rPr>
              <w:t>环评报告编制费</w:t>
            </w:r>
          </w:p>
        </w:tc>
        <w:tc>
          <w:tcPr>
            <w:tcW w:w="3633" w:type="dxa"/>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jc w:val="center"/>
              <w:textAlignment w:val="center"/>
              <w:rPr>
                <w:rFonts w:hint="default" w:ascii="仿宋_GB2312" w:hAnsi="宋体" w:eastAsia="仿宋_GB2312" w:cs="仿宋_GB2312"/>
                <w:b/>
                <w:bCs/>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中蓝智信环保科技有限公司</w:t>
            </w:r>
          </w:p>
        </w:tc>
        <w:tc>
          <w:tcPr>
            <w:tcW w:w="2345" w:type="dxa"/>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39.50</w:t>
            </w:r>
          </w:p>
        </w:tc>
      </w:tr>
      <w:tr>
        <w:tblPrEx>
          <w:tblCellMar>
            <w:top w:w="0" w:type="dxa"/>
            <w:left w:w="108" w:type="dxa"/>
            <w:bottom w:w="0" w:type="dxa"/>
            <w:right w:w="108" w:type="dxa"/>
          </w:tblCellMar>
        </w:tblPrEx>
        <w:trPr>
          <w:trHeight w:val="686" w:hRule="atLeast"/>
        </w:trPr>
        <w:tc>
          <w:tcPr>
            <w:tcW w:w="800" w:type="dxa"/>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_GB2312" w:eastAsia="仿宋_GB2312" w:cs="Times New Roman"/>
                <w:b/>
                <w:bCs/>
                <w:color w:val="000000"/>
                <w:sz w:val="24"/>
                <w:szCs w:val="24"/>
                <w:highlight w:val="none"/>
              </w:rPr>
            </w:pPr>
            <w:r>
              <w:rPr>
                <w:rFonts w:hint="eastAsia" w:ascii="宋体" w:hAnsi="宋体" w:eastAsia="宋体" w:cs="宋体"/>
                <w:b/>
                <w:bCs/>
                <w:i w:val="0"/>
                <w:iCs w:val="0"/>
                <w:color w:val="000000"/>
                <w:kern w:val="0"/>
                <w:sz w:val="22"/>
                <w:szCs w:val="22"/>
                <w:highlight w:val="none"/>
                <w:u w:val="none"/>
                <w:lang w:val="en-US" w:eastAsia="zh-CN" w:bidi="ar"/>
              </w:rPr>
              <w:t>9</w:t>
            </w:r>
          </w:p>
        </w:tc>
        <w:tc>
          <w:tcPr>
            <w:tcW w:w="3007" w:type="dxa"/>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_GB2312" w:eastAsia="仿宋_GB2312" w:cs="Times New Roman"/>
                <w:b/>
                <w:bCs/>
                <w:color w:val="000000"/>
                <w:sz w:val="24"/>
                <w:szCs w:val="24"/>
                <w:highlight w:val="none"/>
                <w:lang w:val="en-US" w:eastAsia="zh-CN"/>
              </w:rPr>
            </w:pPr>
            <w:r>
              <w:rPr>
                <w:rFonts w:hint="eastAsia" w:ascii="宋体" w:hAnsi="宋体" w:eastAsia="宋体" w:cs="宋体"/>
                <w:i w:val="0"/>
                <w:iCs w:val="0"/>
                <w:color w:val="000000"/>
                <w:kern w:val="0"/>
                <w:sz w:val="22"/>
                <w:szCs w:val="22"/>
                <w:highlight w:val="none"/>
                <w:u w:val="none"/>
                <w:lang w:val="en-US" w:eastAsia="zh-CN" w:bidi="ar"/>
              </w:rPr>
              <w:t>工程款</w:t>
            </w:r>
          </w:p>
        </w:tc>
        <w:tc>
          <w:tcPr>
            <w:tcW w:w="3633" w:type="dxa"/>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jc w:val="center"/>
              <w:textAlignment w:val="center"/>
              <w:rPr>
                <w:rFonts w:hint="default" w:ascii="仿宋_GB2312" w:hAnsi="宋体" w:eastAsia="仿宋_GB2312" w:cs="仿宋_GB2312"/>
                <w:b/>
                <w:bCs/>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中水建管国际工程有限公司</w:t>
            </w:r>
          </w:p>
        </w:tc>
        <w:tc>
          <w:tcPr>
            <w:tcW w:w="2345" w:type="dxa"/>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highlight w:val="none"/>
                <w:u w:val="none"/>
                <w:lang w:val="en-US" w:eastAsia="zh-CN" w:bidi="ar-SA"/>
              </w:rPr>
            </w:pPr>
            <w:r>
              <w:rPr>
                <w:rFonts w:hint="eastAsia" w:ascii="宋体" w:hAnsi="宋体" w:cs="宋体"/>
                <w:i w:val="0"/>
                <w:iCs w:val="0"/>
                <w:color w:val="000000"/>
                <w:kern w:val="0"/>
                <w:sz w:val="22"/>
                <w:szCs w:val="22"/>
                <w:highlight w:val="none"/>
                <w:u w:val="none"/>
                <w:lang w:val="en-US" w:eastAsia="zh-CN" w:bidi="ar"/>
              </w:rPr>
              <w:t>16,131.1728</w:t>
            </w:r>
          </w:p>
        </w:tc>
      </w:tr>
      <w:tr>
        <w:tblPrEx>
          <w:tblCellMar>
            <w:top w:w="0" w:type="dxa"/>
            <w:left w:w="108" w:type="dxa"/>
            <w:bottom w:w="0" w:type="dxa"/>
            <w:right w:w="108" w:type="dxa"/>
          </w:tblCellMar>
        </w:tblPrEx>
        <w:trPr>
          <w:trHeight w:val="686" w:hRule="atLeast"/>
        </w:trPr>
        <w:tc>
          <w:tcPr>
            <w:tcW w:w="800" w:type="dxa"/>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_GB2312" w:eastAsia="仿宋_GB2312" w:cs="Times New Roman"/>
                <w:b/>
                <w:bCs/>
                <w:color w:val="000000"/>
                <w:sz w:val="24"/>
                <w:szCs w:val="24"/>
                <w:highlight w:val="none"/>
              </w:rPr>
            </w:pPr>
            <w:r>
              <w:rPr>
                <w:rFonts w:hint="eastAsia" w:ascii="宋体" w:hAnsi="宋体" w:eastAsia="宋体" w:cs="宋体"/>
                <w:b/>
                <w:bCs/>
                <w:i w:val="0"/>
                <w:iCs w:val="0"/>
                <w:color w:val="000000"/>
                <w:kern w:val="0"/>
                <w:sz w:val="22"/>
                <w:szCs w:val="22"/>
                <w:highlight w:val="none"/>
                <w:u w:val="none"/>
                <w:lang w:val="en-US" w:eastAsia="zh-CN" w:bidi="ar"/>
              </w:rPr>
              <w:t>10</w:t>
            </w:r>
          </w:p>
        </w:tc>
        <w:tc>
          <w:tcPr>
            <w:tcW w:w="3007" w:type="dxa"/>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_GB2312" w:eastAsia="仿宋_GB2312" w:cs="Times New Roman"/>
                <w:b/>
                <w:bCs/>
                <w:color w:val="000000"/>
                <w:sz w:val="24"/>
                <w:szCs w:val="24"/>
                <w:highlight w:val="none"/>
                <w:lang w:val="en-US" w:eastAsia="zh-CN"/>
              </w:rPr>
            </w:pPr>
            <w:r>
              <w:rPr>
                <w:rFonts w:hint="eastAsia" w:ascii="宋体" w:hAnsi="宋体" w:eastAsia="宋体" w:cs="宋体"/>
                <w:i w:val="0"/>
                <w:iCs w:val="0"/>
                <w:color w:val="000000"/>
                <w:kern w:val="0"/>
                <w:sz w:val="22"/>
                <w:szCs w:val="22"/>
                <w:highlight w:val="none"/>
                <w:u w:val="none"/>
                <w:lang w:val="en-US" w:eastAsia="zh-CN" w:bidi="ar"/>
              </w:rPr>
              <w:t>环境保护检测费</w:t>
            </w:r>
          </w:p>
        </w:tc>
        <w:tc>
          <w:tcPr>
            <w:tcW w:w="3633" w:type="dxa"/>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jc w:val="center"/>
              <w:textAlignment w:val="center"/>
              <w:rPr>
                <w:rFonts w:hint="default" w:ascii="仿宋_GB2312" w:hAnsi="宋体" w:eastAsia="仿宋_GB2312" w:cs="仿宋_GB2312"/>
                <w:b/>
                <w:bCs/>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河北敏邦环保科技有限公司</w:t>
            </w:r>
          </w:p>
        </w:tc>
        <w:tc>
          <w:tcPr>
            <w:tcW w:w="2345" w:type="dxa"/>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10.40</w:t>
            </w:r>
          </w:p>
        </w:tc>
      </w:tr>
      <w:tr>
        <w:tblPrEx>
          <w:tblCellMar>
            <w:top w:w="0" w:type="dxa"/>
            <w:left w:w="108" w:type="dxa"/>
            <w:bottom w:w="0" w:type="dxa"/>
            <w:right w:w="108" w:type="dxa"/>
          </w:tblCellMar>
        </w:tblPrEx>
        <w:trPr>
          <w:trHeight w:val="686" w:hRule="atLeast"/>
        </w:trPr>
        <w:tc>
          <w:tcPr>
            <w:tcW w:w="800" w:type="dxa"/>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_GB2312" w:eastAsia="仿宋_GB2312" w:cs="Times New Roman"/>
                <w:b/>
                <w:bCs/>
                <w:color w:val="000000"/>
                <w:sz w:val="24"/>
                <w:szCs w:val="24"/>
                <w:highlight w:val="none"/>
              </w:rPr>
            </w:pPr>
            <w:r>
              <w:rPr>
                <w:rFonts w:hint="eastAsia" w:ascii="宋体" w:hAnsi="宋体" w:eastAsia="宋体" w:cs="宋体"/>
                <w:b/>
                <w:bCs/>
                <w:i w:val="0"/>
                <w:iCs w:val="0"/>
                <w:color w:val="000000"/>
                <w:kern w:val="0"/>
                <w:sz w:val="22"/>
                <w:szCs w:val="22"/>
                <w:highlight w:val="none"/>
                <w:u w:val="none"/>
                <w:lang w:val="en-US" w:eastAsia="zh-CN" w:bidi="ar"/>
              </w:rPr>
              <w:t>11</w:t>
            </w:r>
          </w:p>
        </w:tc>
        <w:tc>
          <w:tcPr>
            <w:tcW w:w="3007" w:type="dxa"/>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_GB2312" w:eastAsia="仿宋_GB2312" w:cs="Times New Roman"/>
                <w:b/>
                <w:bCs/>
                <w:color w:val="000000"/>
                <w:sz w:val="24"/>
                <w:szCs w:val="24"/>
                <w:highlight w:val="none"/>
                <w:lang w:val="en-US" w:eastAsia="zh-CN"/>
              </w:rPr>
            </w:pPr>
            <w:r>
              <w:rPr>
                <w:rFonts w:hint="eastAsia" w:ascii="宋体" w:hAnsi="宋体" w:eastAsia="宋体" w:cs="宋体"/>
                <w:i w:val="0"/>
                <w:iCs w:val="0"/>
                <w:color w:val="000000"/>
                <w:kern w:val="0"/>
                <w:sz w:val="22"/>
                <w:szCs w:val="22"/>
                <w:highlight w:val="none"/>
                <w:u w:val="none"/>
                <w:lang w:val="en-US" w:eastAsia="zh-CN" w:bidi="ar"/>
              </w:rPr>
              <w:t>水土保持方案编制费</w:t>
            </w:r>
          </w:p>
        </w:tc>
        <w:tc>
          <w:tcPr>
            <w:tcW w:w="3633" w:type="dxa"/>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jc w:val="center"/>
              <w:textAlignment w:val="center"/>
              <w:rPr>
                <w:rFonts w:hint="default" w:ascii="仿宋_GB2312" w:hAnsi="宋体" w:eastAsia="仿宋_GB2312" w:cs="仿宋_GB2312"/>
                <w:b/>
                <w:bCs/>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河北冀水规划设计有限公司</w:t>
            </w:r>
          </w:p>
        </w:tc>
        <w:tc>
          <w:tcPr>
            <w:tcW w:w="2345" w:type="dxa"/>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9.00</w:t>
            </w:r>
          </w:p>
        </w:tc>
      </w:tr>
      <w:tr>
        <w:tblPrEx>
          <w:tblCellMar>
            <w:top w:w="0" w:type="dxa"/>
            <w:left w:w="108" w:type="dxa"/>
            <w:bottom w:w="0" w:type="dxa"/>
            <w:right w:w="108" w:type="dxa"/>
          </w:tblCellMar>
        </w:tblPrEx>
        <w:trPr>
          <w:trHeight w:val="686" w:hRule="atLeast"/>
        </w:trPr>
        <w:tc>
          <w:tcPr>
            <w:tcW w:w="800" w:type="dxa"/>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_GB2312" w:eastAsia="仿宋_GB2312" w:cs="Times New Roman"/>
                <w:b/>
                <w:bCs/>
                <w:color w:val="000000"/>
                <w:sz w:val="24"/>
                <w:szCs w:val="24"/>
                <w:highlight w:val="none"/>
              </w:rPr>
            </w:pPr>
            <w:r>
              <w:rPr>
                <w:rFonts w:hint="eastAsia" w:ascii="宋体" w:hAnsi="宋体" w:eastAsia="宋体" w:cs="宋体"/>
                <w:b/>
                <w:bCs/>
                <w:i w:val="0"/>
                <w:iCs w:val="0"/>
                <w:color w:val="000000"/>
                <w:kern w:val="0"/>
                <w:sz w:val="22"/>
                <w:szCs w:val="22"/>
                <w:highlight w:val="none"/>
                <w:u w:val="none"/>
                <w:lang w:val="en-US" w:eastAsia="zh-CN" w:bidi="ar"/>
              </w:rPr>
              <w:t>12</w:t>
            </w:r>
          </w:p>
        </w:tc>
        <w:tc>
          <w:tcPr>
            <w:tcW w:w="3007" w:type="dxa"/>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_GB2312" w:eastAsia="仿宋_GB2312" w:cs="Times New Roman"/>
                <w:b/>
                <w:bCs/>
                <w:color w:val="000000"/>
                <w:sz w:val="24"/>
                <w:szCs w:val="24"/>
                <w:highlight w:val="none"/>
                <w:lang w:val="en-US" w:eastAsia="zh-CN"/>
              </w:rPr>
            </w:pPr>
            <w:r>
              <w:rPr>
                <w:rFonts w:hint="eastAsia" w:ascii="宋体" w:hAnsi="宋体" w:eastAsia="宋体" w:cs="宋体"/>
                <w:i w:val="0"/>
                <w:iCs w:val="0"/>
                <w:color w:val="000000"/>
                <w:kern w:val="0"/>
                <w:sz w:val="22"/>
                <w:szCs w:val="22"/>
                <w:highlight w:val="none"/>
                <w:u w:val="none"/>
                <w:lang w:val="en-US" w:eastAsia="zh-CN" w:bidi="ar"/>
              </w:rPr>
              <w:t>水土保持检测费</w:t>
            </w:r>
          </w:p>
        </w:tc>
        <w:tc>
          <w:tcPr>
            <w:tcW w:w="3633" w:type="dxa"/>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jc w:val="center"/>
              <w:textAlignment w:val="center"/>
              <w:rPr>
                <w:rFonts w:hint="default" w:ascii="仿宋_GB2312" w:hAnsi="宋体" w:eastAsia="仿宋_GB2312" w:cs="仿宋_GB2312"/>
                <w:b/>
                <w:bCs/>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河北源明环境科技有限公司</w:t>
            </w:r>
          </w:p>
        </w:tc>
        <w:tc>
          <w:tcPr>
            <w:tcW w:w="2345" w:type="dxa"/>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5.00</w:t>
            </w:r>
          </w:p>
        </w:tc>
      </w:tr>
      <w:tr>
        <w:tblPrEx>
          <w:tblCellMar>
            <w:top w:w="0" w:type="dxa"/>
            <w:left w:w="108" w:type="dxa"/>
            <w:bottom w:w="0" w:type="dxa"/>
            <w:right w:w="108" w:type="dxa"/>
          </w:tblCellMar>
        </w:tblPrEx>
        <w:trPr>
          <w:trHeight w:val="686" w:hRule="atLeast"/>
        </w:trPr>
        <w:tc>
          <w:tcPr>
            <w:tcW w:w="800" w:type="dxa"/>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_GB2312" w:eastAsia="仿宋_GB2312" w:cs="Times New Roman"/>
                <w:b/>
                <w:bCs/>
                <w:color w:val="000000"/>
                <w:sz w:val="24"/>
                <w:szCs w:val="24"/>
                <w:highlight w:val="none"/>
              </w:rPr>
            </w:pPr>
            <w:r>
              <w:rPr>
                <w:rFonts w:hint="eastAsia" w:ascii="宋体" w:hAnsi="宋体" w:eastAsia="宋体" w:cs="宋体"/>
                <w:b/>
                <w:bCs/>
                <w:i w:val="0"/>
                <w:iCs w:val="0"/>
                <w:color w:val="000000"/>
                <w:kern w:val="0"/>
                <w:sz w:val="22"/>
                <w:szCs w:val="22"/>
                <w:highlight w:val="none"/>
                <w:u w:val="none"/>
                <w:lang w:val="en-US" w:eastAsia="zh-CN" w:bidi="ar"/>
              </w:rPr>
              <w:t>13</w:t>
            </w:r>
          </w:p>
        </w:tc>
        <w:tc>
          <w:tcPr>
            <w:tcW w:w="3007" w:type="dxa"/>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_GB2312" w:eastAsia="仿宋_GB2312" w:cs="Times New Roman"/>
                <w:b/>
                <w:bCs/>
                <w:color w:val="000000"/>
                <w:sz w:val="24"/>
                <w:szCs w:val="24"/>
                <w:highlight w:val="none"/>
                <w:lang w:val="en-US" w:eastAsia="zh-CN"/>
              </w:rPr>
            </w:pPr>
            <w:r>
              <w:rPr>
                <w:rFonts w:hint="eastAsia" w:ascii="宋体" w:hAnsi="宋体" w:eastAsia="宋体" w:cs="宋体"/>
                <w:i w:val="0"/>
                <w:iCs w:val="0"/>
                <w:color w:val="000000"/>
                <w:kern w:val="0"/>
                <w:sz w:val="22"/>
                <w:szCs w:val="22"/>
                <w:highlight w:val="none"/>
                <w:u w:val="none"/>
                <w:lang w:val="en-US" w:eastAsia="zh-CN" w:bidi="ar"/>
              </w:rPr>
              <w:t>水土保持验收费</w:t>
            </w:r>
          </w:p>
        </w:tc>
        <w:tc>
          <w:tcPr>
            <w:tcW w:w="3633" w:type="dxa"/>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jc w:val="center"/>
              <w:textAlignment w:val="center"/>
              <w:rPr>
                <w:rFonts w:hint="default" w:ascii="仿宋_GB2312" w:hAnsi="宋体" w:eastAsia="仿宋_GB2312" w:cs="仿宋_GB2312"/>
                <w:b/>
                <w:bCs/>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河北胚淼工程技术有限公司</w:t>
            </w:r>
          </w:p>
        </w:tc>
        <w:tc>
          <w:tcPr>
            <w:tcW w:w="2345" w:type="dxa"/>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3.00</w:t>
            </w:r>
          </w:p>
        </w:tc>
      </w:tr>
      <w:tr>
        <w:tblPrEx>
          <w:tblCellMar>
            <w:top w:w="0" w:type="dxa"/>
            <w:left w:w="108" w:type="dxa"/>
            <w:bottom w:w="0" w:type="dxa"/>
            <w:right w:w="108" w:type="dxa"/>
          </w:tblCellMar>
        </w:tblPrEx>
        <w:trPr>
          <w:trHeight w:val="686" w:hRule="atLeast"/>
        </w:trPr>
        <w:tc>
          <w:tcPr>
            <w:tcW w:w="800" w:type="dxa"/>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_GB2312" w:eastAsia="仿宋_GB2312" w:cs="Times New Roman"/>
                <w:b/>
                <w:bCs/>
                <w:color w:val="000000"/>
                <w:sz w:val="24"/>
                <w:szCs w:val="24"/>
                <w:highlight w:val="none"/>
              </w:rPr>
            </w:pPr>
            <w:r>
              <w:rPr>
                <w:rFonts w:hint="eastAsia" w:ascii="宋体" w:hAnsi="宋体" w:eastAsia="宋体" w:cs="宋体"/>
                <w:b/>
                <w:bCs/>
                <w:i w:val="0"/>
                <w:iCs w:val="0"/>
                <w:color w:val="000000"/>
                <w:kern w:val="0"/>
                <w:sz w:val="22"/>
                <w:szCs w:val="22"/>
                <w:highlight w:val="none"/>
                <w:u w:val="none"/>
                <w:lang w:val="en-US" w:eastAsia="zh-CN" w:bidi="ar"/>
              </w:rPr>
              <w:t>14</w:t>
            </w:r>
          </w:p>
        </w:tc>
        <w:tc>
          <w:tcPr>
            <w:tcW w:w="3007" w:type="dxa"/>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_GB2312" w:eastAsia="仿宋_GB2312" w:cs="Times New Roman"/>
                <w:b/>
                <w:bCs/>
                <w:color w:val="000000"/>
                <w:sz w:val="24"/>
                <w:szCs w:val="24"/>
                <w:highlight w:val="none"/>
                <w:lang w:val="en-US" w:eastAsia="zh-CN"/>
              </w:rPr>
            </w:pPr>
            <w:r>
              <w:rPr>
                <w:rFonts w:hint="eastAsia" w:ascii="宋体" w:hAnsi="宋体" w:eastAsia="宋体" w:cs="宋体"/>
                <w:i w:val="0"/>
                <w:iCs w:val="0"/>
                <w:color w:val="000000"/>
                <w:kern w:val="0"/>
                <w:sz w:val="22"/>
                <w:szCs w:val="22"/>
                <w:highlight w:val="none"/>
                <w:u w:val="none"/>
                <w:lang w:val="en-US" w:eastAsia="zh-CN" w:bidi="ar"/>
              </w:rPr>
              <w:t>跟踪审计费</w:t>
            </w:r>
          </w:p>
        </w:tc>
        <w:tc>
          <w:tcPr>
            <w:tcW w:w="3633" w:type="dxa"/>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jc w:val="center"/>
              <w:textAlignment w:val="center"/>
              <w:rPr>
                <w:rFonts w:hint="default" w:ascii="仿宋_GB2312" w:hAnsi="宋体" w:eastAsia="仿宋_GB2312" w:cs="仿宋_GB2312"/>
                <w:b/>
                <w:bCs/>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河北同誉工程项目管理有限公司</w:t>
            </w:r>
          </w:p>
        </w:tc>
        <w:tc>
          <w:tcPr>
            <w:tcW w:w="2345" w:type="dxa"/>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20.65</w:t>
            </w:r>
          </w:p>
        </w:tc>
      </w:tr>
      <w:tr>
        <w:tblPrEx>
          <w:tblCellMar>
            <w:top w:w="0" w:type="dxa"/>
            <w:left w:w="108" w:type="dxa"/>
            <w:bottom w:w="0" w:type="dxa"/>
            <w:right w:w="108" w:type="dxa"/>
          </w:tblCellMar>
        </w:tblPrEx>
        <w:trPr>
          <w:trHeight w:val="686" w:hRule="atLeast"/>
        </w:trPr>
        <w:tc>
          <w:tcPr>
            <w:tcW w:w="800" w:type="dxa"/>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_GB2312" w:eastAsia="仿宋_GB2312" w:cs="Times New Roman"/>
                <w:b/>
                <w:bCs/>
                <w:color w:val="000000"/>
                <w:sz w:val="24"/>
                <w:szCs w:val="24"/>
                <w:highlight w:val="none"/>
              </w:rPr>
            </w:pPr>
            <w:r>
              <w:rPr>
                <w:rFonts w:hint="eastAsia" w:ascii="宋体" w:hAnsi="宋体" w:eastAsia="宋体" w:cs="宋体"/>
                <w:b/>
                <w:bCs/>
                <w:i w:val="0"/>
                <w:iCs w:val="0"/>
                <w:color w:val="000000"/>
                <w:kern w:val="0"/>
                <w:sz w:val="22"/>
                <w:szCs w:val="22"/>
                <w:highlight w:val="none"/>
                <w:u w:val="none"/>
                <w:lang w:val="en-US" w:eastAsia="zh-CN" w:bidi="ar"/>
              </w:rPr>
              <w:t>15</w:t>
            </w:r>
          </w:p>
        </w:tc>
        <w:tc>
          <w:tcPr>
            <w:tcW w:w="3007" w:type="dxa"/>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_GB2312" w:eastAsia="仿宋_GB2312" w:cs="Times New Roman"/>
                <w:b/>
                <w:bCs/>
                <w:color w:val="000000"/>
                <w:sz w:val="24"/>
                <w:szCs w:val="24"/>
                <w:highlight w:val="none"/>
                <w:lang w:val="en-US" w:eastAsia="zh-CN"/>
              </w:rPr>
            </w:pPr>
            <w:r>
              <w:rPr>
                <w:rFonts w:hint="eastAsia" w:ascii="宋体" w:hAnsi="宋体" w:eastAsia="宋体" w:cs="宋体"/>
                <w:i w:val="0"/>
                <w:iCs w:val="0"/>
                <w:color w:val="000000"/>
                <w:kern w:val="0"/>
                <w:sz w:val="22"/>
                <w:szCs w:val="22"/>
                <w:highlight w:val="none"/>
                <w:u w:val="none"/>
                <w:lang w:val="en-US" w:eastAsia="zh-CN" w:bidi="ar"/>
              </w:rPr>
              <w:t>社会稳定分析费</w:t>
            </w:r>
          </w:p>
        </w:tc>
        <w:tc>
          <w:tcPr>
            <w:tcW w:w="3633" w:type="dxa"/>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jc w:val="center"/>
              <w:textAlignment w:val="center"/>
              <w:rPr>
                <w:rFonts w:hint="default" w:ascii="仿宋_GB2312" w:hAnsi="宋体" w:eastAsia="仿宋_GB2312" w:cs="仿宋_GB2312"/>
                <w:b/>
                <w:bCs/>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河北康瑞工程咨询有限公司</w:t>
            </w:r>
          </w:p>
        </w:tc>
        <w:tc>
          <w:tcPr>
            <w:tcW w:w="2345" w:type="dxa"/>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6.00</w:t>
            </w:r>
          </w:p>
        </w:tc>
      </w:tr>
      <w:tr>
        <w:tblPrEx>
          <w:tblCellMar>
            <w:top w:w="0" w:type="dxa"/>
            <w:left w:w="108" w:type="dxa"/>
            <w:bottom w:w="0" w:type="dxa"/>
            <w:right w:w="108" w:type="dxa"/>
          </w:tblCellMar>
        </w:tblPrEx>
        <w:trPr>
          <w:trHeight w:val="686" w:hRule="atLeast"/>
        </w:trPr>
        <w:tc>
          <w:tcPr>
            <w:tcW w:w="800" w:type="dxa"/>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_GB2312" w:eastAsia="仿宋_GB2312" w:cs="Times New Roman"/>
                <w:b/>
                <w:bCs/>
                <w:color w:val="000000"/>
                <w:sz w:val="24"/>
                <w:szCs w:val="24"/>
                <w:highlight w:val="none"/>
              </w:rPr>
            </w:pPr>
            <w:r>
              <w:rPr>
                <w:rFonts w:hint="eastAsia" w:ascii="宋体" w:hAnsi="宋体" w:eastAsia="宋体" w:cs="宋体"/>
                <w:b/>
                <w:bCs/>
                <w:i w:val="0"/>
                <w:iCs w:val="0"/>
                <w:color w:val="000000"/>
                <w:kern w:val="0"/>
                <w:sz w:val="22"/>
                <w:szCs w:val="22"/>
                <w:highlight w:val="none"/>
                <w:u w:val="none"/>
                <w:lang w:val="en-US" w:eastAsia="zh-CN" w:bidi="ar"/>
              </w:rPr>
              <w:t>16</w:t>
            </w:r>
          </w:p>
        </w:tc>
        <w:tc>
          <w:tcPr>
            <w:tcW w:w="3007" w:type="dxa"/>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_GB2312" w:eastAsia="仿宋_GB2312" w:cs="Times New Roman"/>
                <w:b/>
                <w:bCs/>
                <w:color w:val="000000"/>
                <w:sz w:val="24"/>
                <w:szCs w:val="24"/>
                <w:highlight w:val="none"/>
                <w:lang w:val="en-US" w:eastAsia="zh-CN"/>
              </w:rPr>
            </w:pPr>
            <w:r>
              <w:rPr>
                <w:rFonts w:hint="eastAsia" w:ascii="宋体" w:hAnsi="宋体" w:eastAsia="宋体" w:cs="宋体"/>
                <w:i w:val="0"/>
                <w:iCs w:val="0"/>
                <w:color w:val="000000"/>
                <w:kern w:val="0"/>
                <w:sz w:val="22"/>
                <w:szCs w:val="22"/>
                <w:highlight w:val="none"/>
                <w:u w:val="none"/>
                <w:lang w:val="en-US" w:eastAsia="zh-CN" w:bidi="ar"/>
              </w:rPr>
              <w:t>森林植被恢复费</w:t>
            </w:r>
          </w:p>
        </w:tc>
        <w:tc>
          <w:tcPr>
            <w:tcW w:w="3633" w:type="dxa"/>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jc w:val="center"/>
              <w:textAlignment w:val="center"/>
              <w:rPr>
                <w:rFonts w:hint="default" w:ascii="仿宋_GB2312" w:hAnsi="宋体" w:eastAsia="仿宋_GB2312" w:cs="仿宋_GB2312"/>
                <w:b/>
                <w:bCs/>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曲阳县非税收入管理服务所</w:t>
            </w:r>
          </w:p>
        </w:tc>
        <w:tc>
          <w:tcPr>
            <w:tcW w:w="2345" w:type="dxa"/>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highlight w:val="none"/>
                <w:u w:val="none"/>
                <w:lang w:val="en-US" w:eastAsia="zh-CN" w:bidi="ar-SA"/>
              </w:rPr>
            </w:pPr>
            <w:r>
              <w:rPr>
                <w:rFonts w:hint="eastAsia" w:ascii="宋体" w:hAnsi="宋体" w:eastAsia="宋体" w:cs="宋体"/>
                <w:i w:val="0"/>
                <w:iCs w:val="0"/>
                <w:color w:val="000000"/>
                <w:kern w:val="0"/>
                <w:sz w:val="22"/>
                <w:szCs w:val="22"/>
                <w:highlight w:val="none"/>
                <w:u w:val="none"/>
                <w:lang w:val="en-US" w:eastAsia="zh-CN" w:bidi="ar"/>
              </w:rPr>
              <w:t>29.7021</w:t>
            </w:r>
          </w:p>
        </w:tc>
      </w:tr>
      <w:tr>
        <w:tblPrEx>
          <w:tblCellMar>
            <w:top w:w="0" w:type="dxa"/>
            <w:left w:w="108" w:type="dxa"/>
            <w:bottom w:w="0" w:type="dxa"/>
            <w:right w:w="108" w:type="dxa"/>
          </w:tblCellMar>
        </w:tblPrEx>
        <w:trPr>
          <w:trHeight w:val="686" w:hRule="atLeast"/>
        </w:trPr>
        <w:tc>
          <w:tcPr>
            <w:tcW w:w="800" w:type="dxa"/>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_GB2312" w:eastAsia="仿宋_GB2312" w:cs="Times New Roman"/>
                <w:b/>
                <w:bCs/>
                <w:color w:val="000000"/>
                <w:sz w:val="24"/>
                <w:szCs w:val="24"/>
                <w:highlight w:val="none"/>
              </w:rPr>
            </w:pPr>
            <w:r>
              <w:rPr>
                <w:rFonts w:hint="eastAsia" w:ascii="宋体" w:hAnsi="宋体" w:eastAsia="宋体" w:cs="宋体"/>
                <w:b/>
                <w:bCs/>
                <w:i w:val="0"/>
                <w:iCs w:val="0"/>
                <w:color w:val="000000"/>
                <w:kern w:val="0"/>
                <w:sz w:val="22"/>
                <w:szCs w:val="22"/>
                <w:highlight w:val="none"/>
                <w:u w:val="none"/>
                <w:lang w:val="en-US" w:eastAsia="zh-CN" w:bidi="ar"/>
              </w:rPr>
              <w:t>17</w:t>
            </w:r>
          </w:p>
        </w:tc>
        <w:tc>
          <w:tcPr>
            <w:tcW w:w="3007" w:type="dxa"/>
            <w:vMerge w:val="restart"/>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_GB2312" w:eastAsia="仿宋_GB2312" w:cs="Times New Roman"/>
                <w:b/>
                <w:bCs/>
                <w:color w:val="000000"/>
                <w:sz w:val="24"/>
                <w:szCs w:val="24"/>
                <w:highlight w:val="none"/>
                <w:lang w:val="en-US" w:eastAsia="zh-CN"/>
              </w:rPr>
            </w:pPr>
            <w:r>
              <w:rPr>
                <w:rFonts w:hint="eastAsia" w:ascii="宋体" w:hAnsi="宋体" w:eastAsia="宋体" w:cs="宋体"/>
                <w:i w:val="0"/>
                <w:iCs w:val="0"/>
                <w:color w:val="000000"/>
                <w:kern w:val="0"/>
                <w:sz w:val="22"/>
                <w:szCs w:val="22"/>
                <w:highlight w:val="none"/>
                <w:u w:val="none"/>
                <w:lang w:val="en-US" w:eastAsia="zh-CN" w:bidi="ar"/>
              </w:rPr>
              <w:t>一案两书费</w:t>
            </w:r>
          </w:p>
        </w:tc>
        <w:tc>
          <w:tcPr>
            <w:tcW w:w="3633" w:type="dxa"/>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jc w:val="center"/>
              <w:textAlignment w:val="center"/>
              <w:rPr>
                <w:rFonts w:hint="default" w:ascii="仿宋_GB2312" w:hAnsi="宋体" w:eastAsia="仿宋_GB2312" w:cs="仿宋_GB2312"/>
                <w:b/>
                <w:bCs/>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河北云旗会计师事务所</w:t>
            </w:r>
          </w:p>
        </w:tc>
        <w:tc>
          <w:tcPr>
            <w:tcW w:w="2345" w:type="dxa"/>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10.00</w:t>
            </w:r>
          </w:p>
        </w:tc>
      </w:tr>
      <w:tr>
        <w:tblPrEx>
          <w:tblCellMar>
            <w:top w:w="0" w:type="dxa"/>
            <w:left w:w="108" w:type="dxa"/>
            <w:bottom w:w="0" w:type="dxa"/>
            <w:right w:w="108" w:type="dxa"/>
          </w:tblCellMar>
        </w:tblPrEx>
        <w:trPr>
          <w:trHeight w:val="686" w:hRule="atLeast"/>
        </w:trPr>
        <w:tc>
          <w:tcPr>
            <w:tcW w:w="800" w:type="dxa"/>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_GB2312" w:eastAsia="仿宋_GB2312" w:cs="Times New Roman"/>
                <w:b/>
                <w:bCs/>
                <w:color w:val="000000"/>
                <w:sz w:val="24"/>
                <w:szCs w:val="24"/>
                <w:highlight w:val="none"/>
              </w:rPr>
            </w:pPr>
            <w:r>
              <w:rPr>
                <w:rFonts w:hint="eastAsia" w:ascii="宋体" w:hAnsi="宋体" w:eastAsia="宋体" w:cs="宋体"/>
                <w:b/>
                <w:bCs/>
                <w:i w:val="0"/>
                <w:iCs w:val="0"/>
                <w:color w:val="000000"/>
                <w:kern w:val="0"/>
                <w:sz w:val="22"/>
                <w:szCs w:val="22"/>
                <w:highlight w:val="none"/>
                <w:u w:val="none"/>
                <w:lang w:val="en-US" w:eastAsia="zh-CN" w:bidi="ar"/>
              </w:rPr>
              <w:t>18</w:t>
            </w:r>
          </w:p>
        </w:tc>
        <w:tc>
          <w:tcPr>
            <w:tcW w:w="3007" w:type="dxa"/>
            <w:vMerge w:val="continue"/>
            <w:tcBorders>
              <w:top w:val="single" w:color="auto" w:sz="4" w:space="0"/>
              <w:left w:val="single" w:color="auto" w:sz="4" w:space="0"/>
              <w:bottom w:val="single" w:color="auto" w:sz="4" w:space="0"/>
              <w:right w:val="single" w:color="auto" w:sz="4" w:space="0"/>
            </w:tcBorders>
            <w:noWrap/>
            <w:vAlign w:val="center"/>
          </w:tcPr>
          <w:p>
            <w:pPr>
              <w:jc w:val="center"/>
              <w:rPr>
                <w:rFonts w:hint="eastAsia" w:ascii="仿宋_GB2312" w:eastAsia="仿宋_GB2312" w:cs="Times New Roman"/>
                <w:b/>
                <w:bCs/>
                <w:color w:val="000000"/>
                <w:sz w:val="24"/>
                <w:szCs w:val="24"/>
                <w:highlight w:val="none"/>
                <w:lang w:val="en-US" w:eastAsia="zh-CN"/>
              </w:rPr>
            </w:pPr>
          </w:p>
        </w:tc>
        <w:tc>
          <w:tcPr>
            <w:tcW w:w="3633" w:type="dxa"/>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jc w:val="center"/>
              <w:textAlignment w:val="center"/>
              <w:rPr>
                <w:rFonts w:hint="default" w:ascii="仿宋_GB2312" w:hAnsi="宋体" w:eastAsia="仿宋_GB2312" w:cs="仿宋_GB2312"/>
                <w:b/>
                <w:bCs/>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河北天纵律师事务所</w:t>
            </w:r>
          </w:p>
        </w:tc>
        <w:tc>
          <w:tcPr>
            <w:tcW w:w="2345" w:type="dxa"/>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5.00</w:t>
            </w:r>
          </w:p>
        </w:tc>
      </w:tr>
      <w:tr>
        <w:tblPrEx>
          <w:tblCellMar>
            <w:top w:w="0" w:type="dxa"/>
            <w:left w:w="108" w:type="dxa"/>
            <w:bottom w:w="0" w:type="dxa"/>
            <w:right w:w="108" w:type="dxa"/>
          </w:tblCellMar>
        </w:tblPrEx>
        <w:trPr>
          <w:trHeight w:val="686" w:hRule="atLeast"/>
        </w:trPr>
        <w:tc>
          <w:tcPr>
            <w:tcW w:w="800" w:type="dxa"/>
            <w:tcBorders>
              <w:top w:val="single" w:color="auto" w:sz="4" w:space="0"/>
              <w:left w:val="single" w:color="auto" w:sz="4" w:space="0"/>
              <w:bottom w:val="single" w:color="auto" w:sz="4" w:space="0"/>
              <w:right w:val="single" w:color="auto" w:sz="4" w:space="0"/>
            </w:tcBorders>
            <w:noWrap/>
            <w:vAlign w:val="center"/>
          </w:tcPr>
          <w:p>
            <w:pPr>
              <w:rPr>
                <w:rFonts w:hint="eastAsia" w:ascii="仿宋_GB2312" w:eastAsia="仿宋_GB2312" w:cs="Times New Roman"/>
                <w:b w:val="0"/>
                <w:bCs w:val="0"/>
                <w:color w:val="000000"/>
                <w:sz w:val="24"/>
                <w:szCs w:val="24"/>
                <w:highlight w:val="none"/>
              </w:rPr>
            </w:pPr>
          </w:p>
        </w:tc>
        <w:tc>
          <w:tcPr>
            <w:tcW w:w="3007" w:type="dxa"/>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_GB2312" w:hAnsi="Times New Roman" w:eastAsia="仿宋_GB2312" w:cs="Times New Roman"/>
                <w:b/>
                <w:bCs/>
                <w:color w:val="000000"/>
                <w:kern w:val="2"/>
                <w:sz w:val="24"/>
                <w:szCs w:val="24"/>
                <w:highlight w:val="none"/>
                <w:lang w:val="en-US" w:eastAsia="zh-CN" w:bidi="ar-SA"/>
              </w:rPr>
            </w:pPr>
            <w:r>
              <w:rPr>
                <w:rFonts w:hint="eastAsia" w:ascii="仿宋_GB2312" w:eastAsia="仿宋_GB2312" w:cs="Times New Roman"/>
                <w:b/>
                <w:bCs/>
                <w:color w:val="000000"/>
                <w:sz w:val="24"/>
                <w:szCs w:val="24"/>
                <w:highlight w:val="none"/>
                <w:lang w:val="en-US" w:eastAsia="zh-CN"/>
              </w:rPr>
              <w:t>合计</w:t>
            </w:r>
          </w:p>
        </w:tc>
        <w:tc>
          <w:tcPr>
            <w:tcW w:w="3633" w:type="dxa"/>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jc w:val="center"/>
              <w:textAlignment w:val="center"/>
              <w:rPr>
                <w:rFonts w:hint="default" w:ascii="仿宋_GB2312" w:hAnsi="宋体" w:eastAsia="仿宋_GB2312" w:cs="仿宋_GB2312"/>
                <w:b/>
                <w:bCs/>
                <w:i w:val="0"/>
                <w:iCs w:val="0"/>
                <w:color w:val="000000"/>
                <w:kern w:val="0"/>
                <w:sz w:val="24"/>
                <w:szCs w:val="24"/>
                <w:highlight w:val="none"/>
                <w:u w:val="none"/>
                <w:lang w:val="en-US" w:eastAsia="zh-CN" w:bidi="ar"/>
              </w:rPr>
            </w:pPr>
          </w:p>
        </w:tc>
        <w:tc>
          <w:tcPr>
            <w:tcW w:w="2345" w:type="dxa"/>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kern w:val="0"/>
                <w:sz w:val="24"/>
                <w:szCs w:val="24"/>
                <w:highlight w:val="none"/>
                <w:u w:val="none"/>
                <w:lang w:val="en-US" w:eastAsia="zh-CN" w:bidi="ar"/>
              </w:rPr>
            </w:pPr>
            <w:r>
              <w:rPr>
                <w:rFonts w:hint="eastAsia" w:ascii="仿宋_GB2312" w:hAnsi="宋体" w:eastAsia="仿宋_GB2312" w:cs="仿宋_GB2312"/>
                <w:b/>
                <w:bCs/>
                <w:i w:val="0"/>
                <w:iCs w:val="0"/>
                <w:color w:val="000000"/>
                <w:kern w:val="0"/>
                <w:sz w:val="24"/>
                <w:szCs w:val="24"/>
                <w:highlight w:val="none"/>
                <w:u w:val="none"/>
                <w:lang w:val="en-US" w:eastAsia="zh-CN" w:bidi="ar"/>
              </w:rPr>
              <w:t>20044.7021</w:t>
            </w:r>
          </w:p>
        </w:tc>
      </w:tr>
    </w:tbl>
    <w:p>
      <w:pPr>
        <w:pStyle w:val="2"/>
        <w:rPr>
          <w:rFonts w:hint="eastAsia"/>
          <w:highlight w:val="none"/>
          <w:lang w:val="en-US" w:eastAsia="zh-CN"/>
        </w:rPr>
      </w:pP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根据曲阳县人民政府《关于2022年政府专项债券限额使用及项目安排的报告》〔2022〕曲府151号文件显示，安排曲阳县孟良河综合治理工程项目专项债券资金3000.00万元，预算下达到曲阳县水利局，并由曲阳县水利局进行集中支付。</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2022年度，该项目共计收到专项债券资金3000.00万元，实际支出3000.00万元,全部为工程款。收支明细详见下表：</w:t>
      </w:r>
    </w:p>
    <w:p>
      <w:pPr>
        <w:pageBreakBefore w:val="0"/>
        <w:kinsoku/>
        <w:wordWrap/>
        <w:overflowPunct/>
        <w:topLinePunct w:val="0"/>
        <w:autoSpaceDE/>
        <w:autoSpaceDN/>
        <w:bidi w:val="0"/>
        <w:adjustRightInd/>
        <w:snapToGrid/>
        <w:spacing w:line="560" w:lineRule="exact"/>
        <w:jc w:val="center"/>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专项债券资金收支明细表</w:t>
      </w:r>
    </w:p>
    <w:p>
      <w:pPr>
        <w:pStyle w:val="35"/>
        <w:tabs>
          <w:tab w:val="left" w:pos="312"/>
        </w:tabs>
        <w:spacing w:line="560" w:lineRule="exact"/>
        <w:ind w:left="120" w:firstLine="440"/>
        <w:jc w:val="right"/>
        <w:rPr>
          <w:rFonts w:hint="eastAsia" w:ascii="仿宋" w:hAnsi="仿宋" w:eastAsia="仿宋" w:cs="仿宋"/>
          <w:sz w:val="24"/>
          <w:szCs w:val="24"/>
          <w:highlight w:val="none"/>
        </w:rPr>
      </w:pPr>
      <w:r>
        <w:rPr>
          <w:rFonts w:hint="eastAsia" w:ascii="仿宋" w:hAnsi="仿宋" w:eastAsia="仿宋" w:cs="仿宋"/>
          <w:bCs/>
          <w:kern w:val="0"/>
          <w:sz w:val="24"/>
          <w:szCs w:val="24"/>
          <w:highlight w:val="none"/>
        </w:rPr>
        <w:t>单位：万元</w:t>
      </w:r>
    </w:p>
    <w:tbl>
      <w:tblPr>
        <w:tblStyle w:val="18"/>
        <w:tblW w:w="9757" w:type="dxa"/>
        <w:tblInd w:w="12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79"/>
        <w:gridCol w:w="1736"/>
        <w:gridCol w:w="1905"/>
        <w:gridCol w:w="1306"/>
        <w:gridCol w:w="1623"/>
        <w:gridCol w:w="18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5020" w:type="dxa"/>
            <w:gridSpan w:val="3"/>
            <w:vAlign w:val="center"/>
          </w:tcPr>
          <w:p>
            <w:pPr>
              <w:keepNext w:val="0"/>
              <w:keepLines w:val="0"/>
              <w:widowControl/>
              <w:suppressLineNumbers w:val="0"/>
              <w:jc w:val="center"/>
              <w:textAlignment w:val="center"/>
              <w:rPr>
                <w:rFonts w:hint="eastAsia" w:ascii="仿宋" w:hAnsi="仿宋" w:eastAsia="仿宋" w:cs="仿宋"/>
                <w:kern w:val="0"/>
                <w:sz w:val="22"/>
                <w:szCs w:val="22"/>
                <w:highlight w:val="none"/>
              </w:rPr>
            </w:pPr>
            <w:r>
              <w:rPr>
                <w:rFonts w:hint="eastAsia" w:ascii="仿宋" w:hAnsi="仿宋" w:eastAsia="仿宋" w:cs="仿宋"/>
                <w:b/>
                <w:bCs/>
                <w:i w:val="0"/>
                <w:iCs w:val="0"/>
                <w:color w:val="000000"/>
                <w:kern w:val="0"/>
                <w:sz w:val="22"/>
                <w:szCs w:val="22"/>
                <w:highlight w:val="none"/>
                <w:u w:val="none"/>
                <w:lang w:val="en-US" w:eastAsia="zh-CN" w:bidi="ar"/>
              </w:rPr>
              <w:t>收入</w:t>
            </w:r>
          </w:p>
        </w:tc>
        <w:tc>
          <w:tcPr>
            <w:tcW w:w="4737" w:type="dxa"/>
            <w:gridSpan w:val="3"/>
            <w:vAlign w:val="center"/>
          </w:tcPr>
          <w:p>
            <w:pPr>
              <w:keepNext w:val="0"/>
              <w:keepLines w:val="0"/>
              <w:widowControl/>
              <w:suppressLineNumbers w:val="0"/>
              <w:jc w:val="center"/>
              <w:textAlignment w:val="center"/>
              <w:rPr>
                <w:rFonts w:hint="eastAsia" w:ascii="仿宋" w:hAnsi="仿宋" w:eastAsia="仿宋" w:cs="仿宋"/>
                <w:kern w:val="0"/>
                <w:sz w:val="22"/>
                <w:szCs w:val="22"/>
                <w:highlight w:val="none"/>
              </w:rPr>
            </w:pPr>
            <w:r>
              <w:rPr>
                <w:rFonts w:hint="eastAsia" w:ascii="仿宋" w:hAnsi="仿宋" w:eastAsia="仿宋" w:cs="仿宋"/>
                <w:b/>
                <w:bCs/>
                <w:i w:val="0"/>
                <w:iCs w:val="0"/>
                <w:color w:val="000000"/>
                <w:kern w:val="0"/>
                <w:sz w:val="22"/>
                <w:szCs w:val="22"/>
                <w:highlight w:val="none"/>
                <w:u w:val="none"/>
                <w:lang w:val="en-US" w:eastAsia="zh-CN" w:bidi="ar"/>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1379" w:type="dxa"/>
            <w:vAlign w:val="center"/>
          </w:tcPr>
          <w:p>
            <w:pPr>
              <w:keepNext w:val="0"/>
              <w:keepLines w:val="0"/>
              <w:widowControl/>
              <w:suppressLineNumbers w:val="0"/>
              <w:jc w:val="center"/>
              <w:textAlignment w:val="center"/>
              <w:rPr>
                <w:rFonts w:hint="eastAsia" w:ascii="仿宋" w:hAnsi="仿宋" w:eastAsia="仿宋" w:cs="仿宋"/>
                <w:kern w:val="0"/>
                <w:sz w:val="22"/>
                <w:szCs w:val="22"/>
                <w:highlight w:val="none"/>
              </w:rPr>
            </w:pPr>
            <w:r>
              <w:rPr>
                <w:rFonts w:hint="eastAsia" w:ascii="仿宋" w:hAnsi="仿宋" w:eastAsia="仿宋" w:cs="仿宋"/>
                <w:i w:val="0"/>
                <w:iCs w:val="0"/>
                <w:color w:val="000000"/>
                <w:kern w:val="0"/>
                <w:sz w:val="22"/>
                <w:szCs w:val="22"/>
                <w:highlight w:val="none"/>
                <w:u w:val="none"/>
                <w:lang w:val="en-US" w:eastAsia="zh-CN" w:bidi="ar"/>
              </w:rPr>
              <w:t>名称</w:t>
            </w:r>
          </w:p>
        </w:tc>
        <w:tc>
          <w:tcPr>
            <w:tcW w:w="1736" w:type="dxa"/>
            <w:vAlign w:val="center"/>
          </w:tcPr>
          <w:p>
            <w:pPr>
              <w:keepNext w:val="0"/>
              <w:keepLines w:val="0"/>
              <w:widowControl/>
              <w:suppressLineNumbers w:val="0"/>
              <w:jc w:val="center"/>
              <w:textAlignment w:val="center"/>
              <w:rPr>
                <w:rFonts w:hint="eastAsia" w:ascii="仿宋" w:hAnsi="仿宋" w:eastAsia="仿宋" w:cs="仿宋"/>
                <w:kern w:val="0"/>
                <w:sz w:val="22"/>
                <w:szCs w:val="22"/>
                <w:highlight w:val="none"/>
              </w:rPr>
            </w:pPr>
            <w:r>
              <w:rPr>
                <w:rFonts w:hint="eastAsia" w:ascii="仿宋" w:hAnsi="仿宋" w:eastAsia="仿宋" w:cs="仿宋"/>
                <w:i w:val="0"/>
                <w:iCs w:val="0"/>
                <w:color w:val="000000"/>
                <w:kern w:val="0"/>
                <w:sz w:val="22"/>
                <w:szCs w:val="22"/>
                <w:highlight w:val="none"/>
                <w:u w:val="none"/>
                <w:lang w:val="en-US" w:eastAsia="zh-CN" w:bidi="ar"/>
              </w:rPr>
              <w:t>日期</w:t>
            </w:r>
          </w:p>
        </w:tc>
        <w:tc>
          <w:tcPr>
            <w:tcW w:w="1905" w:type="dxa"/>
            <w:vAlign w:val="center"/>
          </w:tcPr>
          <w:p>
            <w:pPr>
              <w:keepNext w:val="0"/>
              <w:keepLines w:val="0"/>
              <w:widowControl/>
              <w:suppressLineNumbers w:val="0"/>
              <w:jc w:val="center"/>
              <w:textAlignment w:val="center"/>
              <w:rPr>
                <w:rFonts w:hint="eastAsia" w:ascii="仿宋" w:hAnsi="仿宋" w:eastAsia="仿宋" w:cs="仿宋"/>
                <w:kern w:val="0"/>
                <w:sz w:val="22"/>
                <w:szCs w:val="22"/>
                <w:highlight w:val="none"/>
              </w:rPr>
            </w:pPr>
            <w:r>
              <w:rPr>
                <w:rFonts w:hint="eastAsia" w:ascii="仿宋" w:hAnsi="仿宋" w:eastAsia="仿宋" w:cs="仿宋"/>
                <w:i w:val="0"/>
                <w:iCs w:val="0"/>
                <w:color w:val="000000"/>
                <w:kern w:val="0"/>
                <w:sz w:val="22"/>
                <w:szCs w:val="22"/>
                <w:highlight w:val="none"/>
                <w:u w:val="none"/>
                <w:lang w:val="en-US" w:eastAsia="zh-CN" w:bidi="ar"/>
              </w:rPr>
              <w:t>金额</w:t>
            </w:r>
          </w:p>
        </w:tc>
        <w:tc>
          <w:tcPr>
            <w:tcW w:w="1306" w:type="dxa"/>
            <w:vAlign w:val="center"/>
          </w:tcPr>
          <w:p>
            <w:pPr>
              <w:keepNext w:val="0"/>
              <w:keepLines w:val="0"/>
              <w:widowControl/>
              <w:suppressLineNumbers w:val="0"/>
              <w:jc w:val="center"/>
              <w:textAlignment w:val="center"/>
              <w:rPr>
                <w:rFonts w:hint="eastAsia" w:ascii="仿宋" w:hAnsi="仿宋" w:eastAsia="仿宋" w:cs="仿宋"/>
                <w:kern w:val="0"/>
                <w:sz w:val="22"/>
                <w:szCs w:val="22"/>
                <w:highlight w:val="none"/>
              </w:rPr>
            </w:pPr>
            <w:r>
              <w:rPr>
                <w:rFonts w:hint="eastAsia" w:ascii="仿宋" w:hAnsi="仿宋" w:eastAsia="仿宋" w:cs="仿宋"/>
                <w:i w:val="0"/>
                <w:iCs w:val="0"/>
                <w:color w:val="000000"/>
                <w:kern w:val="0"/>
                <w:sz w:val="22"/>
                <w:szCs w:val="22"/>
                <w:highlight w:val="none"/>
                <w:u w:val="none"/>
                <w:lang w:val="en-US" w:eastAsia="zh-CN" w:bidi="ar"/>
              </w:rPr>
              <w:t>名称</w:t>
            </w:r>
          </w:p>
        </w:tc>
        <w:tc>
          <w:tcPr>
            <w:tcW w:w="1623" w:type="dxa"/>
            <w:vAlign w:val="center"/>
          </w:tcPr>
          <w:p>
            <w:pPr>
              <w:keepNext w:val="0"/>
              <w:keepLines w:val="0"/>
              <w:widowControl/>
              <w:suppressLineNumbers w:val="0"/>
              <w:jc w:val="center"/>
              <w:textAlignment w:val="center"/>
              <w:rPr>
                <w:rFonts w:hint="eastAsia" w:ascii="仿宋" w:hAnsi="仿宋" w:eastAsia="仿宋" w:cs="仿宋"/>
                <w:kern w:val="0"/>
                <w:sz w:val="22"/>
                <w:szCs w:val="22"/>
                <w:highlight w:val="none"/>
              </w:rPr>
            </w:pPr>
            <w:r>
              <w:rPr>
                <w:rFonts w:hint="eastAsia" w:ascii="仿宋" w:hAnsi="仿宋" w:eastAsia="仿宋" w:cs="仿宋"/>
                <w:i w:val="0"/>
                <w:iCs w:val="0"/>
                <w:color w:val="000000"/>
                <w:kern w:val="0"/>
                <w:sz w:val="22"/>
                <w:szCs w:val="22"/>
                <w:highlight w:val="none"/>
                <w:u w:val="none"/>
                <w:lang w:val="en-US" w:eastAsia="zh-CN" w:bidi="ar"/>
              </w:rPr>
              <w:t>日期</w:t>
            </w:r>
          </w:p>
        </w:tc>
        <w:tc>
          <w:tcPr>
            <w:tcW w:w="1808" w:type="dxa"/>
            <w:vAlign w:val="center"/>
          </w:tcPr>
          <w:p>
            <w:pPr>
              <w:keepNext w:val="0"/>
              <w:keepLines w:val="0"/>
              <w:widowControl/>
              <w:suppressLineNumbers w:val="0"/>
              <w:jc w:val="center"/>
              <w:textAlignment w:val="center"/>
              <w:rPr>
                <w:rFonts w:hint="eastAsia" w:ascii="仿宋" w:hAnsi="仿宋" w:eastAsia="仿宋" w:cs="仿宋"/>
                <w:kern w:val="0"/>
                <w:sz w:val="22"/>
                <w:szCs w:val="22"/>
                <w:highlight w:val="none"/>
              </w:rPr>
            </w:pPr>
            <w:r>
              <w:rPr>
                <w:rFonts w:hint="eastAsia" w:ascii="仿宋" w:hAnsi="仿宋" w:eastAsia="仿宋" w:cs="仿宋"/>
                <w:i w:val="0"/>
                <w:iCs w:val="0"/>
                <w:color w:val="000000"/>
                <w:kern w:val="0"/>
                <w:sz w:val="22"/>
                <w:szCs w:val="22"/>
                <w:highlight w:val="none"/>
                <w:u w:val="none"/>
                <w:lang w:val="en-US" w:eastAsia="zh-CN" w:bidi="ar"/>
              </w:rPr>
              <w:t>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1379" w:type="dxa"/>
            <w:vAlign w:val="center"/>
          </w:tcPr>
          <w:p>
            <w:pPr>
              <w:keepNext w:val="0"/>
              <w:keepLines w:val="0"/>
              <w:widowControl/>
              <w:suppressLineNumbers w:val="0"/>
              <w:jc w:val="center"/>
              <w:textAlignment w:val="center"/>
              <w:rPr>
                <w:rFonts w:hint="default" w:ascii="仿宋" w:hAnsi="仿宋" w:eastAsia="仿宋" w:cs="仿宋"/>
                <w:kern w:val="0"/>
                <w:sz w:val="22"/>
                <w:szCs w:val="22"/>
                <w:highlight w:val="none"/>
                <w:lang w:val="en-US"/>
              </w:rPr>
            </w:pPr>
            <w:r>
              <w:rPr>
                <w:rFonts w:hint="eastAsia" w:ascii="仿宋" w:hAnsi="仿宋" w:eastAsia="仿宋" w:cs="仿宋"/>
                <w:i w:val="0"/>
                <w:iCs w:val="0"/>
                <w:color w:val="000000"/>
                <w:kern w:val="0"/>
                <w:sz w:val="22"/>
                <w:szCs w:val="22"/>
                <w:highlight w:val="none"/>
                <w:u w:val="none"/>
                <w:lang w:val="en-US" w:eastAsia="zh-CN" w:bidi="ar"/>
              </w:rPr>
              <w:t>专项债券资金</w:t>
            </w:r>
          </w:p>
        </w:tc>
        <w:tc>
          <w:tcPr>
            <w:tcW w:w="1736" w:type="dxa"/>
            <w:vAlign w:val="center"/>
          </w:tcPr>
          <w:p>
            <w:pPr>
              <w:keepNext w:val="0"/>
              <w:keepLines w:val="0"/>
              <w:widowControl/>
              <w:suppressLineNumbers w:val="0"/>
              <w:jc w:val="center"/>
              <w:textAlignment w:val="center"/>
              <w:rPr>
                <w:rFonts w:hint="default" w:ascii="仿宋" w:hAnsi="仿宋" w:eastAsia="仿宋" w:cs="仿宋"/>
                <w:kern w:val="0"/>
                <w:sz w:val="22"/>
                <w:szCs w:val="22"/>
                <w:highlight w:val="none"/>
                <w:lang w:val="en-US"/>
              </w:rPr>
            </w:pPr>
            <w:r>
              <w:rPr>
                <w:rFonts w:hint="eastAsia" w:ascii="仿宋" w:hAnsi="仿宋" w:eastAsia="仿宋" w:cs="仿宋"/>
                <w:i w:val="0"/>
                <w:iCs w:val="0"/>
                <w:color w:val="000000"/>
                <w:kern w:val="0"/>
                <w:sz w:val="22"/>
                <w:szCs w:val="22"/>
                <w:highlight w:val="none"/>
                <w:u w:val="none"/>
                <w:lang w:val="en-US" w:eastAsia="zh-CN" w:bidi="ar"/>
              </w:rPr>
              <w:t>2022.12.23</w:t>
            </w:r>
          </w:p>
        </w:tc>
        <w:tc>
          <w:tcPr>
            <w:tcW w:w="1905" w:type="dxa"/>
            <w:vAlign w:val="center"/>
          </w:tcPr>
          <w:p>
            <w:pPr>
              <w:keepNext w:val="0"/>
              <w:keepLines w:val="0"/>
              <w:widowControl/>
              <w:suppressLineNumbers w:val="0"/>
              <w:jc w:val="center"/>
              <w:textAlignment w:val="center"/>
              <w:rPr>
                <w:rFonts w:hint="default" w:ascii="仿宋" w:hAnsi="仿宋" w:eastAsia="仿宋" w:cs="仿宋"/>
                <w:kern w:val="0"/>
                <w:sz w:val="22"/>
                <w:szCs w:val="22"/>
                <w:highlight w:val="none"/>
                <w:lang w:val="en-US"/>
              </w:rPr>
            </w:pPr>
            <w:r>
              <w:rPr>
                <w:rFonts w:hint="eastAsia" w:ascii="仿宋" w:hAnsi="仿宋" w:eastAsia="仿宋" w:cs="仿宋"/>
                <w:i w:val="0"/>
                <w:iCs w:val="0"/>
                <w:color w:val="000000"/>
                <w:kern w:val="0"/>
                <w:sz w:val="22"/>
                <w:szCs w:val="22"/>
                <w:highlight w:val="none"/>
                <w:u w:val="none"/>
                <w:lang w:val="en-US" w:eastAsia="zh-CN" w:bidi="ar"/>
              </w:rPr>
              <w:t>3,000.00</w:t>
            </w:r>
          </w:p>
        </w:tc>
        <w:tc>
          <w:tcPr>
            <w:tcW w:w="1306" w:type="dxa"/>
            <w:vAlign w:val="center"/>
          </w:tcPr>
          <w:p>
            <w:pPr>
              <w:keepNext w:val="0"/>
              <w:keepLines w:val="0"/>
              <w:widowControl/>
              <w:suppressLineNumbers w:val="0"/>
              <w:jc w:val="center"/>
              <w:textAlignment w:val="center"/>
              <w:rPr>
                <w:rFonts w:hint="eastAsia" w:ascii="仿宋" w:hAnsi="仿宋" w:eastAsia="仿宋" w:cs="仿宋"/>
                <w:kern w:val="0"/>
                <w:sz w:val="22"/>
                <w:szCs w:val="22"/>
                <w:highlight w:val="none"/>
              </w:rPr>
            </w:pPr>
            <w:r>
              <w:rPr>
                <w:rFonts w:hint="eastAsia" w:ascii="仿宋" w:hAnsi="仿宋" w:eastAsia="仿宋" w:cs="仿宋"/>
                <w:i w:val="0"/>
                <w:iCs w:val="0"/>
                <w:color w:val="000000"/>
                <w:kern w:val="0"/>
                <w:sz w:val="22"/>
                <w:szCs w:val="22"/>
                <w:highlight w:val="none"/>
                <w:u w:val="none"/>
                <w:lang w:val="en-US" w:eastAsia="zh-CN" w:bidi="ar"/>
              </w:rPr>
              <w:t>工程款</w:t>
            </w:r>
          </w:p>
        </w:tc>
        <w:tc>
          <w:tcPr>
            <w:tcW w:w="1623" w:type="dxa"/>
            <w:vAlign w:val="center"/>
          </w:tcPr>
          <w:p>
            <w:pPr>
              <w:keepNext w:val="0"/>
              <w:keepLines w:val="0"/>
              <w:widowControl/>
              <w:suppressLineNumbers w:val="0"/>
              <w:jc w:val="center"/>
              <w:textAlignment w:val="center"/>
              <w:rPr>
                <w:rFonts w:hint="eastAsia" w:ascii="仿宋" w:hAnsi="仿宋" w:eastAsia="仿宋" w:cs="仿宋"/>
                <w:kern w:val="0"/>
                <w:sz w:val="22"/>
                <w:szCs w:val="22"/>
                <w:highlight w:val="none"/>
              </w:rPr>
            </w:pPr>
            <w:r>
              <w:rPr>
                <w:rFonts w:hint="eastAsia" w:ascii="仿宋" w:hAnsi="仿宋" w:eastAsia="仿宋" w:cs="仿宋"/>
                <w:i w:val="0"/>
                <w:iCs w:val="0"/>
                <w:color w:val="000000"/>
                <w:kern w:val="0"/>
                <w:sz w:val="22"/>
                <w:szCs w:val="22"/>
                <w:highlight w:val="none"/>
                <w:u w:val="none"/>
                <w:lang w:val="en-US" w:eastAsia="zh-CN" w:bidi="ar"/>
              </w:rPr>
              <w:t>2022.12.23</w:t>
            </w:r>
          </w:p>
        </w:tc>
        <w:tc>
          <w:tcPr>
            <w:tcW w:w="1808" w:type="dxa"/>
            <w:vAlign w:val="center"/>
          </w:tcPr>
          <w:p>
            <w:pPr>
              <w:keepNext w:val="0"/>
              <w:keepLines w:val="0"/>
              <w:widowControl/>
              <w:suppressLineNumbers w:val="0"/>
              <w:jc w:val="center"/>
              <w:textAlignment w:val="center"/>
              <w:rPr>
                <w:rFonts w:hint="eastAsia" w:ascii="仿宋" w:hAnsi="仿宋" w:eastAsia="仿宋" w:cs="仿宋"/>
                <w:kern w:val="0"/>
                <w:sz w:val="22"/>
                <w:szCs w:val="22"/>
                <w:highlight w:val="none"/>
              </w:rPr>
            </w:pPr>
            <w:r>
              <w:rPr>
                <w:rFonts w:hint="eastAsia" w:ascii="仿宋" w:hAnsi="仿宋" w:eastAsia="仿宋" w:cs="仿宋"/>
                <w:i w:val="0"/>
                <w:iCs w:val="0"/>
                <w:color w:val="000000"/>
                <w:kern w:val="0"/>
                <w:sz w:val="22"/>
                <w:szCs w:val="22"/>
                <w:highlight w:val="none"/>
                <w:u w:val="none"/>
                <w:lang w:val="en-US" w:eastAsia="zh-CN" w:bidi="ar"/>
              </w:rPr>
              <w:t>3,000.00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3115" w:type="dxa"/>
            <w:gridSpan w:val="2"/>
            <w:vAlign w:val="center"/>
          </w:tcPr>
          <w:p>
            <w:pPr>
              <w:keepNext w:val="0"/>
              <w:keepLines w:val="0"/>
              <w:widowControl/>
              <w:suppressLineNumbers w:val="0"/>
              <w:jc w:val="center"/>
              <w:textAlignment w:val="center"/>
              <w:rPr>
                <w:rFonts w:hint="eastAsia" w:ascii="仿宋_GB2312" w:hAnsi="Times New Roman" w:eastAsia="仿宋_GB2312" w:cs="Times New Roman"/>
                <w:b/>
                <w:bCs/>
                <w:color w:val="000000"/>
                <w:sz w:val="24"/>
                <w:szCs w:val="24"/>
                <w:highlight w:val="none"/>
                <w:lang w:val="en-US" w:eastAsia="zh-CN"/>
              </w:rPr>
            </w:pPr>
            <w:r>
              <w:rPr>
                <w:rFonts w:hint="eastAsia" w:ascii="仿宋_GB2312" w:hAnsi="Times New Roman" w:eastAsia="仿宋_GB2312" w:cs="Times New Roman"/>
                <w:b/>
                <w:bCs/>
                <w:color w:val="000000"/>
                <w:sz w:val="24"/>
                <w:szCs w:val="24"/>
                <w:highlight w:val="none"/>
                <w:lang w:val="en-US" w:eastAsia="zh-CN"/>
              </w:rPr>
              <w:t>合计</w:t>
            </w:r>
          </w:p>
        </w:tc>
        <w:tc>
          <w:tcPr>
            <w:tcW w:w="1905" w:type="dxa"/>
            <w:vAlign w:val="center"/>
          </w:tcPr>
          <w:p>
            <w:pPr>
              <w:keepNext w:val="0"/>
              <w:keepLines w:val="0"/>
              <w:widowControl/>
              <w:suppressLineNumbers w:val="0"/>
              <w:jc w:val="center"/>
              <w:textAlignment w:val="center"/>
              <w:rPr>
                <w:rFonts w:hint="eastAsia" w:ascii="仿宋_GB2312" w:hAnsi="Times New Roman" w:eastAsia="仿宋_GB2312" w:cs="Times New Roman"/>
                <w:b/>
                <w:bCs/>
                <w:color w:val="000000"/>
                <w:sz w:val="24"/>
                <w:szCs w:val="24"/>
                <w:highlight w:val="none"/>
                <w:lang w:val="en-US" w:eastAsia="zh-CN"/>
              </w:rPr>
            </w:pPr>
            <w:r>
              <w:rPr>
                <w:rFonts w:hint="eastAsia" w:ascii="仿宋_GB2312" w:hAnsi="Times New Roman" w:eastAsia="仿宋_GB2312" w:cs="Times New Roman"/>
                <w:b/>
                <w:bCs/>
                <w:color w:val="000000"/>
                <w:sz w:val="24"/>
                <w:szCs w:val="24"/>
                <w:highlight w:val="none"/>
                <w:lang w:val="en-US" w:eastAsia="zh-CN"/>
              </w:rPr>
              <w:t xml:space="preserve"> </w:t>
            </w:r>
            <w:r>
              <w:rPr>
                <w:rFonts w:hint="eastAsia" w:ascii="仿宋_GB2312" w:eastAsia="仿宋_GB2312" w:cs="Times New Roman"/>
                <w:b/>
                <w:bCs/>
                <w:color w:val="000000"/>
                <w:sz w:val="24"/>
                <w:szCs w:val="24"/>
                <w:highlight w:val="none"/>
                <w:lang w:val="en-US" w:eastAsia="zh-CN"/>
              </w:rPr>
              <w:t>3,000.00</w:t>
            </w:r>
          </w:p>
        </w:tc>
        <w:tc>
          <w:tcPr>
            <w:tcW w:w="2929" w:type="dxa"/>
            <w:gridSpan w:val="2"/>
            <w:vAlign w:val="center"/>
          </w:tcPr>
          <w:p>
            <w:pPr>
              <w:keepNext w:val="0"/>
              <w:keepLines w:val="0"/>
              <w:widowControl/>
              <w:suppressLineNumbers w:val="0"/>
              <w:jc w:val="center"/>
              <w:textAlignment w:val="center"/>
              <w:rPr>
                <w:rFonts w:hint="eastAsia" w:ascii="仿宋_GB2312" w:hAnsi="Times New Roman" w:eastAsia="仿宋_GB2312" w:cs="Times New Roman"/>
                <w:b/>
                <w:bCs/>
                <w:color w:val="000000"/>
                <w:sz w:val="24"/>
                <w:szCs w:val="24"/>
                <w:highlight w:val="none"/>
                <w:lang w:val="en-US" w:eastAsia="zh-CN"/>
              </w:rPr>
            </w:pPr>
            <w:r>
              <w:rPr>
                <w:rFonts w:hint="eastAsia" w:ascii="仿宋_GB2312" w:hAnsi="Times New Roman" w:eastAsia="仿宋_GB2312" w:cs="Times New Roman"/>
                <w:b/>
                <w:bCs/>
                <w:color w:val="000000"/>
                <w:sz w:val="24"/>
                <w:szCs w:val="24"/>
                <w:highlight w:val="none"/>
                <w:lang w:val="en-US" w:eastAsia="zh-CN"/>
              </w:rPr>
              <w:t>合计</w:t>
            </w:r>
          </w:p>
        </w:tc>
        <w:tc>
          <w:tcPr>
            <w:tcW w:w="1808" w:type="dxa"/>
            <w:vAlign w:val="center"/>
          </w:tcPr>
          <w:p>
            <w:pPr>
              <w:keepNext w:val="0"/>
              <w:keepLines w:val="0"/>
              <w:widowControl/>
              <w:suppressLineNumbers w:val="0"/>
              <w:jc w:val="center"/>
              <w:textAlignment w:val="center"/>
              <w:rPr>
                <w:rFonts w:hint="eastAsia" w:ascii="仿宋_GB2312" w:hAnsi="Times New Roman" w:eastAsia="仿宋_GB2312" w:cs="Times New Roman"/>
                <w:b/>
                <w:bCs/>
                <w:color w:val="000000"/>
                <w:sz w:val="24"/>
                <w:szCs w:val="24"/>
                <w:highlight w:val="none"/>
                <w:lang w:val="en-US" w:eastAsia="zh-CN"/>
              </w:rPr>
            </w:pPr>
            <w:r>
              <w:rPr>
                <w:rFonts w:hint="eastAsia" w:ascii="仿宋_GB2312" w:hAnsi="Times New Roman" w:eastAsia="仿宋_GB2312" w:cs="Times New Roman"/>
                <w:b/>
                <w:bCs/>
                <w:color w:val="000000"/>
                <w:sz w:val="24"/>
                <w:szCs w:val="24"/>
                <w:highlight w:val="none"/>
                <w:lang w:val="en-US" w:eastAsia="zh-CN"/>
              </w:rPr>
              <w:t xml:space="preserve"> </w:t>
            </w:r>
            <w:r>
              <w:rPr>
                <w:rFonts w:hint="eastAsia" w:ascii="仿宋_GB2312" w:eastAsia="仿宋_GB2312" w:cs="Times New Roman"/>
                <w:b/>
                <w:bCs/>
                <w:color w:val="000000"/>
                <w:sz w:val="24"/>
                <w:szCs w:val="24"/>
                <w:highlight w:val="none"/>
                <w:lang w:val="en-US" w:eastAsia="zh-CN"/>
              </w:rPr>
              <w:t>3,000.00</w:t>
            </w:r>
          </w:p>
        </w:tc>
      </w:tr>
    </w:tbl>
    <w:p>
      <w:pPr>
        <w:pStyle w:val="2"/>
        <w:ind w:left="0" w:leftChars="0" w:firstLine="0" w:firstLineChars="0"/>
        <w:rPr>
          <w:rFonts w:hint="eastAsia"/>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atLeast"/>
        <w:ind w:left="562" w:leftChars="0"/>
        <w:jc w:val="left"/>
        <w:textAlignment w:val="auto"/>
        <w:rPr>
          <w:rFonts w:hint="eastAsia" w:ascii="仿宋" w:hAnsi="仿宋" w:eastAsia="仿宋" w:cs="仿宋"/>
          <w:b/>
          <w:bCs/>
          <w:sz w:val="30"/>
          <w:szCs w:val="30"/>
          <w:highlight w:val="none"/>
          <w:lang w:val="en-US" w:eastAsia="zh-CN"/>
        </w:rPr>
      </w:pPr>
      <w:bookmarkStart w:id="18" w:name="_Toc83630320"/>
      <w:bookmarkStart w:id="19" w:name="_Toc14351"/>
      <w:bookmarkStart w:id="20" w:name="_Toc83631030"/>
      <w:bookmarkStart w:id="21" w:name="_Toc21592"/>
      <w:bookmarkStart w:id="22" w:name="_Toc18734"/>
      <w:bookmarkStart w:id="23" w:name="_Toc21403"/>
      <w:r>
        <w:rPr>
          <w:rFonts w:hint="eastAsia" w:ascii="仿宋" w:hAnsi="仿宋" w:eastAsia="仿宋" w:cs="仿宋"/>
          <w:b/>
          <w:bCs/>
          <w:sz w:val="30"/>
          <w:szCs w:val="30"/>
          <w:highlight w:val="none"/>
          <w:lang w:val="en-US" w:eastAsia="zh-CN"/>
        </w:rPr>
        <w:t>四、绩效评价工作开展情况</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（一）绩效评价目的</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为了进一步强化部门支出责任，提高部门绩效意识，优化资源配置，控制节约成本，切实提供项目资金管理水平和使用效益，及时掌握项目在执行过程中产生的效果和存在的不足，特别是在资金使用方面，将评价结果与当年预算安排挂钩，作为预算合法有效执行的重要保障，并作为完善政策、分配资金、改善管理的重要依据。</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绩效评价设计过程</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val="en-US" w:eastAsia="zh-CN"/>
        </w:rPr>
        <w:t>1</w:t>
      </w:r>
      <w:r>
        <w:rPr>
          <w:rFonts w:hint="eastAsia" w:ascii="仿宋" w:hAnsi="仿宋" w:eastAsia="仿宋" w:cs="仿宋"/>
          <w:sz w:val="30"/>
          <w:szCs w:val="30"/>
          <w:highlight w:val="none"/>
          <w:lang w:eastAsia="zh-CN"/>
        </w:rPr>
        <w:t>.收集资料</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工作组在项目实施单位收集、整理被评价项目基础资料及相关信息，对项目情况进行初步了解。</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val="en-US" w:eastAsia="zh-CN"/>
        </w:rPr>
        <w:t>2</w:t>
      </w:r>
      <w:r>
        <w:rPr>
          <w:rFonts w:hint="eastAsia" w:ascii="仿宋" w:hAnsi="仿宋" w:eastAsia="仿宋" w:cs="仿宋"/>
          <w:sz w:val="30"/>
          <w:szCs w:val="30"/>
          <w:highlight w:val="none"/>
          <w:lang w:eastAsia="zh-CN"/>
        </w:rPr>
        <w:t>.绩效评价具体实施</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我们通过查看项目相关政策文件，项目</w:t>
      </w:r>
      <w:r>
        <w:rPr>
          <w:rFonts w:hint="eastAsia" w:ascii="仿宋" w:hAnsi="仿宋" w:eastAsia="仿宋" w:cs="仿宋"/>
          <w:sz w:val="30"/>
          <w:szCs w:val="30"/>
          <w:highlight w:val="none"/>
          <w:lang w:val="en-US" w:eastAsia="zh-CN"/>
        </w:rPr>
        <w:t>的相关管理制度</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lang w:val="en-US" w:eastAsia="zh-CN"/>
        </w:rPr>
        <w:t>档案资料、</w:t>
      </w:r>
      <w:r>
        <w:rPr>
          <w:rFonts w:hint="eastAsia" w:ascii="仿宋" w:hAnsi="仿宋" w:eastAsia="仿宋" w:cs="仿宋"/>
          <w:sz w:val="30"/>
          <w:szCs w:val="30"/>
          <w:highlight w:val="none"/>
          <w:lang w:eastAsia="zh-CN"/>
        </w:rPr>
        <w:t>资金</w:t>
      </w:r>
      <w:r>
        <w:rPr>
          <w:rFonts w:hint="eastAsia" w:ascii="仿宋" w:hAnsi="仿宋" w:eastAsia="仿宋" w:cs="仿宋"/>
          <w:sz w:val="30"/>
          <w:szCs w:val="30"/>
          <w:highlight w:val="none"/>
          <w:lang w:val="en-US" w:eastAsia="zh-CN"/>
        </w:rPr>
        <w:t>收付明细账</w:t>
      </w:r>
      <w:r>
        <w:rPr>
          <w:rFonts w:hint="eastAsia" w:ascii="仿宋" w:hAnsi="仿宋" w:eastAsia="仿宋" w:cs="仿宋"/>
          <w:sz w:val="30"/>
          <w:szCs w:val="30"/>
          <w:highlight w:val="none"/>
          <w:lang w:eastAsia="zh-CN"/>
        </w:rPr>
        <w:t>等相关资料，评价项目实施的效果，并按照评价指标体系对相应事项进行分数评定。</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3.撰写绩效报告</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工作组根据现场核实、数据分析情况，撰写绩效</w:t>
      </w:r>
      <w:r>
        <w:rPr>
          <w:rFonts w:hint="eastAsia" w:ascii="仿宋" w:hAnsi="仿宋" w:eastAsia="仿宋" w:cs="仿宋"/>
          <w:sz w:val="30"/>
          <w:szCs w:val="30"/>
          <w:highlight w:val="none"/>
          <w:lang w:val="en-US" w:eastAsia="zh-CN"/>
        </w:rPr>
        <w:t>评价报告，</w:t>
      </w:r>
      <w:r>
        <w:rPr>
          <w:rFonts w:hint="eastAsia" w:ascii="仿宋" w:hAnsi="仿宋" w:eastAsia="仿宋" w:cs="仿宋"/>
          <w:sz w:val="30"/>
          <w:szCs w:val="30"/>
          <w:highlight w:val="none"/>
          <w:lang w:eastAsia="zh-CN"/>
        </w:rPr>
        <w:t>经过内部讨论、与项目实施单位交换沟通，形成绩效评价项目报告初稿。</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（三）绩效评价框架</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1.绩效评价原则</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（1）价值导向原则：财政支出绩效评价体系应能够反映财政支出的经济性、效益性、有效性原则，体现财政部门和项目主管部门的价值导向。</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（2）重要性原则：根据指标在整个指标体系的地位和作用进行筛选，选择最具代表性、最能反映评价要求的指标。</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（3）可比性原则：在相似项目之间有共同的指标，不同项目之间的衡量结果可以相互比较。</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（4）综合性原则：将定性指标和定量指标相结合，定性分析是定量分析的基础，定量分析是定性分析的深化，两者相结合系统反映财政支出所产生的社会效益。</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（5）经济性原则：指标的选取要考虑现实条件及可操作性，数据的获得应符合成本效益原则，在合理成本的基础上收集信息。</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2.绩效评价的评价方法</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本次评价采取定量和定性评价相结合、综合评价相结合的方式，运用审查法和现场查勘法开展绩效评价工作。</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（1）审查法：通过审查被评价单位的项目档案、项目</w:t>
      </w:r>
      <w:r>
        <w:rPr>
          <w:rFonts w:hint="eastAsia" w:ascii="仿宋" w:hAnsi="仿宋" w:eastAsia="仿宋" w:cs="仿宋"/>
          <w:sz w:val="30"/>
          <w:szCs w:val="30"/>
          <w:highlight w:val="none"/>
          <w:lang w:val="en-US" w:eastAsia="zh-CN"/>
        </w:rPr>
        <w:t>管理制度</w:t>
      </w:r>
      <w:r>
        <w:rPr>
          <w:rFonts w:hint="eastAsia" w:ascii="仿宋" w:hAnsi="仿宋" w:eastAsia="仿宋" w:cs="仿宋"/>
          <w:sz w:val="30"/>
          <w:szCs w:val="30"/>
          <w:highlight w:val="none"/>
          <w:lang w:eastAsia="zh-CN"/>
        </w:rPr>
        <w:t>、资金</w:t>
      </w:r>
      <w:r>
        <w:rPr>
          <w:rFonts w:hint="eastAsia" w:ascii="仿宋" w:hAnsi="仿宋" w:eastAsia="仿宋" w:cs="仿宋"/>
          <w:sz w:val="30"/>
          <w:szCs w:val="30"/>
          <w:highlight w:val="none"/>
          <w:lang w:val="en-US" w:eastAsia="zh-CN"/>
        </w:rPr>
        <w:t>支付凭证</w:t>
      </w:r>
      <w:r>
        <w:rPr>
          <w:rFonts w:hint="eastAsia" w:ascii="仿宋" w:hAnsi="仿宋" w:eastAsia="仿宋" w:cs="仿宋"/>
          <w:sz w:val="30"/>
          <w:szCs w:val="30"/>
          <w:highlight w:val="none"/>
          <w:lang w:eastAsia="zh-CN"/>
        </w:rPr>
        <w:t>、资金支付</w:t>
      </w:r>
      <w:r>
        <w:rPr>
          <w:rFonts w:hint="eastAsia" w:ascii="仿宋" w:hAnsi="仿宋" w:eastAsia="仿宋" w:cs="仿宋"/>
          <w:sz w:val="30"/>
          <w:szCs w:val="30"/>
          <w:highlight w:val="none"/>
          <w:lang w:val="en-US" w:eastAsia="zh-CN"/>
        </w:rPr>
        <w:t>明细账</w:t>
      </w:r>
      <w:r>
        <w:rPr>
          <w:rFonts w:hint="eastAsia" w:ascii="仿宋" w:hAnsi="仿宋" w:eastAsia="仿宋" w:cs="仿宋"/>
          <w:sz w:val="30"/>
          <w:szCs w:val="30"/>
          <w:highlight w:val="none"/>
          <w:lang w:eastAsia="zh-CN"/>
        </w:rPr>
        <w:t>等项目资料，分析资金支出的合理性和合规性。</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（2）现场查勘法：通过对项目的现场查勘，了解目标的实施情况，进而评价项目绩效目标的完成情况。</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3.绩效评价标准</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绩效评价标准：是指衡量财政支出绩效目标完成程度的尺度，绩效评价标准。具体包括：</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（1）计划标准：是指以预先制定的目标、计划、预算、标准等数据作为评价的标准。</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（2）行业标准：是指参照国家权威部门公布的行业指标数据制定的评价标准。</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（3）历史标准：是指参照同类指标的历史数据制定的评价标准。</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（4）其他标准：其他有参考价值的标准。</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4.绩效评价依据</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bookmarkStart w:id="24" w:name="_Toc16243"/>
      <w:bookmarkStart w:id="25" w:name="_Toc12911"/>
      <w:bookmarkStart w:id="26" w:name="_Toc5980"/>
      <w:r>
        <w:rPr>
          <w:rFonts w:hint="eastAsia" w:ascii="仿宋" w:hAnsi="仿宋" w:eastAsia="仿宋" w:cs="仿宋"/>
          <w:sz w:val="30"/>
          <w:szCs w:val="30"/>
          <w:highlight w:val="none"/>
        </w:rPr>
        <w:t>（1）《中华人民共和国预算法》(主席令第21号)；</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rPr>
        <w:t>（2）</w:t>
      </w:r>
      <w:r>
        <w:rPr>
          <w:rFonts w:hint="eastAsia" w:ascii="仿宋" w:hAnsi="仿宋" w:eastAsia="仿宋" w:cs="仿宋"/>
          <w:sz w:val="30"/>
          <w:szCs w:val="30"/>
          <w:highlight w:val="none"/>
          <w:lang w:val="en-US" w:eastAsia="zh-CN"/>
        </w:rPr>
        <w:t xml:space="preserve">《中共中央国务院关于全面实施预算绩效管理的意见》 </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rPr>
        <w:t>（</w:t>
      </w:r>
      <w:r>
        <w:rPr>
          <w:rFonts w:hint="eastAsia" w:ascii="仿宋" w:hAnsi="仿宋" w:eastAsia="仿宋" w:cs="仿宋"/>
          <w:sz w:val="30"/>
          <w:szCs w:val="30"/>
          <w:highlight w:val="none"/>
          <w:lang w:val="en-US" w:eastAsia="zh-CN"/>
        </w:rPr>
        <w:t>3</w:t>
      </w:r>
      <w:r>
        <w:rPr>
          <w:rFonts w:hint="eastAsia" w:ascii="仿宋" w:hAnsi="仿宋" w:eastAsia="仿宋" w:cs="仿宋"/>
          <w:sz w:val="30"/>
          <w:szCs w:val="30"/>
          <w:highlight w:val="none"/>
        </w:rPr>
        <w:t>）《关于印发〈财政支出绩效评价管理暂行办法〉的通知》（财预〔2011〕285号）；</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rPr>
      </w:pP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lang w:val="en-US" w:eastAsia="zh-CN"/>
        </w:rPr>
        <w:t>4</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rPr>
        <w:t>《河北省财政支出绩效评价管理办法》（冀财预〔2011〕68号）；</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rPr>
      </w:pPr>
      <w:r>
        <w:rPr>
          <w:rFonts w:hint="eastAsia" w:ascii="仿宋" w:hAnsi="仿宋" w:eastAsia="仿宋" w:cs="仿宋"/>
          <w:sz w:val="30"/>
          <w:szCs w:val="30"/>
          <w:highlight w:val="none"/>
        </w:rPr>
        <w:t>（</w:t>
      </w:r>
      <w:r>
        <w:rPr>
          <w:rFonts w:hint="eastAsia" w:ascii="仿宋" w:hAnsi="仿宋" w:eastAsia="仿宋" w:cs="仿宋"/>
          <w:sz w:val="30"/>
          <w:szCs w:val="30"/>
          <w:highlight w:val="none"/>
          <w:lang w:val="en-US" w:eastAsia="zh-CN"/>
        </w:rPr>
        <w:t>5</w:t>
      </w:r>
      <w:r>
        <w:rPr>
          <w:rFonts w:hint="eastAsia" w:ascii="仿宋" w:hAnsi="仿宋" w:eastAsia="仿宋" w:cs="仿宋"/>
          <w:sz w:val="30"/>
          <w:szCs w:val="30"/>
          <w:highlight w:val="none"/>
        </w:rPr>
        <w:t xml:space="preserve">）《关于印发&lt;预算绩效评价共性指标体系框架&gt;的通知》（财预〔2013〕53号）； </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rPr>
        <w:t>（</w:t>
      </w:r>
      <w:r>
        <w:rPr>
          <w:rFonts w:hint="eastAsia" w:ascii="仿宋" w:hAnsi="仿宋" w:eastAsia="仿宋" w:cs="仿宋"/>
          <w:sz w:val="30"/>
          <w:szCs w:val="30"/>
          <w:highlight w:val="none"/>
          <w:lang w:val="en-US" w:eastAsia="zh-CN"/>
        </w:rPr>
        <w:t>6</w:t>
      </w:r>
      <w:r>
        <w:rPr>
          <w:rFonts w:hint="eastAsia" w:ascii="仿宋" w:hAnsi="仿宋" w:eastAsia="仿宋" w:cs="仿宋"/>
          <w:sz w:val="30"/>
          <w:szCs w:val="30"/>
          <w:highlight w:val="none"/>
        </w:rPr>
        <w:t>）《河北省项目支出绩效指标框架体系》（冀财预[2016]</w:t>
      </w:r>
      <w:r>
        <w:rPr>
          <w:rFonts w:hint="eastAsia" w:ascii="仿宋" w:hAnsi="仿宋" w:eastAsia="仿宋" w:cs="仿宋"/>
          <w:sz w:val="30"/>
          <w:szCs w:val="30"/>
          <w:highlight w:val="none"/>
          <w:lang w:eastAsia="zh-CN"/>
        </w:rPr>
        <w:t>94</w:t>
      </w:r>
      <w:r>
        <w:rPr>
          <w:rFonts w:hint="eastAsia" w:ascii="仿宋" w:hAnsi="仿宋" w:eastAsia="仿宋" w:cs="仿宋"/>
          <w:sz w:val="30"/>
          <w:szCs w:val="30"/>
          <w:highlight w:val="none"/>
        </w:rPr>
        <w:t>号）；</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rPr>
        <w:t>（</w:t>
      </w:r>
      <w:r>
        <w:rPr>
          <w:rFonts w:hint="eastAsia" w:ascii="仿宋" w:hAnsi="仿宋" w:eastAsia="仿宋" w:cs="仿宋"/>
          <w:sz w:val="30"/>
          <w:szCs w:val="30"/>
          <w:highlight w:val="none"/>
          <w:lang w:val="en-US" w:eastAsia="zh-CN"/>
        </w:rPr>
        <w:t>7</w:t>
      </w:r>
      <w:r>
        <w:rPr>
          <w:rFonts w:hint="eastAsia" w:ascii="仿宋" w:hAnsi="仿宋" w:eastAsia="仿宋" w:cs="仿宋"/>
          <w:sz w:val="30"/>
          <w:szCs w:val="30"/>
          <w:highlight w:val="none"/>
        </w:rPr>
        <w:t>）</w:t>
      </w:r>
      <w:r>
        <w:rPr>
          <w:rFonts w:hint="eastAsia" w:ascii="仿宋" w:hAnsi="仿宋" w:eastAsia="仿宋" w:cs="仿宋"/>
          <w:sz w:val="30"/>
          <w:szCs w:val="30"/>
          <w:highlight w:val="none"/>
          <w:lang w:val="en-US" w:eastAsia="zh-CN"/>
        </w:rPr>
        <w:t>《项目支出绩效评价管理办法》(财预[2020]10号)；</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（8）</w:t>
      </w:r>
      <w:r>
        <w:rPr>
          <w:rFonts w:hint="eastAsia" w:ascii="仿宋" w:hAnsi="仿宋" w:eastAsia="仿宋" w:cs="仿宋"/>
          <w:sz w:val="30"/>
          <w:szCs w:val="30"/>
          <w:highlight w:val="none"/>
        </w:rPr>
        <w:t>《</w:t>
      </w:r>
      <w:r>
        <w:rPr>
          <w:rFonts w:hint="eastAsia" w:ascii="仿宋" w:hAnsi="仿宋" w:eastAsia="仿宋" w:cs="仿宋"/>
          <w:sz w:val="30"/>
          <w:szCs w:val="30"/>
          <w:highlight w:val="none"/>
          <w:lang w:val="en-US" w:eastAsia="zh-CN"/>
        </w:rPr>
        <w:t>曲阳县财政局关于印发2023年县级财政重点绩效评价计划的通知</w:t>
      </w:r>
      <w:r>
        <w:rPr>
          <w:rFonts w:hint="eastAsia" w:ascii="仿宋" w:hAnsi="仿宋" w:eastAsia="仿宋" w:cs="仿宋"/>
          <w:sz w:val="30"/>
          <w:szCs w:val="30"/>
          <w:highlight w:val="none"/>
        </w:rPr>
        <w:t>》（</w:t>
      </w:r>
      <w:r>
        <w:rPr>
          <w:rFonts w:hint="eastAsia" w:ascii="仿宋" w:hAnsi="仿宋" w:eastAsia="仿宋" w:cs="仿宋"/>
          <w:sz w:val="30"/>
          <w:szCs w:val="30"/>
          <w:highlight w:val="none"/>
          <w:lang w:val="en-US" w:eastAsia="zh-CN"/>
        </w:rPr>
        <w:t>曲财</w:t>
      </w:r>
      <w:r>
        <w:rPr>
          <w:rFonts w:hint="eastAsia" w:ascii="仿宋" w:hAnsi="仿宋" w:eastAsia="仿宋" w:cs="仿宋"/>
          <w:sz w:val="30"/>
          <w:szCs w:val="30"/>
          <w:highlight w:val="none"/>
        </w:rPr>
        <w:t>[20</w:t>
      </w:r>
      <w:r>
        <w:rPr>
          <w:rFonts w:hint="eastAsia" w:ascii="仿宋" w:hAnsi="仿宋" w:eastAsia="仿宋" w:cs="仿宋"/>
          <w:sz w:val="30"/>
          <w:szCs w:val="30"/>
          <w:highlight w:val="none"/>
          <w:lang w:val="en-US" w:eastAsia="zh-CN"/>
        </w:rPr>
        <w:t>23</w:t>
      </w:r>
      <w:r>
        <w:rPr>
          <w:rFonts w:hint="eastAsia" w:ascii="仿宋" w:hAnsi="仿宋" w:eastAsia="仿宋" w:cs="仿宋"/>
          <w:sz w:val="30"/>
          <w:szCs w:val="30"/>
          <w:highlight w:val="none"/>
        </w:rPr>
        <w:t>]</w:t>
      </w:r>
      <w:r>
        <w:rPr>
          <w:rFonts w:hint="eastAsia" w:ascii="仿宋" w:hAnsi="仿宋" w:eastAsia="仿宋" w:cs="仿宋"/>
          <w:sz w:val="30"/>
          <w:szCs w:val="30"/>
          <w:highlight w:val="none"/>
          <w:lang w:val="en-US" w:eastAsia="zh-CN"/>
        </w:rPr>
        <w:t>15</w:t>
      </w:r>
      <w:r>
        <w:rPr>
          <w:rFonts w:hint="eastAsia" w:ascii="仿宋" w:hAnsi="仿宋" w:eastAsia="仿宋" w:cs="仿宋"/>
          <w:sz w:val="30"/>
          <w:szCs w:val="30"/>
          <w:highlight w:val="none"/>
        </w:rPr>
        <w:t>号）；</w:t>
      </w:r>
    </w:p>
    <w:p>
      <w:pPr>
        <w:pageBreakBefore w:val="0"/>
        <w:kinsoku/>
        <w:wordWrap/>
        <w:overflowPunct/>
        <w:topLinePunct w:val="0"/>
        <w:autoSpaceDE/>
        <w:autoSpaceDN/>
        <w:bidi w:val="0"/>
        <w:adjustRightInd/>
        <w:snapToGrid/>
        <w:spacing w:line="560" w:lineRule="exact"/>
        <w:ind w:firstLine="600" w:firstLineChars="200"/>
        <w:rPr>
          <w:rFonts w:hint="default" w:ascii="仿宋" w:hAnsi="仿宋" w:eastAsia="仿宋" w:cs="仿宋"/>
          <w:sz w:val="30"/>
          <w:szCs w:val="30"/>
          <w:highlight w:val="none"/>
          <w:lang w:val="en-US"/>
        </w:rPr>
      </w:pPr>
      <w:r>
        <w:rPr>
          <w:rFonts w:hint="eastAsia" w:ascii="仿宋" w:hAnsi="仿宋" w:eastAsia="仿宋" w:cs="仿宋"/>
          <w:sz w:val="30"/>
          <w:szCs w:val="30"/>
          <w:highlight w:val="none"/>
          <w:lang w:val="en-US" w:eastAsia="zh-CN"/>
        </w:rPr>
        <w:t>（9）相关预算指标文及其他文件依据。</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val="en-US" w:eastAsia="zh-CN"/>
        </w:rPr>
        <w:t>5.</w:t>
      </w:r>
      <w:r>
        <w:rPr>
          <w:rFonts w:hint="eastAsia" w:ascii="仿宋" w:hAnsi="仿宋" w:eastAsia="仿宋" w:cs="仿宋"/>
          <w:sz w:val="30"/>
          <w:szCs w:val="30"/>
          <w:highlight w:val="none"/>
          <w:lang w:eastAsia="zh-CN"/>
        </w:rPr>
        <w:t>绩效评价指标体系</w:t>
      </w:r>
      <w:bookmarkEnd w:id="24"/>
      <w:bookmarkEnd w:id="25"/>
      <w:bookmarkEnd w:id="26"/>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lang w:val="en-US" w:eastAsia="zh-CN"/>
        </w:rPr>
        <w:t>1</w:t>
      </w:r>
      <w:r>
        <w:rPr>
          <w:rFonts w:hint="eastAsia" w:ascii="仿宋" w:hAnsi="仿宋" w:eastAsia="仿宋" w:cs="仿宋"/>
          <w:sz w:val="30"/>
          <w:szCs w:val="30"/>
          <w:highlight w:val="none"/>
          <w:lang w:eastAsia="zh-CN"/>
        </w:rPr>
        <w:t>）指标设定</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绩效指标指用于测量公共支出效果的指数或指数体系。绩效指标可以是某一独立指标，也可以是由多项指标组成的体系。科学的绩效指标是实现公共管理科学化的前提。</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eastAsia="zh-CN"/>
        </w:rPr>
        <w:t>评价指标体系是根据财政支出项目进行评价的目的、财政支出项目的绩效内容，以及财政支出指标体系的设计原则，采用适当的方法，确定财政支出项目的绩效评价指标，然后，运用适当的方法，确定各个指标相对于项目总体绩效的重要性，并用数量化的方法表示出来，即赋予每个指标一定的权重；确定各个评价指标的参照标准，即明确指标的标准值。</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lang w:val="en-US" w:eastAsia="zh-CN"/>
        </w:rPr>
        <w:t>2</w:t>
      </w:r>
      <w:r>
        <w:rPr>
          <w:rFonts w:hint="eastAsia" w:ascii="仿宋" w:hAnsi="仿宋" w:eastAsia="仿宋" w:cs="仿宋"/>
          <w:sz w:val="30"/>
          <w:szCs w:val="30"/>
          <w:highlight w:val="none"/>
          <w:lang w:eastAsia="zh-CN"/>
        </w:rPr>
        <w:t>）指标权重设定</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该项目管理类指标占全部权重的</w:t>
      </w:r>
      <w:r>
        <w:rPr>
          <w:rFonts w:hint="eastAsia" w:ascii="仿宋" w:hAnsi="仿宋" w:eastAsia="仿宋" w:cs="仿宋"/>
          <w:sz w:val="30"/>
          <w:szCs w:val="30"/>
          <w:highlight w:val="none"/>
          <w:lang w:val="en-US" w:eastAsia="zh-CN"/>
        </w:rPr>
        <w:t>50</w:t>
      </w:r>
      <w:r>
        <w:rPr>
          <w:rFonts w:hint="eastAsia" w:ascii="仿宋" w:hAnsi="仿宋" w:eastAsia="仿宋" w:cs="仿宋"/>
          <w:sz w:val="30"/>
          <w:szCs w:val="30"/>
          <w:highlight w:val="none"/>
          <w:lang w:eastAsia="zh-CN"/>
        </w:rPr>
        <w:t>%，包括项目立项、项目过程管理；项目绩效类指标占全部权重的</w:t>
      </w:r>
      <w:r>
        <w:rPr>
          <w:rFonts w:hint="eastAsia" w:ascii="仿宋" w:hAnsi="仿宋" w:eastAsia="仿宋" w:cs="仿宋"/>
          <w:sz w:val="30"/>
          <w:szCs w:val="30"/>
          <w:highlight w:val="none"/>
          <w:lang w:val="en-US" w:eastAsia="zh-CN"/>
        </w:rPr>
        <w:t>50</w:t>
      </w:r>
      <w:r>
        <w:rPr>
          <w:rFonts w:hint="eastAsia" w:ascii="仿宋" w:hAnsi="仿宋" w:eastAsia="仿宋" w:cs="仿宋"/>
          <w:sz w:val="30"/>
          <w:szCs w:val="30"/>
          <w:highlight w:val="none"/>
          <w:lang w:eastAsia="zh-CN"/>
        </w:rPr>
        <w:t>%，其中项目产出类指标占</w:t>
      </w:r>
      <w:r>
        <w:rPr>
          <w:rFonts w:hint="eastAsia" w:ascii="仿宋" w:hAnsi="仿宋" w:eastAsia="仿宋" w:cs="仿宋"/>
          <w:sz w:val="30"/>
          <w:szCs w:val="30"/>
          <w:highlight w:val="none"/>
          <w:lang w:val="en-US" w:eastAsia="zh-CN"/>
        </w:rPr>
        <w:t>22</w:t>
      </w:r>
      <w:r>
        <w:rPr>
          <w:rFonts w:hint="eastAsia" w:ascii="仿宋" w:hAnsi="仿宋" w:eastAsia="仿宋" w:cs="仿宋"/>
          <w:sz w:val="30"/>
          <w:szCs w:val="30"/>
          <w:highlight w:val="none"/>
          <w:lang w:eastAsia="zh-CN"/>
        </w:rPr>
        <w:t>%，项目效果类指标占</w:t>
      </w:r>
      <w:r>
        <w:rPr>
          <w:rFonts w:hint="eastAsia" w:ascii="仿宋" w:hAnsi="仿宋" w:eastAsia="仿宋" w:cs="仿宋"/>
          <w:sz w:val="30"/>
          <w:szCs w:val="30"/>
          <w:highlight w:val="none"/>
          <w:lang w:val="en-US" w:eastAsia="zh-CN"/>
        </w:rPr>
        <w:t>28</w:t>
      </w:r>
      <w:r>
        <w:rPr>
          <w:rFonts w:hint="eastAsia" w:ascii="仿宋" w:hAnsi="仿宋" w:eastAsia="仿宋" w:cs="仿宋"/>
          <w:sz w:val="30"/>
          <w:szCs w:val="30"/>
          <w:highlight w:val="none"/>
          <w:lang w:eastAsia="zh-CN"/>
        </w:rPr>
        <w:t>%。</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val="en-US" w:eastAsia="zh-CN"/>
        </w:rPr>
        <w:t xml:space="preserve"> </w:t>
      </w:r>
      <w:bookmarkStart w:id="27" w:name="_Toc6963"/>
      <w:bookmarkStart w:id="28" w:name="_Toc22342"/>
      <w:bookmarkStart w:id="29" w:name="_Toc27907"/>
      <w:r>
        <w:rPr>
          <w:rFonts w:hint="eastAsia" w:ascii="仿宋" w:hAnsi="仿宋" w:eastAsia="仿宋" w:cs="仿宋"/>
          <w:sz w:val="30"/>
          <w:szCs w:val="30"/>
          <w:highlight w:val="none"/>
          <w:lang w:val="en-US" w:eastAsia="zh-CN"/>
        </w:rPr>
        <w:t>6.</w:t>
      </w:r>
      <w:r>
        <w:rPr>
          <w:rFonts w:hint="eastAsia" w:ascii="仿宋" w:hAnsi="仿宋" w:eastAsia="仿宋" w:cs="仿宋"/>
          <w:sz w:val="30"/>
          <w:szCs w:val="30"/>
          <w:highlight w:val="none"/>
          <w:lang w:eastAsia="zh-CN"/>
        </w:rPr>
        <w:t>评分方法和评分等级</w:t>
      </w:r>
      <w:bookmarkEnd w:id="27"/>
      <w:bookmarkEnd w:id="28"/>
      <w:bookmarkEnd w:id="29"/>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lang w:val="en-US" w:eastAsia="zh-CN"/>
        </w:rPr>
        <w:t>1</w:t>
      </w:r>
      <w:r>
        <w:rPr>
          <w:rFonts w:hint="eastAsia" w:ascii="仿宋" w:hAnsi="仿宋" w:eastAsia="仿宋" w:cs="仿宋"/>
          <w:sz w:val="30"/>
          <w:szCs w:val="30"/>
          <w:highlight w:val="none"/>
          <w:lang w:eastAsia="zh-CN"/>
        </w:rPr>
        <w:t>）评分方法</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①按照《财政支出绩效评价管理暂行办法》的相关要求和国务院、省、市、县出台</w:t>
      </w:r>
      <w:bookmarkStart w:id="97" w:name="_GoBack"/>
      <w:bookmarkEnd w:id="97"/>
      <w:r>
        <w:rPr>
          <w:rFonts w:hint="eastAsia" w:ascii="仿宋" w:hAnsi="仿宋" w:eastAsia="仿宋" w:cs="仿宋"/>
          <w:sz w:val="30"/>
          <w:szCs w:val="30"/>
          <w:highlight w:val="none"/>
          <w:lang w:eastAsia="zh-CN"/>
        </w:rPr>
        <w:t>的相关规定作为评价标准，采取定量和定性评价相结合的方法，对项目资料进行审核、分析。</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②评价中做到重点突出</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在评价工作中，评价人员紧紧抓住评价工作的重点环节，严格按照相关文件和评价方案的要求，实事求是、客观公正地进行绩效评价工作，取得了详实、客观的评价资料。</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③客观分析</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首先，根据评价项目的实际情况与指标体系进行分析、比对，各项指标根据预期绩效目标值，评判实际达到的绩效目标，并给出适当得分。主要关注以下几方面：项目是否实现了年度绩效目标、项目是否在长期绩效目标上实现了预期进展、是否有助于政府战略目标和部门目标的实现等。然后，根据项目评价综合得分得出综合绩效评价等级，依据各项评价结果，综合各方面因素，填写项目绩效评价综合意见。</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lang w:val="en-US" w:eastAsia="zh-CN"/>
        </w:rPr>
        <w:t>2</w:t>
      </w:r>
      <w:r>
        <w:rPr>
          <w:rFonts w:hint="eastAsia" w:ascii="仿宋" w:hAnsi="仿宋" w:eastAsia="仿宋" w:cs="仿宋"/>
          <w:sz w:val="30"/>
          <w:szCs w:val="30"/>
          <w:highlight w:val="none"/>
          <w:lang w:eastAsia="zh-CN"/>
        </w:rPr>
        <w:t>）评价等级</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eastAsia="zh-CN"/>
        </w:rPr>
        <w:t>指标体系设定满分为100分，绩效评价分值≥9</w:t>
      </w:r>
      <w:r>
        <w:rPr>
          <w:rFonts w:hint="eastAsia" w:ascii="仿宋" w:hAnsi="仿宋" w:eastAsia="仿宋" w:cs="仿宋"/>
          <w:sz w:val="30"/>
          <w:szCs w:val="30"/>
          <w:highlight w:val="none"/>
          <w:lang w:val="en-US" w:eastAsia="zh-CN"/>
        </w:rPr>
        <w:t>0</w:t>
      </w:r>
      <w:r>
        <w:rPr>
          <w:rFonts w:hint="eastAsia" w:ascii="仿宋" w:hAnsi="仿宋" w:eastAsia="仿宋" w:cs="仿宋"/>
          <w:sz w:val="30"/>
          <w:szCs w:val="30"/>
          <w:highlight w:val="none"/>
          <w:lang w:eastAsia="zh-CN"/>
        </w:rPr>
        <w:t>为优；80≤分值&lt;9</w:t>
      </w:r>
      <w:r>
        <w:rPr>
          <w:rFonts w:hint="eastAsia" w:ascii="仿宋" w:hAnsi="仿宋" w:eastAsia="仿宋" w:cs="仿宋"/>
          <w:sz w:val="30"/>
          <w:szCs w:val="30"/>
          <w:highlight w:val="none"/>
          <w:lang w:val="en-US" w:eastAsia="zh-CN"/>
        </w:rPr>
        <w:t>0</w:t>
      </w:r>
      <w:r>
        <w:rPr>
          <w:rFonts w:hint="eastAsia" w:ascii="仿宋" w:hAnsi="仿宋" w:eastAsia="仿宋" w:cs="仿宋"/>
          <w:sz w:val="30"/>
          <w:szCs w:val="30"/>
          <w:highlight w:val="none"/>
          <w:lang w:eastAsia="zh-CN"/>
        </w:rPr>
        <w:t>为良；60≤分值&lt;80为合格；60分以下为不合格。按照绩效评价指标对评价结果进行逐级、逐项分析，形成综合评价得分及等级。</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val="en-US" w:eastAsia="zh-CN"/>
        </w:rPr>
      </w:pPr>
      <w:bookmarkStart w:id="30" w:name="_Toc501368350"/>
      <w:bookmarkStart w:id="31" w:name="_Toc5968"/>
      <w:bookmarkStart w:id="32" w:name="_Toc31732"/>
      <w:bookmarkStart w:id="33" w:name="_Toc12583"/>
      <w:r>
        <w:rPr>
          <w:rFonts w:hint="eastAsia" w:ascii="仿宋" w:hAnsi="仿宋" w:eastAsia="仿宋" w:cs="仿宋"/>
          <w:sz w:val="30"/>
          <w:szCs w:val="30"/>
          <w:highlight w:val="none"/>
          <w:lang w:val="en-US" w:eastAsia="zh-CN"/>
        </w:rPr>
        <w:t>（四）</w:t>
      </w:r>
      <w:bookmarkEnd w:id="30"/>
      <w:bookmarkEnd w:id="31"/>
      <w:bookmarkEnd w:id="32"/>
      <w:bookmarkEnd w:id="33"/>
      <w:r>
        <w:rPr>
          <w:rFonts w:hint="eastAsia" w:ascii="仿宋" w:hAnsi="仿宋" w:eastAsia="仿宋" w:cs="仿宋"/>
          <w:sz w:val="30"/>
          <w:szCs w:val="30"/>
          <w:highlight w:val="none"/>
          <w:lang w:val="en-US" w:eastAsia="zh-CN"/>
        </w:rPr>
        <w:t>证据收集方法</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val="en-US" w:eastAsia="zh-CN"/>
        </w:rPr>
        <w:t>评价小组对项目资料进行收集、整理</w:t>
      </w:r>
      <w:r>
        <w:rPr>
          <w:rFonts w:hint="eastAsia" w:ascii="仿宋" w:hAnsi="仿宋" w:eastAsia="仿宋" w:cs="仿宋"/>
          <w:sz w:val="30"/>
          <w:szCs w:val="30"/>
          <w:highlight w:val="none"/>
          <w:lang w:eastAsia="zh-CN"/>
        </w:rPr>
        <w:t>，并进行分析，然后将获取的资料与从现场勘查中获得的资料汇集起来，对同一指标在不同文件资料中的证据进行对比、印证、核实和补充，经过验证和确定后得到了准确、可靠和有效的证据。最后，评价小组对证据进行了判断分析，形成评价依据。</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（五）绩效评价实施过程</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前期准备阶段</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主要是组建评价工作小组，了解评价项目基本情况，设计有关基础数据表格，下发项目执行单位需要准备的资料清单等。</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信息采集复核阶段</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项目执行单位进行初步准备后，评价小组先后深入项目执行单位以实地察看、面访、查阅相关资料、核查财务凭证及账簿等多种形式采集信息，复核基础数据和评价证据，并多次就相关资料的补充、完善进行沟通。</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指标体系设计论证阶段</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评价小组在收集各类基础数据，制作基础表格后，根据指定的评价方法，结合项目特点，开始设计项目产出和项目效益类指标。通过评价小组的集体商议，初步形成了既能体现评价意图又切合实际的系列指标。进一步修改完善指标体系，合理确定各指标权重，制定评分标准。</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数据分析和报告形成阶段</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完成系列基础性、前置性工作后，评价小组开始集中精力进行数据分析及指标计算比较，按规范格式撰写绩效评价报告初稿，并送有关方面征求意见，进一步修改后出具正式报告。</w:t>
      </w:r>
    </w:p>
    <w:bookmarkEnd w:id="18"/>
    <w:bookmarkEnd w:id="19"/>
    <w:bookmarkEnd w:id="20"/>
    <w:bookmarkEnd w:id="21"/>
    <w:bookmarkEnd w:id="22"/>
    <w:bookmarkEnd w:id="23"/>
    <w:p>
      <w:pPr>
        <w:pStyle w:val="3"/>
        <w:spacing w:beforeAutospacing="0" w:afterAutospacing="0" w:line="360" w:lineRule="auto"/>
        <w:ind w:firstLine="602" w:firstLineChars="200"/>
        <w:rPr>
          <w:rFonts w:hint="eastAsia" w:ascii="仿宋" w:hAnsi="仿宋" w:eastAsia="仿宋" w:cs="仿宋"/>
          <w:b w:val="0"/>
          <w:kern w:val="2"/>
          <w:sz w:val="30"/>
          <w:szCs w:val="30"/>
          <w:highlight w:val="none"/>
          <w:lang w:val="en-US" w:eastAsia="zh-CN" w:bidi="ar-SA"/>
        </w:rPr>
      </w:pPr>
      <w:bookmarkStart w:id="34" w:name="_Toc32473"/>
      <w:bookmarkStart w:id="35" w:name="_Toc28493"/>
      <w:bookmarkStart w:id="36" w:name="_Toc501368358"/>
      <w:bookmarkStart w:id="37" w:name="_Toc8822"/>
      <w:bookmarkStart w:id="38" w:name="_Toc12058"/>
      <w:bookmarkStart w:id="39" w:name="_Toc83631040"/>
      <w:bookmarkStart w:id="40" w:name="_Toc12908"/>
      <w:bookmarkStart w:id="41" w:name="_Toc501368359"/>
      <w:bookmarkStart w:id="42" w:name="_Toc32445"/>
      <w:bookmarkStart w:id="43" w:name="_Toc83630330"/>
      <w:r>
        <w:rPr>
          <w:rFonts w:hint="eastAsia" w:ascii="仿宋" w:hAnsi="仿宋" w:eastAsia="仿宋" w:cs="仿宋"/>
          <w:b/>
          <w:bCs/>
          <w:kern w:val="2"/>
          <w:sz w:val="30"/>
          <w:szCs w:val="30"/>
          <w:highlight w:val="none"/>
          <w:lang w:val="en-US" w:eastAsia="zh-CN" w:bidi="ar-SA"/>
        </w:rPr>
        <w:t>五、项目执行及绩效实现情况</w:t>
      </w:r>
      <w:bookmarkEnd w:id="34"/>
      <w:bookmarkEnd w:id="35"/>
      <w:bookmarkEnd w:id="36"/>
      <w:bookmarkEnd w:id="37"/>
    </w:p>
    <w:p>
      <w:pPr>
        <w:spacing w:line="360" w:lineRule="auto"/>
        <w:ind w:firstLine="600" w:firstLineChars="200"/>
        <w:jc w:val="left"/>
        <w:rPr>
          <w:rFonts w:hint="eastAsia" w:ascii="仿宋" w:hAnsi="仿宋" w:eastAsia="仿宋" w:cs="仿宋"/>
          <w:b w:val="0"/>
          <w:kern w:val="2"/>
          <w:sz w:val="30"/>
          <w:szCs w:val="30"/>
          <w:highlight w:val="none"/>
          <w:lang w:val="en-US" w:eastAsia="zh-CN" w:bidi="ar-SA"/>
        </w:rPr>
      </w:pPr>
      <w:r>
        <w:rPr>
          <w:rFonts w:hint="eastAsia" w:ascii="仿宋" w:hAnsi="仿宋" w:eastAsia="仿宋" w:cs="仿宋"/>
          <w:b w:val="0"/>
          <w:kern w:val="2"/>
          <w:sz w:val="30"/>
          <w:szCs w:val="30"/>
          <w:highlight w:val="none"/>
          <w:lang w:val="en-US" w:eastAsia="zh-CN" w:bidi="ar-SA"/>
        </w:rPr>
        <w:t>通过对该单位提供的项目资料和现场实地检查，该项目综合得分95分，评价等级为“优”。各项得分情况明细如下：</w:t>
      </w:r>
    </w:p>
    <w:p>
      <w:pPr>
        <w:pStyle w:val="4"/>
        <w:pageBreakBefore w:val="0"/>
        <w:kinsoku/>
        <w:wordWrap/>
        <w:overflowPunct/>
        <w:topLinePunct w:val="0"/>
        <w:autoSpaceDE/>
        <w:autoSpaceDN/>
        <w:bidi w:val="0"/>
        <w:adjustRightInd/>
        <w:snapToGrid/>
        <w:spacing w:before="0" w:after="0" w:line="560" w:lineRule="exact"/>
        <w:ind w:firstLine="600" w:firstLineChars="200"/>
        <w:rPr>
          <w:rFonts w:hint="eastAsia" w:ascii="仿宋" w:hAnsi="仿宋" w:eastAsia="仿宋" w:cs="仿宋"/>
          <w:b w:val="0"/>
          <w:bCs w:val="0"/>
          <w:sz w:val="30"/>
          <w:szCs w:val="30"/>
          <w:highlight w:val="none"/>
        </w:rPr>
      </w:pPr>
      <w:r>
        <w:rPr>
          <w:rFonts w:hint="eastAsia" w:ascii="仿宋" w:hAnsi="仿宋" w:eastAsia="仿宋" w:cs="仿宋"/>
          <w:b w:val="0"/>
          <w:bCs w:val="0"/>
          <w:sz w:val="30"/>
          <w:szCs w:val="30"/>
          <w:highlight w:val="none"/>
        </w:rPr>
        <w:t>（一）项目立项（</w:t>
      </w:r>
      <w:r>
        <w:rPr>
          <w:rFonts w:hint="eastAsia" w:ascii="仿宋" w:hAnsi="仿宋" w:eastAsia="仿宋" w:cs="仿宋"/>
          <w:b w:val="0"/>
          <w:bCs w:val="0"/>
          <w:sz w:val="30"/>
          <w:szCs w:val="30"/>
          <w:highlight w:val="none"/>
          <w:lang w:val="en-US" w:eastAsia="zh-CN"/>
        </w:rPr>
        <w:t>20</w:t>
      </w:r>
      <w:r>
        <w:rPr>
          <w:rFonts w:hint="eastAsia" w:ascii="仿宋" w:hAnsi="仿宋" w:eastAsia="仿宋" w:cs="仿宋"/>
          <w:b w:val="0"/>
          <w:bCs w:val="0"/>
          <w:sz w:val="30"/>
          <w:szCs w:val="30"/>
          <w:highlight w:val="none"/>
        </w:rPr>
        <w:t>分）</w:t>
      </w:r>
      <w:bookmarkEnd w:id="38"/>
      <w:bookmarkEnd w:id="39"/>
      <w:bookmarkEnd w:id="40"/>
      <w:bookmarkEnd w:id="41"/>
      <w:bookmarkEnd w:id="42"/>
      <w:bookmarkEnd w:id="43"/>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该一级指标主要反映项目立项是否符合国家法规、政策规定，符合社会经济发展战略规划，项目决策是否满足政府职能，用于调节经济、市场监管、提供公共产品和服务，绩效目标的制定是否合理，绩效指标的制定是否清晰、细化、量化、可衡量。</w:t>
      </w:r>
    </w:p>
    <w:tbl>
      <w:tblPr>
        <w:tblStyle w:val="17"/>
        <w:tblW w:w="4996" w:type="pct"/>
        <w:jc w:val="center"/>
        <w:tblLayout w:type="autofit"/>
        <w:tblCellMar>
          <w:top w:w="15" w:type="dxa"/>
          <w:left w:w="15" w:type="dxa"/>
          <w:bottom w:w="15" w:type="dxa"/>
          <w:right w:w="15" w:type="dxa"/>
        </w:tblCellMar>
      </w:tblPr>
      <w:tblGrid>
        <w:gridCol w:w="2202"/>
        <w:gridCol w:w="2223"/>
        <w:gridCol w:w="2393"/>
        <w:gridCol w:w="1506"/>
        <w:gridCol w:w="1336"/>
      </w:tblGrid>
      <w:tr>
        <w:tblPrEx>
          <w:tblCellMar>
            <w:top w:w="15" w:type="dxa"/>
            <w:left w:w="15" w:type="dxa"/>
            <w:bottom w:w="15" w:type="dxa"/>
            <w:right w:w="15" w:type="dxa"/>
          </w:tblCellMar>
        </w:tblPrEx>
        <w:trPr>
          <w:trHeight w:val="482" w:hRule="exact"/>
          <w:jc w:val="center"/>
        </w:trPr>
        <w:tc>
          <w:tcPr>
            <w:tcW w:w="1140"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一级指标</w:t>
            </w:r>
          </w:p>
        </w:tc>
        <w:tc>
          <w:tcPr>
            <w:tcW w:w="1150"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二级指标</w:t>
            </w:r>
          </w:p>
        </w:tc>
        <w:tc>
          <w:tcPr>
            <w:tcW w:w="1237"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三级指标</w:t>
            </w:r>
          </w:p>
        </w:tc>
        <w:tc>
          <w:tcPr>
            <w:tcW w:w="779"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分数权重</w:t>
            </w:r>
          </w:p>
        </w:tc>
        <w:tc>
          <w:tcPr>
            <w:tcW w:w="691"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得分</w:t>
            </w:r>
          </w:p>
        </w:tc>
      </w:tr>
      <w:tr>
        <w:tblPrEx>
          <w:tblCellMar>
            <w:top w:w="15" w:type="dxa"/>
            <w:left w:w="15" w:type="dxa"/>
            <w:bottom w:w="15" w:type="dxa"/>
            <w:right w:w="15" w:type="dxa"/>
          </w:tblCellMar>
        </w:tblPrEx>
        <w:trPr>
          <w:trHeight w:val="529" w:hRule="exact"/>
          <w:jc w:val="center"/>
        </w:trPr>
        <w:tc>
          <w:tcPr>
            <w:tcW w:w="1140" w:type="pct"/>
            <w:vMerge w:val="restar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项目立项</w:t>
            </w:r>
          </w:p>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w:t>
            </w:r>
            <w:r>
              <w:rPr>
                <w:rFonts w:hint="eastAsia" w:ascii="仿宋" w:hAnsi="仿宋" w:eastAsia="仿宋" w:cs="仿宋"/>
                <w:color w:val="000000"/>
                <w:kern w:val="0"/>
                <w:sz w:val="24"/>
                <w:szCs w:val="24"/>
                <w:highlight w:val="none"/>
                <w:lang w:val="en-US" w:eastAsia="zh-CN"/>
              </w:rPr>
              <w:t>20</w:t>
            </w:r>
            <w:r>
              <w:rPr>
                <w:rFonts w:hint="eastAsia" w:ascii="仿宋" w:hAnsi="仿宋" w:eastAsia="仿宋" w:cs="仿宋"/>
                <w:color w:val="000000"/>
                <w:kern w:val="0"/>
                <w:sz w:val="24"/>
                <w:szCs w:val="24"/>
                <w:highlight w:val="none"/>
              </w:rPr>
              <w:t>分)</w:t>
            </w:r>
          </w:p>
        </w:tc>
        <w:tc>
          <w:tcPr>
            <w:tcW w:w="1150" w:type="pct"/>
            <w:vMerge w:val="restar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决策机制（</w:t>
            </w:r>
            <w:r>
              <w:rPr>
                <w:rFonts w:hint="eastAsia" w:ascii="仿宋" w:hAnsi="仿宋" w:eastAsia="仿宋" w:cs="仿宋"/>
                <w:color w:val="000000"/>
                <w:kern w:val="0"/>
                <w:sz w:val="24"/>
                <w:szCs w:val="24"/>
                <w:highlight w:val="none"/>
                <w:lang w:val="en-US" w:eastAsia="zh-CN"/>
              </w:rPr>
              <w:t>12</w:t>
            </w:r>
            <w:r>
              <w:rPr>
                <w:rFonts w:hint="eastAsia" w:ascii="仿宋" w:hAnsi="仿宋" w:eastAsia="仿宋" w:cs="仿宋"/>
                <w:color w:val="000000"/>
                <w:kern w:val="0"/>
                <w:sz w:val="24"/>
                <w:szCs w:val="24"/>
                <w:highlight w:val="none"/>
              </w:rPr>
              <w:t>分）</w:t>
            </w:r>
          </w:p>
        </w:tc>
        <w:tc>
          <w:tcPr>
            <w:tcW w:w="1237"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kern w:val="0"/>
                <w:sz w:val="24"/>
                <w:szCs w:val="24"/>
                <w:highlight w:val="none"/>
              </w:rPr>
              <w:t>项目设立</w:t>
            </w:r>
            <w:r>
              <w:rPr>
                <w:rFonts w:hint="eastAsia" w:ascii="仿宋" w:hAnsi="仿宋" w:eastAsia="仿宋" w:cs="仿宋"/>
                <w:color w:val="000000"/>
                <w:kern w:val="0"/>
                <w:sz w:val="24"/>
                <w:szCs w:val="24"/>
                <w:highlight w:val="none"/>
                <w:lang w:val="en-US" w:eastAsia="zh-CN"/>
              </w:rPr>
              <w:t>规范性</w:t>
            </w:r>
          </w:p>
        </w:tc>
        <w:tc>
          <w:tcPr>
            <w:tcW w:w="779"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highlight w:val="none"/>
                <w:lang w:eastAsia="zh-CN"/>
              </w:rPr>
            </w:pPr>
            <w:r>
              <w:rPr>
                <w:rFonts w:hint="eastAsia" w:ascii="仿宋" w:hAnsi="仿宋" w:eastAsia="仿宋" w:cs="仿宋"/>
                <w:color w:val="000000"/>
                <w:kern w:val="0"/>
                <w:sz w:val="24"/>
                <w:szCs w:val="24"/>
                <w:highlight w:val="none"/>
                <w:lang w:val="en-US" w:eastAsia="zh-CN"/>
              </w:rPr>
              <w:t>6</w:t>
            </w:r>
          </w:p>
        </w:tc>
        <w:tc>
          <w:tcPr>
            <w:tcW w:w="1336" w:type="dxa"/>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val="en-US" w:eastAsia="zh-CN"/>
              </w:rPr>
              <w:t>6</w:t>
            </w:r>
          </w:p>
        </w:tc>
      </w:tr>
      <w:tr>
        <w:tblPrEx>
          <w:tblCellMar>
            <w:top w:w="15" w:type="dxa"/>
            <w:left w:w="15" w:type="dxa"/>
            <w:bottom w:w="15" w:type="dxa"/>
            <w:right w:w="15" w:type="dxa"/>
          </w:tblCellMar>
        </w:tblPrEx>
        <w:trPr>
          <w:trHeight w:val="691" w:hRule="exact"/>
          <w:jc w:val="center"/>
        </w:trPr>
        <w:tc>
          <w:tcPr>
            <w:tcW w:w="1140" w:type="pct"/>
            <w:vMerge w:val="continue"/>
            <w:tcBorders>
              <w:top w:val="single" w:color="000000" w:sz="4" w:space="0"/>
              <w:left w:val="single" w:color="000000" w:sz="4" w:space="0"/>
              <w:bottom w:val="single" w:color="000000" w:sz="4" w:space="0"/>
              <w:right w:val="single" w:color="000000" w:sz="4" w:space="0"/>
            </w:tcBorders>
            <w:vAlign w:val="center"/>
          </w:tcPr>
          <w:p>
            <w:pPr>
              <w:pageBreakBefore w:val="0"/>
              <w:kinsoku/>
              <w:wordWrap/>
              <w:overflowPunct/>
              <w:topLinePunct w:val="0"/>
              <w:autoSpaceDE/>
              <w:autoSpaceDN/>
              <w:bidi w:val="0"/>
              <w:adjustRightInd/>
              <w:snapToGrid/>
              <w:spacing w:line="560" w:lineRule="exact"/>
              <w:jc w:val="center"/>
              <w:rPr>
                <w:rFonts w:hint="eastAsia" w:ascii="仿宋" w:hAnsi="仿宋" w:eastAsia="仿宋" w:cs="仿宋"/>
                <w:color w:val="000000"/>
                <w:sz w:val="24"/>
                <w:szCs w:val="24"/>
                <w:highlight w:val="none"/>
              </w:rPr>
            </w:pPr>
          </w:p>
        </w:tc>
        <w:tc>
          <w:tcPr>
            <w:tcW w:w="1150" w:type="pct"/>
            <w:vMerge w:val="continue"/>
            <w:tcBorders>
              <w:top w:val="single" w:color="000000" w:sz="4" w:space="0"/>
              <w:left w:val="single" w:color="000000" w:sz="4" w:space="0"/>
              <w:bottom w:val="single" w:color="000000" w:sz="4" w:space="0"/>
              <w:right w:val="single" w:color="000000" w:sz="4" w:space="0"/>
            </w:tcBorders>
            <w:vAlign w:val="center"/>
          </w:tcPr>
          <w:p>
            <w:pPr>
              <w:pageBreakBefore w:val="0"/>
              <w:kinsoku/>
              <w:wordWrap/>
              <w:overflowPunct/>
              <w:topLinePunct w:val="0"/>
              <w:autoSpaceDE/>
              <w:autoSpaceDN/>
              <w:bidi w:val="0"/>
              <w:adjustRightInd/>
              <w:snapToGrid/>
              <w:spacing w:line="560" w:lineRule="exact"/>
              <w:jc w:val="center"/>
              <w:rPr>
                <w:rFonts w:hint="eastAsia" w:ascii="仿宋" w:hAnsi="仿宋" w:eastAsia="仿宋" w:cs="仿宋"/>
                <w:color w:val="000000"/>
                <w:sz w:val="24"/>
                <w:szCs w:val="24"/>
                <w:highlight w:val="none"/>
              </w:rPr>
            </w:pPr>
          </w:p>
        </w:tc>
        <w:tc>
          <w:tcPr>
            <w:tcW w:w="1237"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项目决策必要性</w:t>
            </w:r>
          </w:p>
        </w:tc>
        <w:tc>
          <w:tcPr>
            <w:tcW w:w="779"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highlight w:val="none"/>
                <w:lang w:eastAsia="zh-CN"/>
              </w:rPr>
            </w:pPr>
            <w:r>
              <w:rPr>
                <w:rFonts w:hint="eastAsia" w:ascii="仿宋" w:hAnsi="仿宋" w:eastAsia="仿宋" w:cs="仿宋"/>
                <w:color w:val="000000"/>
                <w:kern w:val="0"/>
                <w:sz w:val="24"/>
                <w:szCs w:val="24"/>
                <w:highlight w:val="none"/>
                <w:lang w:val="en-US" w:eastAsia="zh-CN"/>
              </w:rPr>
              <w:t>6</w:t>
            </w:r>
          </w:p>
        </w:tc>
        <w:tc>
          <w:tcPr>
            <w:tcW w:w="1336" w:type="dxa"/>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val="en-US" w:eastAsia="zh-CN"/>
              </w:rPr>
              <w:t>6</w:t>
            </w:r>
          </w:p>
        </w:tc>
      </w:tr>
      <w:tr>
        <w:tblPrEx>
          <w:tblCellMar>
            <w:top w:w="15" w:type="dxa"/>
            <w:left w:w="15" w:type="dxa"/>
            <w:bottom w:w="15" w:type="dxa"/>
            <w:right w:w="15" w:type="dxa"/>
          </w:tblCellMar>
        </w:tblPrEx>
        <w:trPr>
          <w:trHeight w:val="561" w:hRule="exact"/>
          <w:jc w:val="center"/>
        </w:trPr>
        <w:tc>
          <w:tcPr>
            <w:tcW w:w="1140" w:type="pct"/>
            <w:vMerge w:val="continue"/>
            <w:tcBorders>
              <w:top w:val="single" w:color="000000" w:sz="4" w:space="0"/>
              <w:left w:val="single" w:color="000000" w:sz="4" w:space="0"/>
              <w:bottom w:val="single" w:color="000000" w:sz="4" w:space="0"/>
              <w:right w:val="single" w:color="000000" w:sz="4" w:space="0"/>
            </w:tcBorders>
            <w:vAlign w:val="center"/>
          </w:tcPr>
          <w:p>
            <w:pPr>
              <w:pageBreakBefore w:val="0"/>
              <w:kinsoku/>
              <w:wordWrap/>
              <w:overflowPunct/>
              <w:topLinePunct w:val="0"/>
              <w:autoSpaceDE/>
              <w:autoSpaceDN/>
              <w:bidi w:val="0"/>
              <w:adjustRightInd/>
              <w:snapToGrid/>
              <w:spacing w:line="560" w:lineRule="exact"/>
              <w:jc w:val="center"/>
              <w:rPr>
                <w:rFonts w:hint="eastAsia" w:ascii="仿宋" w:hAnsi="仿宋" w:eastAsia="仿宋" w:cs="仿宋"/>
                <w:color w:val="000000"/>
                <w:sz w:val="24"/>
                <w:szCs w:val="24"/>
                <w:highlight w:val="none"/>
              </w:rPr>
            </w:pPr>
          </w:p>
        </w:tc>
        <w:tc>
          <w:tcPr>
            <w:tcW w:w="1150" w:type="pct"/>
            <w:vMerge w:val="restar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绩效目标（</w:t>
            </w:r>
            <w:r>
              <w:rPr>
                <w:rFonts w:hint="eastAsia" w:ascii="仿宋" w:hAnsi="仿宋" w:eastAsia="仿宋" w:cs="仿宋"/>
                <w:color w:val="000000"/>
                <w:kern w:val="0"/>
                <w:sz w:val="24"/>
                <w:szCs w:val="24"/>
                <w:highlight w:val="none"/>
                <w:lang w:val="en-US" w:eastAsia="zh-CN"/>
              </w:rPr>
              <w:t>8</w:t>
            </w:r>
            <w:r>
              <w:rPr>
                <w:rFonts w:hint="eastAsia" w:ascii="仿宋" w:hAnsi="仿宋" w:eastAsia="仿宋" w:cs="仿宋"/>
                <w:color w:val="000000"/>
                <w:kern w:val="0"/>
                <w:sz w:val="24"/>
                <w:szCs w:val="24"/>
                <w:highlight w:val="none"/>
              </w:rPr>
              <w:t>分）</w:t>
            </w:r>
          </w:p>
        </w:tc>
        <w:tc>
          <w:tcPr>
            <w:tcW w:w="1237"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合理性</w:t>
            </w:r>
          </w:p>
        </w:tc>
        <w:tc>
          <w:tcPr>
            <w:tcW w:w="779"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highlight w:val="none"/>
                <w:lang w:eastAsia="zh-CN"/>
              </w:rPr>
            </w:pPr>
            <w:r>
              <w:rPr>
                <w:rFonts w:hint="eastAsia" w:ascii="仿宋" w:hAnsi="仿宋" w:eastAsia="仿宋" w:cs="仿宋"/>
                <w:color w:val="000000"/>
                <w:kern w:val="0"/>
                <w:sz w:val="24"/>
                <w:szCs w:val="24"/>
                <w:highlight w:val="none"/>
                <w:lang w:val="en-US" w:eastAsia="zh-CN"/>
              </w:rPr>
              <w:t>4</w:t>
            </w:r>
          </w:p>
        </w:tc>
        <w:tc>
          <w:tcPr>
            <w:tcW w:w="1336" w:type="dxa"/>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val="en-US" w:eastAsia="zh-CN"/>
              </w:rPr>
              <w:t>4</w:t>
            </w:r>
          </w:p>
        </w:tc>
      </w:tr>
      <w:tr>
        <w:tblPrEx>
          <w:tblCellMar>
            <w:top w:w="15" w:type="dxa"/>
            <w:left w:w="15" w:type="dxa"/>
            <w:bottom w:w="15" w:type="dxa"/>
            <w:right w:w="15" w:type="dxa"/>
          </w:tblCellMar>
        </w:tblPrEx>
        <w:trPr>
          <w:trHeight w:val="572" w:hRule="exact"/>
          <w:jc w:val="center"/>
        </w:trPr>
        <w:tc>
          <w:tcPr>
            <w:tcW w:w="1140" w:type="pct"/>
            <w:vMerge w:val="continue"/>
            <w:tcBorders>
              <w:top w:val="single" w:color="000000" w:sz="4" w:space="0"/>
              <w:left w:val="single" w:color="000000" w:sz="4" w:space="0"/>
              <w:bottom w:val="single" w:color="000000" w:sz="4" w:space="0"/>
              <w:right w:val="single" w:color="000000" w:sz="4" w:space="0"/>
            </w:tcBorders>
            <w:vAlign w:val="center"/>
          </w:tcPr>
          <w:p>
            <w:pPr>
              <w:pageBreakBefore w:val="0"/>
              <w:kinsoku/>
              <w:wordWrap/>
              <w:overflowPunct/>
              <w:topLinePunct w:val="0"/>
              <w:autoSpaceDE/>
              <w:autoSpaceDN/>
              <w:bidi w:val="0"/>
              <w:adjustRightInd/>
              <w:snapToGrid/>
              <w:spacing w:line="560" w:lineRule="exact"/>
              <w:jc w:val="center"/>
              <w:rPr>
                <w:rFonts w:hint="eastAsia" w:ascii="仿宋" w:hAnsi="仿宋" w:eastAsia="仿宋" w:cs="仿宋"/>
                <w:color w:val="000000"/>
                <w:sz w:val="24"/>
                <w:szCs w:val="24"/>
                <w:highlight w:val="none"/>
              </w:rPr>
            </w:pPr>
          </w:p>
        </w:tc>
        <w:tc>
          <w:tcPr>
            <w:tcW w:w="1150" w:type="pct"/>
            <w:vMerge w:val="continue"/>
            <w:tcBorders>
              <w:top w:val="single" w:color="000000" w:sz="4" w:space="0"/>
              <w:left w:val="single" w:color="000000" w:sz="4" w:space="0"/>
              <w:bottom w:val="single" w:color="000000" w:sz="4" w:space="0"/>
              <w:right w:val="single" w:color="000000" w:sz="4" w:space="0"/>
            </w:tcBorders>
            <w:vAlign w:val="center"/>
          </w:tcPr>
          <w:p>
            <w:pPr>
              <w:pageBreakBefore w:val="0"/>
              <w:kinsoku/>
              <w:wordWrap/>
              <w:overflowPunct/>
              <w:topLinePunct w:val="0"/>
              <w:autoSpaceDE/>
              <w:autoSpaceDN/>
              <w:bidi w:val="0"/>
              <w:adjustRightInd/>
              <w:snapToGrid/>
              <w:spacing w:line="560" w:lineRule="exact"/>
              <w:jc w:val="center"/>
              <w:rPr>
                <w:rFonts w:hint="eastAsia" w:ascii="仿宋" w:hAnsi="仿宋" w:eastAsia="仿宋" w:cs="仿宋"/>
                <w:color w:val="000000"/>
                <w:sz w:val="24"/>
                <w:szCs w:val="24"/>
                <w:highlight w:val="none"/>
              </w:rPr>
            </w:pPr>
          </w:p>
        </w:tc>
        <w:tc>
          <w:tcPr>
            <w:tcW w:w="1237"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明确性</w:t>
            </w:r>
          </w:p>
        </w:tc>
        <w:tc>
          <w:tcPr>
            <w:tcW w:w="779"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highlight w:val="none"/>
                <w:lang w:eastAsia="zh-CN"/>
              </w:rPr>
            </w:pPr>
            <w:r>
              <w:rPr>
                <w:rFonts w:hint="eastAsia" w:ascii="仿宋" w:hAnsi="仿宋" w:eastAsia="仿宋" w:cs="仿宋"/>
                <w:color w:val="000000"/>
                <w:kern w:val="0"/>
                <w:sz w:val="24"/>
                <w:szCs w:val="24"/>
                <w:highlight w:val="none"/>
                <w:lang w:val="en-US" w:eastAsia="zh-CN"/>
              </w:rPr>
              <w:t>4</w:t>
            </w:r>
          </w:p>
        </w:tc>
        <w:tc>
          <w:tcPr>
            <w:tcW w:w="1336" w:type="dxa"/>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2</w:t>
            </w:r>
          </w:p>
        </w:tc>
      </w:tr>
      <w:tr>
        <w:tblPrEx>
          <w:tblCellMar>
            <w:top w:w="15" w:type="dxa"/>
            <w:left w:w="15" w:type="dxa"/>
            <w:bottom w:w="15" w:type="dxa"/>
            <w:right w:w="15" w:type="dxa"/>
          </w:tblCellMar>
        </w:tblPrEx>
        <w:trPr>
          <w:trHeight w:val="492" w:hRule="exact"/>
          <w:jc w:val="center"/>
        </w:trPr>
        <w:tc>
          <w:tcPr>
            <w:tcW w:w="3528" w:type="pct"/>
            <w:gridSpan w:val="3"/>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合  计</w:t>
            </w:r>
          </w:p>
        </w:tc>
        <w:tc>
          <w:tcPr>
            <w:tcW w:w="779"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default" w:ascii="仿宋" w:hAnsi="仿宋" w:eastAsia="仿宋" w:cs="仿宋"/>
                <w:color w:val="000000"/>
                <w:kern w:val="0"/>
                <w:sz w:val="24"/>
                <w:szCs w:val="24"/>
                <w:highlight w:val="none"/>
                <w:lang w:val="en-US" w:eastAsia="zh-CN"/>
              </w:rPr>
            </w:pPr>
            <w:r>
              <w:rPr>
                <w:rFonts w:hint="eastAsia" w:ascii="仿宋" w:hAnsi="仿宋" w:eastAsia="仿宋" w:cs="仿宋"/>
                <w:color w:val="000000"/>
                <w:kern w:val="0"/>
                <w:sz w:val="24"/>
                <w:szCs w:val="24"/>
                <w:highlight w:val="none"/>
                <w:lang w:val="en-US" w:eastAsia="zh-CN"/>
              </w:rPr>
              <w:t>20</w:t>
            </w:r>
          </w:p>
        </w:tc>
        <w:tc>
          <w:tcPr>
            <w:tcW w:w="1336" w:type="dxa"/>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default" w:ascii="仿宋" w:hAnsi="仿宋" w:eastAsia="仿宋" w:cs="仿宋"/>
                <w:color w:val="000000"/>
                <w:kern w:val="0"/>
                <w:sz w:val="24"/>
                <w:szCs w:val="24"/>
                <w:highlight w:val="none"/>
                <w:lang w:val="en-US" w:eastAsia="zh-CN"/>
              </w:rPr>
            </w:pPr>
            <w:r>
              <w:rPr>
                <w:rFonts w:hint="eastAsia" w:ascii="仿宋" w:hAnsi="仿宋" w:eastAsia="仿宋" w:cs="仿宋"/>
                <w:color w:val="000000"/>
                <w:kern w:val="0"/>
                <w:sz w:val="24"/>
                <w:szCs w:val="24"/>
                <w:highlight w:val="none"/>
                <w:lang w:val="en-US" w:eastAsia="zh-CN"/>
              </w:rPr>
              <w:t>18</w:t>
            </w:r>
          </w:p>
        </w:tc>
      </w:tr>
    </w:tbl>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1.决策机制（</w:t>
      </w:r>
      <w:r>
        <w:rPr>
          <w:rFonts w:hint="eastAsia" w:ascii="仿宋" w:hAnsi="仿宋" w:eastAsia="仿宋" w:cs="仿宋"/>
          <w:sz w:val="30"/>
          <w:szCs w:val="30"/>
          <w:highlight w:val="none"/>
          <w:lang w:val="en-US" w:eastAsia="zh-CN"/>
        </w:rPr>
        <w:t>12</w:t>
      </w:r>
      <w:r>
        <w:rPr>
          <w:rFonts w:hint="eastAsia" w:ascii="仿宋" w:hAnsi="仿宋" w:eastAsia="仿宋" w:cs="仿宋"/>
          <w:sz w:val="30"/>
          <w:szCs w:val="30"/>
          <w:highlight w:val="none"/>
        </w:rPr>
        <w:t>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rPr>
        <w:t>该指标包含2个三级指标，主要评价项目立项是否符合国家法规、政策规定，符合社会经济发展战略规划；项目内容设置与国家及地方政策、规划、社会需求等相关内容相符程度，决策过程是否规范。</w:t>
      </w:r>
    </w:p>
    <w:p>
      <w:pPr>
        <w:pageBreakBefore w:val="0"/>
        <w:numPr>
          <w:ilvl w:val="0"/>
          <w:numId w:val="1"/>
        </w:numPr>
        <w:kinsoku/>
        <w:wordWrap/>
        <w:overflowPunct/>
        <w:topLinePunct w:val="0"/>
        <w:autoSpaceDE/>
        <w:autoSpaceDN/>
        <w:bidi w:val="0"/>
        <w:adjustRightInd/>
        <w:snapToGrid/>
        <w:spacing w:line="560" w:lineRule="exact"/>
        <w:ind w:firstLine="300" w:firstLineChars="1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项目设立</w:t>
      </w:r>
      <w:r>
        <w:rPr>
          <w:rFonts w:hint="eastAsia" w:ascii="仿宋" w:hAnsi="仿宋" w:eastAsia="仿宋" w:cs="仿宋"/>
          <w:sz w:val="30"/>
          <w:szCs w:val="30"/>
          <w:highlight w:val="none"/>
          <w:lang w:val="en-US" w:eastAsia="zh-CN"/>
        </w:rPr>
        <w:t>规范性</w:t>
      </w:r>
      <w:r>
        <w:rPr>
          <w:rFonts w:hint="eastAsia" w:ascii="仿宋" w:hAnsi="仿宋" w:eastAsia="仿宋" w:cs="仿宋"/>
          <w:sz w:val="30"/>
          <w:szCs w:val="30"/>
          <w:highlight w:val="none"/>
        </w:rPr>
        <w:t>（</w:t>
      </w:r>
      <w:r>
        <w:rPr>
          <w:rFonts w:hint="eastAsia" w:ascii="仿宋" w:hAnsi="仿宋" w:eastAsia="仿宋" w:cs="仿宋"/>
          <w:sz w:val="30"/>
          <w:szCs w:val="30"/>
          <w:highlight w:val="none"/>
          <w:lang w:val="en-US" w:eastAsia="zh-CN"/>
        </w:rPr>
        <w:t>6</w:t>
      </w:r>
      <w:r>
        <w:rPr>
          <w:rFonts w:hint="eastAsia" w:ascii="仿宋" w:hAnsi="仿宋" w:eastAsia="仿宋" w:cs="仿宋"/>
          <w:sz w:val="30"/>
          <w:szCs w:val="30"/>
          <w:highlight w:val="none"/>
        </w:rPr>
        <w:t>分）</w:t>
      </w:r>
    </w:p>
    <w:p>
      <w:pPr>
        <w:pageBreakBefore w:val="0"/>
        <w:kinsoku/>
        <w:wordWrap/>
        <w:overflowPunct/>
        <w:topLinePunct w:val="0"/>
        <w:autoSpaceDE/>
        <w:autoSpaceDN/>
        <w:bidi w:val="0"/>
        <w:adjustRightInd/>
        <w:snapToGrid/>
        <w:spacing w:line="560" w:lineRule="exact"/>
        <w:jc w:val="left"/>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rPr>
        <w:t xml:space="preserve">   该指标主要评价该项目立项是否符合国家法规、政策规定，符合社会经济发展战略规划</w:t>
      </w:r>
      <w:r>
        <w:rPr>
          <w:rFonts w:hint="eastAsia" w:ascii="仿宋" w:hAnsi="仿宋" w:eastAsia="仿宋" w:cs="仿宋"/>
          <w:sz w:val="30"/>
          <w:szCs w:val="30"/>
          <w:highlight w:val="none"/>
          <w:lang w:eastAsia="zh-CN"/>
        </w:rPr>
        <w:t>。</w:t>
      </w:r>
    </w:p>
    <w:p>
      <w:pPr>
        <w:pageBreakBefore w:val="0"/>
        <w:kinsoku/>
        <w:wordWrap/>
        <w:overflowPunct/>
        <w:topLinePunct w:val="0"/>
        <w:autoSpaceDE/>
        <w:autoSpaceDN/>
        <w:bidi w:val="0"/>
        <w:adjustRightInd/>
        <w:snapToGrid/>
        <w:spacing w:line="560" w:lineRule="exact"/>
        <w:ind w:firstLine="600" w:firstLineChars="200"/>
        <w:jc w:val="left"/>
        <w:rPr>
          <w:rFonts w:hint="default" w:ascii="仿宋" w:hAnsi="仿宋" w:eastAsia="仿宋" w:cs="仿宋"/>
          <w:sz w:val="30"/>
          <w:szCs w:val="30"/>
          <w:highlight w:val="none"/>
          <w:lang w:val="en-US" w:eastAsia="zh-CN"/>
        </w:rPr>
      </w:pPr>
      <w:bookmarkStart w:id="44" w:name="_Toc83631041"/>
      <w:bookmarkStart w:id="45" w:name="_Toc83630427"/>
      <w:bookmarkStart w:id="46" w:name="_Toc83630331"/>
      <w:bookmarkStart w:id="47" w:name="_Toc25534"/>
      <w:bookmarkStart w:id="48" w:name="_Toc21059"/>
      <w:r>
        <w:rPr>
          <w:rFonts w:hint="eastAsia" w:ascii="仿宋" w:hAnsi="仿宋" w:eastAsia="仿宋" w:cs="仿宋"/>
          <w:sz w:val="30"/>
          <w:szCs w:val="30"/>
          <w:highlight w:val="none"/>
        </w:rPr>
        <w:t>经检查，该项目设立的主要依据</w:t>
      </w:r>
      <w:r>
        <w:rPr>
          <w:rFonts w:hint="eastAsia" w:ascii="仿宋" w:hAnsi="仿宋" w:eastAsia="仿宋" w:cs="仿宋"/>
          <w:sz w:val="30"/>
          <w:szCs w:val="30"/>
          <w:highlight w:val="none"/>
          <w:lang w:val="en-US" w:eastAsia="zh-CN"/>
        </w:rPr>
        <w:t>有</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rPr>
        <w:t>曲阳县发展和改革局201</w:t>
      </w:r>
      <w:r>
        <w:rPr>
          <w:rFonts w:hint="eastAsia" w:ascii="仿宋" w:hAnsi="仿宋" w:eastAsia="仿宋" w:cs="仿宋"/>
          <w:sz w:val="30"/>
          <w:szCs w:val="30"/>
          <w:highlight w:val="none"/>
          <w:lang w:val="en-US" w:eastAsia="zh-CN"/>
        </w:rPr>
        <w:t>7</w:t>
      </w:r>
      <w:r>
        <w:rPr>
          <w:rFonts w:hint="eastAsia" w:ascii="仿宋" w:hAnsi="仿宋" w:eastAsia="仿宋" w:cs="仿宋"/>
          <w:sz w:val="30"/>
          <w:szCs w:val="30"/>
          <w:highlight w:val="none"/>
        </w:rPr>
        <w:t>年</w:t>
      </w:r>
      <w:r>
        <w:rPr>
          <w:rFonts w:hint="eastAsia" w:ascii="仿宋" w:hAnsi="仿宋" w:eastAsia="仿宋" w:cs="仿宋"/>
          <w:sz w:val="30"/>
          <w:szCs w:val="30"/>
          <w:highlight w:val="none"/>
          <w:lang w:val="en-US" w:eastAsia="zh-CN"/>
        </w:rPr>
        <w:t>12</w:t>
      </w:r>
      <w:r>
        <w:rPr>
          <w:rFonts w:hint="eastAsia" w:ascii="仿宋" w:hAnsi="仿宋" w:eastAsia="仿宋" w:cs="仿宋"/>
          <w:sz w:val="30"/>
          <w:szCs w:val="30"/>
          <w:highlight w:val="none"/>
        </w:rPr>
        <w:t>月</w:t>
      </w:r>
      <w:r>
        <w:rPr>
          <w:rFonts w:hint="eastAsia" w:ascii="仿宋" w:hAnsi="仿宋" w:eastAsia="仿宋" w:cs="仿宋"/>
          <w:sz w:val="30"/>
          <w:szCs w:val="30"/>
          <w:highlight w:val="none"/>
          <w:lang w:val="en-US" w:eastAsia="zh-CN"/>
        </w:rPr>
        <w:t>11</w:t>
      </w:r>
      <w:r>
        <w:rPr>
          <w:rFonts w:hint="eastAsia" w:ascii="仿宋" w:hAnsi="仿宋" w:eastAsia="仿宋" w:cs="仿宋"/>
          <w:sz w:val="30"/>
          <w:szCs w:val="30"/>
          <w:highlight w:val="none"/>
        </w:rPr>
        <w:t>日《关于曲阳县孟良河综合治理工程</w:t>
      </w:r>
      <w:r>
        <w:rPr>
          <w:rFonts w:hint="eastAsia" w:ascii="仿宋" w:hAnsi="仿宋" w:eastAsia="仿宋" w:cs="仿宋"/>
          <w:sz w:val="30"/>
          <w:szCs w:val="30"/>
          <w:highlight w:val="none"/>
          <w:lang w:val="en-US" w:eastAsia="zh-CN"/>
        </w:rPr>
        <w:t>项目建议书</w:t>
      </w:r>
      <w:r>
        <w:rPr>
          <w:rFonts w:hint="eastAsia" w:ascii="仿宋" w:hAnsi="仿宋" w:eastAsia="仿宋" w:cs="仿宋"/>
          <w:sz w:val="30"/>
          <w:szCs w:val="30"/>
          <w:highlight w:val="none"/>
        </w:rPr>
        <w:t>的批复》</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rPr>
        <w:t>曲阳发改审字</w:t>
      </w:r>
      <w:r>
        <w:rPr>
          <w:rFonts w:hint="eastAsia" w:ascii="仿宋" w:hAnsi="仿宋" w:eastAsia="仿宋" w:cs="仿宋"/>
          <w:sz w:val="30"/>
          <w:szCs w:val="30"/>
          <w:highlight w:val="none"/>
          <w:lang w:val="en-US" w:eastAsia="en-US"/>
        </w:rPr>
        <w:t>[201</w:t>
      </w:r>
      <w:r>
        <w:rPr>
          <w:rFonts w:hint="eastAsia" w:ascii="仿宋" w:hAnsi="仿宋" w:eastAsia="仿宋" w:cs="仿宋"/>
          <w:sz w:val="30"/>
          <w:szCs w:val="30"/>
          <w:highlight w:val="none"/>
          <w:lang w:val="en-US" w:eastAsia="zh-CN"/>
        </w:rPr>
        <w:t>7</w:t>
      </w:r>
      <w:r>
        <w:rPr>
          <w:rFonts w:hint="eastAsia" w:ascii="仿宋" w:hAnsi="仿宋" w:eastAsia="仿宋" w:cs="仿宋"/>
          <w:sz w:val="30"/>
          <w:szCs w:val="30"/>
          <w:highlight w:val="none"/>
          <w:lang w:val="en-US" w:eastAsia="en-US"/>
        </w:rPr>
        <w:t xml:space="preserve">] </w:t>
      </w:r>
      <w:r>
        <w:rPr>
          <w:rFonts w:hint="eastAsia" w:ascii="仿宋" w:hAnsi="仿宋" w:eastAsia="仿宋" w:cs="仿宋"/>
          <w:sz w:val="30"/>
          <w:szCs w:val="30"/>
          <w:highlight w:val="none"/>
          <w:lang w:val="en-US" w:eastAsia="zh-CN"/>
        </w:rPr>
        <w:t>112</w:t>
      </w:r>
      <w:r>
        <w:rPr>
          <w:rFonts w:hint="eastAsia" w:ascii="仿宋" w:hAnsi="仿宋" w:eastAsia="仿宋" w:cs="仿宋"/>
          <w:sz w:val="30"/>
          <w:szCs w:val="30"/>
          <w:highlight w:val="none"/>
        </w:rPr>
        <w:t>号</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rPr>
        <w:t>曲阳县发展和改革局2019年4月8日《关于曲阳县孟良河综合治理工程可行性研究报告的批复》</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rPr>
        <w:t>曲阳发改审字</w:t>
      </w:r>
      <w:r>
        <w:rPr>
          <w:rFonts w:hint="eastAsia" w:ascii="仿宋" w:hAnsi="仿宋" w:eastAsia="仿宋" w:cs="仿宋"/>
          <w:sz w:val="30"/>
          <w:szCs w:val="30"/>
          <w:highlight w:val="none"/>
          <w:lang w:val="en-US" w:eastAsia="en-US"/>
        </w:rPr>
        <w:t xml:space="preserve">[2019] </w:t>
      </w:r>
      <w:r>
        <w:rPr>
          <w:rFonts w:hint="eastAsia" w:ascii="仿宋" w:hAnsi="仿宋" w:eastAsia="仿宋" w:cs="仿宋"/>
          <w:sz w:val="30"/>
          <w:szCs w:val="30"/>
          <w:highlight w:val="none"/>
        </w:rPr>
        <w:t>32号</w:t>
      </w:r>
      <w:r>
        <w:rPr>
          <w:rFonts w:hint="eastAsia" w:ascii="仿宋" w:hAnsi="仿宋" w:eastAsia="仿宋" w:cs="仿宋"/>
          <w:sz w:val="30"/>
          <w:szCs w:val="30"/>
          <w:highlight w:val="none"/>
          <w:lang w:eastAsia="zh-CN"/>
        </w:rPr>
        <w:t>）</w:t>
      </w:r>
      <w:bookmarkEnd w:id="44"/>
      <w:bookmarkEnd w:id="45"/>
      <w:bookmarkEnd w:id="46"/>
      <w:bookmarkEnd w:id="47"/>
      <w:bookmarkEnd w:id="48"/>
      <w:r>
        <w:rPr>
          <w:rFonts w:hint="eastAsia" w:ascii="仿宋" w:hAnsi="仿宋" w:eastAsia="仿宋" w:cs="仿宋"/>
          <w:sz w:val="30"/>
          <w:szCs w:val="30"/>
          <w:highlight w:val="none"/>
          <w:lang w:eastAsia="zh-CN"/>
        </w:rPr>
        <w:t>；曲阳县人民政府专题会议纪要（</w:t>
      </w:r>
      <w:r>
        <w:rPr>
          <w:rFonts w:hint="eastAsia" w:ascii="仿宋" w:hAnsi="仿宋" w:eastAsia="仿宋" w:cs="仿宋"/>
          <w:sz w:val="30"/>
          <w:szCs w:val="30"/>
          <w:highlight w:val="none"/>
          <w:lang w:val="en-US" w:eastAsia="en-US"/>
        </w:rPr>
        <w:t>[2019]</w:t>
      </w:r>
      <w:r>
        <w:rPr>
          <w:rFonts w:hint="eastAsia" w:ascii="仿宋" w:hAnsi="仿宋" w:eastAsia="仿宋" w:cs="仿宋"/>
          <w:sz w:val="30"/>
          <w:szCs w:val="30"/>
          <w:highlight w:val="none"/>
          <w:lang w:val="en-US" w:eastAsia="zh-CN"/>
        </w:rPr>
        <w:t>112</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lang w:val="en-US" w:eastAsia="zh-CN"/>
        </w:rPr>
        <w:t>号</w:t>
      </w:r>
      <w:r>
        <w:rPr>
          <w:rFonts w:hint="eastAsia" w:ascii="仿宋" w:hAnsi="仿宋" w:eastAsia="仿宋" w:cs="仿宋"/>
          <w:sz w:val="30"/>
          <w:szCs w:val="30"/>
          <w:highlight w:val="none"/>
          <w:lang w:eastAsia="zh-CN"/>
        </w:rPr>
        <w:t>等。</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rPr>
        <w:t>我们认为该项目设定依据充分，</w:t>
      </w:r>
      <w:r>
        <w:rPr>
          <w:rFonts w:hint="eastAsia" w:ascii="仿宋" w:hAnsi="仿宋" w:eastAsia="仿宋" w:cs="仿宋"/>
          <w:sz w:val="30"/>
          <w:szCs w:val="30"/>
          <w:highlight w:val="none"/>
          <w:lang w:val="en-US" w:eastAsia="zh-CN"/>
        </w:rPr>
        <w:t>按照规定的程序申请设立，已经过必要的可行性研究、专家论证等。</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该指标实际得分</w:t>
      </w:r>
      <w:r>
        <w:rPr>
          <w:rFonts w:hint="eastAsia" w:ascii="仿宋" w:hAnsi="仿宋" w:eastAsia="仿宋" w:cs="仿宋"/>
          <w:sz w:val="30"/>
          <w:szCs w:val="30"/>
          <w:highlight w:val="none"/>
          <w:lang w:val="en-US" w:eastAsia="zh-CN"/>
        </w:rPr>
        <w:t>6</w:t>
      </w:r>
      <w:r>
        <w:rPr>
          <w:rFonts w:hint="eastAsia" w:ascii="仿宋" w:hAnsi="仿宋" w:eastAsia="仿宋" w:cs="仿宋"/>
          <w:sz w:val="30"/>
          <w:szCs w:val="30"/>
          <w:highlight w:val="none"/>
        </w:rPr>
        <w:t>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（2）项目决策必要性（</w:t>
      </w:r>
      <w:r>
        <w:rPr>
          <w:rFonts w:hint="eastAsia" w:ascii="仿宋" w:hAnsi="仿宋" w:eastAsia="仿宋" w:cs="仿宋"/>
          <w:sz w:val="30"/>
          <w:szCs w:val="30"/>
          <w:highlight w:val="none"/>
          <w:lang w:val="en-US" w:eastAsia="zh-CN"/>
        </w:rPr>
        <w:t>6</w:t>
      </w:r>
      <w:r>
        <w:rPr>
          <w:rFonts w:hint="eastAsia" w:ascii="仿宋" w:hAnsi="仿宋" w:eastAsia="仿宋" w:cs="仿宋"/>
          <w:sz w:val="30"/>
          <w:szCs w:val="30"/>
          <w:highlight w:val="none"/>
        </w:rPr>
        <w:t>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该指标主要评价项目内容设置与国家及地方政策、规划、社会需求等相关内容相符程度，决策过程是否规范，用以反映和考核项目决策的必要性。</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bookmarkStart w:id="49" w:name="_Toc83630428"/>
      <w:bookmarkStart w:id="50" w:name="_Toc24207"/>
      <w:bookmarkStart w:id="51" w:name="_Toc83631042"/>
      <w:bookmarkStart w:id="52" w:name="_Toc32149"/>
      <w:bookmarkStart w:id="53" w:name="_Toc83630332"/>
      <w:r>
        <w:rPr>
          <w:rFonts w:hint="eastAsia" w:ascii="仿宋" w:hAnsi="仿宋" w:eastAsia="仿宋" w:cs="仿宋"/>
          <w:sz w:val="30"/>
          <w:szCs w:val="30"/>
          <w:highlight w:val="none"/>
          <w:lang w:eastAsia="zh-CN"/>
        </w:rPr>
        <w:t>通过项目实施，</w:t>
      </w:r>
      <w:bookmarkEnd w:id="49"/>
      <w:bookmarkEnd w:id="50"/>
      <w:bookmarkEnd w:id="51"/>
      <w:bookmarkEnd w:id="52"/>
      <w:bookmarkEnd w:id="53"/>
      <w:r>
        <w:rPr>
          <w:rFonts w:hint="eastAsia" w:ascii="仿宋" w:hAnsi="仿宋" w:eastAsia="仿宋" w:cs="仿宋"/>
          <w:sz w:val="30"/>
          <w:szCs w:val="30"/>
          <w:highlight w:val="none"/>
        </w:rPr>
        <w:t>修复河道生态，提高中水资源化利用率，改善曲阳县城及河道沿线的生态环境，进而改善白洋淀水质，服务雄安新区，</w:t>
      </w:r>
      <w:r>
        <w:rPr>
          <w:rFonts w:hint="eastAsia" w:ascii="仿宋" w:hAnsi="仿宋" w:eastAsia="仿宋" w:cs="仿宋"/>
          <w:sz w:val="30"/>
          <w:szCs w:val="30"/>
          <w:highlight w:val="none"/>
          <w:lang w:val="en-US" w:eastAsia="zh-CN"/>
        </w:rPr>
        <w:t>对</w:t>
      </w:r>
      <w:r>
        <w:rPr>
          <w:rFonts w:hint="eastAsia" w:ascii="仿宋" w:hAnsi="仿宋" w:eastAsia="仿宋" w:cs="仿宋"/>
          <w:sz w:val="30"/>
          <w:szCs w:val="30"/>
          <w:highlight w:val="none"/>
        </w:rPr>
        <w:t>经济的可持续发展</w:t>
      </w:r>
      <w:r>
        <w:rPr>
          <w:rFonts w:hint="eastAsia" w:ascii="仿宋" w:hAnsi="仿宋" w:eastAsia="仿宋" w:cs="仿宋"/>
          <w:sz w:val="30"/>
          <w:szCs w:val="30"/>
          <w:highlight w:val="none"/>
          <w:lang w:val="en-US" w:eastAsia="zh-CN"/>
        </w:rPr>
        <w:t>具有重要意义。</w:t>
      </w:r>
    </w:p>
    <w:p>
      <w:pPr>
        <w:pageBreakBefore w:val="0"/>
        <w:kinsoku/>
        <w:wordWrap/>
        <w:overflowPunct/>
        <w:topLinePunct w:val="0"/>
        <w:autoSpaceDE/>
        <w:autoSpaceDN/>
        <w:bidi w:val="0"/>
        <w:adjustRightInd/>
        <w:snapToGrid/>
        <w:spacing w:line="560" w:lineRule="exact"/>
        <w:ind w:firstLine="600" w:firstLineChars="200"/>
        <w:outlineLvl w:val="0"/>
        <w:rPr>
          <w:rFonts w:hint="eastAsia" w:ascii="仿宋" w:hAnsi="仿宋" w:eastAsia="仿宋" w:cs="仿宋"/>
          <w:sz w:val="30"/>
          <w:szCs w:val="30"/>
          <w:highlight w:val="none"/>
        </w:rPr>
      </w:pPr>
      <w:bookmarkStart w:id="54" w:name="_Toc83631043"/>
      <w:bookmarkStart w:id="55" w:name="_Toc83630429"/>
      <w:bookmarkStart w:id="56" w:name="_Toc26878"/>
      <w:bookmarkStart w:id="57" w:name="_Toc83630333"/>
      <w:bookmarkStart w:id="58" w:name="_Toc5914"/>
      <w:r>
        <w:rPr>
          <w:rFonts w:hint="eastAsia" w:ascii="仿宋" w:hAnsi="仿宋" w:eastAsia="仿宋" w:cs="仿宋"/>
          <w:sz w:val="30"/>
          <w:szCs w:val="30"/>
          <w:highlight w:val="none"/>
        </w:rPr>
        <w:t>为此我们认为该项目决策的评价结论为必要。</w:t>
      </w:r>
      <w:bookmarkEnd w:id="54"/>
      <w:bookmarkEnd w:id="55"/>
      <w:bookmarkEnd w:id="56"/>
      <w:bookmarkEnd w:id="57"/>
      <w:bookmarkEnd w:id="58"/>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该指标实际得分</w:t>
      </w:r>
      <w:r>
        <w:rPr>
          <w:rFonts w:hint="eastAsia" w:ascii="仿宋" w:hAnsi="仿宋" w:eastAsia="仿宋" w:cs="仿宋"/>
          <w:sz w:val="30"/>
          <w:szCs w:val="30"/>
          <w:highlight w:val="none"/>
          <w:lang w:val="en-US" w:eastAsia="zh-CN"/>
        </w:rPr>
        <w:t>6</w:t>
      </w:r>
      <w:r>
        <w:rPr>
          <w:rFonts w:hint="eastAsia" w:ascii="仿宋" w:hAnsi="仿宋" w:eastAsia="仿宋" w:cs="仿宋"/>
          <w:sz w:val="30"/>
          <w:szCs w:val="30"/>
          <w:highlight w:val="none"/>
        </w:rPr>
        <w:t>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2.绩效目标（</w:t>
      </w:r>
      <w:r>
        <w:rPr>
          <w:rFonts w:hint="eastAsia" w:ascii="仿宋" w:hAnsi="仿宋" w:eastAsia="仿宋" w:cs="仿宋"/>
          <w:sz w:val="30"/>
          <w:szCs w:val="30"/>
          <w:highlight w:val="none"/>
          <w:lang w:val="en-US" w:eastAsia="zh-CN"/>
        </w:rPr>
        <w:t>8</w:t>
      </w:r>
      <w:r>
        <w:rPr>
          <w:rFonts w:hint="eastAsia" w:ascii="仿宋" w:hAnsi="仿宋" w:eastAsia="仿宋" w:cs="仿宋"/>
          <w:sz w:val="30"/>
          <w:szCs w:val="30"/>
          <w:highlight w:val="none"/>
        </w:rPr>
        <w:t>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该指标共包含2个三级指标，主要评价项目绩效目标依据是否充分，项目绩效指标是否清晰、细化、量化、可衡量。</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（1）合理性（</w:t>
      </w:r>
      <w:r>
        <w:rPr>
          <w:rFonts w:hint="eastAsia" w:ascii="仿宋" w:hAnsi="仿宋" w:eastAsia="仿宋" w:cs="仿宋"/>
          <w:sz w:val="30"/>
          <w:szCs w:val="30"/>
          <w:highlight w:val="none"/>
          <w:lang w:val="en-US" w:eastAsia="zh-CN"/>
        </w:rPr>
        <w:t>4</w:t>
      </w:r>
      <w:r>
        <w:rPr>
          <w:rFonts w:hint="eastAsia" w:ascii="仿宋" w:hAnsi="仿宋" w:eastAsia="仿宋" w:cs="仿宋"/>
          <w:sz w:val="30"/>
          <w:szCs w:val="30"/>
          <w:highlight w:val="none"/>
        </w:rPr>
        <w:t>分）</w:t>
      </w:r>
    </w:p>
    <w:p>
      <w:pPr>
        <w:pageBreakBefore w:val="0"/>
        <w:kinsoku/>
        <w:wordWrap/>
        <w:overflowPunct/>
        <w:topLinePunct w:val="0"/>
        <w:autoSpaceDE/>
        <w:autoSpaceDN/>
        <w:bidi w:val="0"/>
        <w:adjustRightInd/>
        <w:snapToGrid/>
        <w:spacing w:line="560" w:lineRule="exact"/>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 xml:space="preserve">    该指标主要评价项目绩效目标依据是否充分，与客观实际相符的情况。</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rPr>
        <w:t>经检查，</w:t>
      </w:r>
      <w:r>
        <w:rPr>
          <w:rFonts w:hint="eastAsia" w:ascii="仿宋" w:hAnsi="仿宋" w:eastAsia="仿宋" w:cs="仿宋"/>
          <w:sz w:val="30"/>
          <w:szCs w:val="30"/>
          <w:highlight w:val="none"/>
          <w:lang w:eastAsia="zh-CN"/>
        </w:rPr>
        <w:t>该</w:t>
      </w:r>
      <w:r>
        <w:rPr>
          <w:rFonts w:hint="eastAsia" w:ascii="仿宋" w:hAnsi="仿宋" w:eastAsia="仿宋" w:cs="仿宋"/>
          <w:sz w:val="30"/>
          <w:szCs w:val="30"/>
          <w:highlight w:val="none"/>
        </w:rPr>
        <w:t>项目</w:t>
      </w:r>
      <w:r>
        <w:rPr>
          <w:rFonts w:hint="eastAsia" w:ascii="仿宋" w:hAnsi="仿宋" w:eastAsia="仿宋" w:cs="仿宋"/>
          <w:sz w:val="30"/>
          <w:szCs w:val="30"/>
          <w:highlight w:val="none"/>
          <w:lang w:val="en-US" w:eastAsia="zh-CN"/>
        </w:rPr>
        <w:t>的绩效目标：通过对河道进行治理，改善周边环境，保障行洪安全。</w:t>
      </w:r>
      <w:r>
        <w:rPr>
          <w:rFonts w:hint="eastAsia" w:ascii="仿宋" w:hAnsi="仿宋" w:eastAsia="仿宋" w:cs="仿宋"/>
          <w:sz w:val="30"/>
          <w:szCs w:val="30"/>
          <w:highlight w:val="none"/>
        </w:rPr>
        <w:t>该项目绩效目标是依据</w:t>
      </w:r>
      <w:r>
        <w:rPr>
          <w:rFonts w:hint="eastAsia" w:ascii="仿宋" w:hAnsi="仿宋" w:eastAsia="仿宋" w:cs="仿宋"/>
          <w:sz w:val="30"/>
          <w:szCs w:val="30"/>
          <w:highlight w:val="none"/>
          <w:lang w:val="en-US" w:eastAsia="zh-CN"/>
        </w:rPr>
        <w:t>项目可行性研究报告和初步设计文件内容设定的，绩效目标设置</w:t>
      </w:r>
      <w:r>
        <w:rPr>
          <w:rFonts w:hint="eastAsia" w:ascii="仿宋" w:hAnsi="仿宋" w:eastAsia="仿宋" w:cs="仿宋"/>
          <w:sz w:val="30"/>
          <w:szCs w:val="30"/>
          <w:highlight w:val="none"/>
        </w:rPr>
        <w:t>依据</w:t>
      </w:r>
      <w:r>
        <w:rPr>
          <w:rFonts w:hint="eastAsia" w:ascii="仿宋" w:hAnsi="仿宋" w:eastAsia="仿宋" w:cs="仿宋"/>
          <w:sz w:val="30"/>
          <w:szCs w:val="30"/>
          <w:highlight w:val="none"/>
          <w:lang w:val="en-US" w:eastAsia="zh-CN"/>
        </w:rPr>
        <w:t>较为</w:t>
      </w:r>
      <w:r>
        <w:rPr>
          <w:rFonts w:hint="eastAsia" w:ascii="仿宋" w:hAnsi="仿宋" w:eastAsia="仿宋" w:cs="仿宋"/>
          <w:sz w:val="30"/>
          <w:szCs w:val="30"/>
          <w:highlight w:val="none"/>
        </w:rPr>
        <w:t>充分，与客观实际相符</w:t>
      </w:r>
      <w:r>
        <w:rPr>
          <w:rFonts w:hint="eastAsia" w:ascii="仿宋" w:hAnsi="仿宋" w:eastAsia="仿宋" w:cs="仿宋"/>
          <w:sz w:val="30"/>
          <w:szCs w:val="30"/>
          <w:highlight w:val="none"/>
          <w:lang w:val="en-US" w:eastAsia="zh-CN"/>
        </w:rPr>
        <w:t>。</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该指标实际得分</w:t>
      </w:r>
      <w:r>
        <w:rPr>
          <w:rFonts w:hint="eastAsia" w:ascii="仿宋" w:hAnsi="仿宋" w:eastAsia="仿宋" w:cs="仿宋"/>
          <w:sz w:val="30"/>
          <w:szCs w:val="30"/>
          <w:highlight w:val="none"/>
          <w:lang w:val="en-US" w:eastAsia="zh-CN"/>
        </w:rPr>
        <w:t>4</w:t>
      </w:r>
      <w:r>
        <w:rPr>
          <w:rFonts w:hint="eastAsia" w:ascii="仿宋" w:hAnsi="仿宋" w:eastAsia="仿宋" w:cs="仿宋"/>
          <w:sz w:val="30"/>
          <w:szCs w:val="30"/>
          <w:highlight w:val="none"/>
        </w:rPr>
        <w:t>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（2）明确性（</w:t>
      </w:r>
      <w:r>
        <w:rPr>
          <w:rFonts w:hint="eastAsia" w:ascii="仿宋" w:hAnsi="仿宋" w:eastAsia="仿宋" w:cs="仿宋"/>
          <w:sz w:val="30"/>
          <w:szCs w:val="30"/>
          <w:highlight w:val="none"/>
          <w:lang w:val="en-US" w:eastAsia="zh-CN"/>
        </w:rPr>
        <w:t>4</w:t>
      </w:r>
      <w:r>
        <w:rPr>
          <w:rFonts w:hint="eastAsia" w:ascii="仿宋" w:hAnsi="仿宋" w:eastAsia="仿宋" w:cs="仿宋"/>
          <w:sz w:val="30"/>
          <w:szCs w:val="30"/>
          <w:highlight w:val="none"/>
        </w:rPr>
        <w:t>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该指标主要评价项目绩效指标是否清晰、细化、量化、可衡量，及其与当年工作任务的匹配情况。</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rPr>
        <w:t>经检查，</w:t>
      </w:r>
      <w:r>
        <w:rPr>
          <w:rFonts w:hint="eastAsia" w:ascii="仿宋" w:hAnsi="仿宋" w:eastAsia="仿宋" w:cs="仿宋"/>
          <w:sz w:val="30"/>
          <w:szCs w:val="30"/>
          <w:highlight w:val="none"/>
          <w:lang w:val="en-US" w:eastAsia="zh-CN"/>
        </w:rPr>
        <w:t>专项债券资金</w:t>
      </w:r>
      <w:r>
        <w:rPr>
          <w:rFonts w:hint="eastAsia" w:ascii="仿宋" w:hAnsi="仿宋" w:eastAsia="仿宋" w:cs="仿宋"/>
          <w:sz w:val="30"/>
          <w:szCs w:val="30"/>
          <w:highlight w:val="none"/>
        </w:rPr>
        <w:t>绩效目标</w:t>
      </w:r>
      <w:r>
        <w:rPr>
          <w:rFonts w:hint="eastAsia" w:ascii="仿宋" w:hAnsi="仿宋" w:eastAsia="仿宋" w:cs="仿宋"/>
          <w:sz w:val="30"/>
          <w:szCs w:val="30"/>
          <w:highlight w:val="none"/>
          <w:lang w:val="en-US" w:eastAsia="zh-CN"/>
        </w:rPr>
        <w:t>表中相关</w:t>
      </w:r>
      <w:r>
        <w:rPr>
          <w:rFonts w:hint="eastAsia" w:ascii="仿宋" w:hAnsi="仿宋" w:eastAsia="仿宋" w:cs="仿宋"/>
          <w:sz w:val="30"/>
          <w:szCs w:val="30"/>
          <w:highlight w:val="none"/>
        </w:rPr>
        <w:t>绩效指标</w:t>
      </w:r>
      <w:r>
        <w:rPr>
          <w:rFonts w:hint="eastAsia" w:ascii="仿宋" w:hAnsi="仿宋" w:eastAsia="仿宋" w:cs="仿宋"/>
          <w:sz w:val="30"/>
          <w:szCs w:val="30"/>
          <w:highlight w:val="none"/>
          <w:lang w:val="en-US" w:eastAsia="zh-CN"/>
        </w:rPr>
        <w:t>设定</w:t>
      </w:r>
      <w:r>
        <w:rPr>
          <w:rFonts w:hint="eastAsia" w:ascii="仿宋" w:hAnsi="仿宋" w:eastAsia="仿宋" w:cs="仿宋"/>
          <w:sz w:val="30"/>
          <w:szCs w:val="30"/>
          <w:highlight w:val="none"/>
        </w:rPr>
        <w:t>清晰、细化、量化、可衡量，</w:t>
      </w:r>
      <w:r>
        <w:rPr>
          <w:rFonts w:hint="eastAsia" w:ascii="仿宋" w:hAnsi="仿宋" w:eastAsia="仿宋" w:cs="仿宋"/>
          <w:sz w:val="30"/>
          <w:szCs w:val="30"/>
          <w:highlight w:val="none"/>
          <w:lang w:val="en-US" w:eastAsia="zh-CN"/>
        </w:rPr>
        <w:t>但未按年度细化匹配年度工作任务，不利于考核年度任务完成情况，扣2分。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该指标实际得分</w:t>
      </w:r>
      <w:r>
        <w:rPr>
          <w:rFonts w:hint="eastAsia" w:ascii="仿宋" w:hAnsi="仿宋" w:eastAsia="仿宋" w:cs="仿宋"/>
          <w:sz w:val="30"/>
          <w:szCs w:val="30"/>
          <w:highlight w:val="none"/>
          <w:lang w:val="en-US" w:eastAsia="zh-CN"/>
        </w:rPr>
        <w:t>2</w:t>
      </w:r>
      <w:r>
        <w:rPr>
          <w:rFonts w:hint="eastAsia" w:ascii="仿宋" w:hAnsi="仿宋" w:eastAsia="仿宋" w:cs="仿宋"/>
          <w:sz w:val="30"/>
          <w:szCs w:val="30"/>
          <w:highlight w:val="none"/>
        </w:rPr>
        <w:t>分。</w:t>
      </w:r>
    </w:p>
    <w:p>
      <w:pPr>
        <w:pStyle w:val="4"/>
        <w:pageBreakBefore w:val="0"/>
        <w:kinsoku/>
        <w:wordWrap/>
        <w:overflowPunct/>
        <w:topLinePunct w:val="0"/>
        <w:autoSpaceDE/>
        <w:autoSpaceDN/>
        <w:bidi w:val="0"/>
        <w:adjustRightInd/>
        <w:snapToGrid/>
        <w:spacing w:before="0" w:after="0" w:line="560" w:lineRule="exact"/>
        <w:ind w:firstLine="600" w:firstLineChars="200"/>
        <w:rPr>
          <w:rFonts w:hint="eastAsia" w:ascii="仿宋" w:hAnsi="仿宋" w:eastAsia="仿宋" w:cs="仿宋"/>
          <w:b w:val="0"/>
          <w:bCs w:val="0"/>
          <w:sz w:val="30"/>
          <w:szCs w:val="30"/>
          <w:highlight w:val="none"/>
        </w:rPr>
      </w:pPr>
      <w:bookmarkStart w:id="59" w:name="_Toc27328"/>
      <w:bookmarkStart w:id="60" w:name="_Toc8907"/>
      <w:bookmarkStart w:id="61" w:name="_Toc83631044"/>
      <w:bookmarkStart w:id="62" w:name="_Toc21302"/>
      <w:bookmarkStart w:id="63" w:name="_Toc83630334"/>
      <w:r>
        <w:rPr>
          <w:rFonts w:hint="eastAsia" w:ascii="仿宋" w:hAnsi="仿宋" w:eastAsia="仿宋" w:cs="仿宋"/>
          <w:b w:val="0"/>
          <w:bCs w:val="0"/>
          <w:sz w:val="30"/>
          <w:szCs w:val="30"/>
          <w:highlight w:val="none"/>
        </w:rPr>
        <w:t>（二）项目过程管理（</w:t>
      </w:r>
      <w:r>
        <w:rPr>
          <w:rFonts w:hint="eastAsia" w:ascii="仿宋" w:hAnsi="仿宋" w:eastAsia="仿宋" w:cs="仿宋"/>
          <w:b w:val="0"/>
          <w:bCs w:val="0"/>
          <w:sz w:val="30"/>
          <w:szCs w:val="30"/>
          <w:highlight w:val="none"/>
          <w:lang w:val="en-US" w:eastAsia="zh-CN"/>
        </w:rPr>
        <w:t>30</w:t>
      </w:r>
      <w:r>
        <w:rPr>
          <w:rFonts w:hint="eastAsia" w:ascii="仿宋" w:hAnsi="仿宋" w:eastAsia="仿宋" w:cs="仿宋"/>
          <w:b w:val="0"/>
          <w:bCs w:val="0"/>
          <w:sz w:val="30"/>
          <w:szCs w:val="30"/>
          <w:highlight w:val="none"/>
        </w:rPr>
        <w:t>分）</w:t>
      </w:r>
      <w:bookmarkEnd w:id="59"/>
      <w:bookmarkEnd w:id="60"/>
      <w:bookmarkEnd w:id="61"/>
      <w:bookmarkEnd w:id="62"/>
      <w:bookmarkEnd w:id="63"/>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该一级指标包含项目财务管理和项目业务管理2个二级指标，主要反映该项目在实施过程中，财务管理是否规范、资金使用是否合规、项目业务管理是否按照相关规定执行，以保障财政资金的安全性和项目顺利实施。</w:t>
      </w:r>
    </w:p>
    <w:p>
      <w:pPr>
        <w:pStyle w:val="2"/>
        <w:rPr>
          <w:rFonts w:hint="eastAsia"/>
          <w:highlight w:val="none"/>
        </w:rPr>
      </w:pPr>
    </w:p>
    <w:tbl>
      <w:tblPr>
        <w:tblStyle w:val="17"/>
        <w:tblW w:w="499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2079"/>
        <w:gridCol w:w="1853"/>
        <w:gridCol w:w="2834"/>
        <w:gridCol w:w="1511"/>
        <w:gridCol w:w="13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47" w:hRule="exact"/>
          <w:jc w:val="center"/>
        </w:trPr>
        <w:tc>
          <w:tcPr>
            <w:tcW w:w="1076" w:type="pc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一级指标</w:t>
            </w:r>
          </w:p>
        </w:tc>
        <w:tc>
          <w:tcPr>
            <w:tcW w:w="959" w:type="pc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二级指标</w:t>
            </w:r>
          </w:p>
        </w:tc>
        <w:tc>
          <w:tcPr>
            <w:tcW w:w="1466" w:type="pc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三级指标</w:t>
            </w:r>
          </w:p>
        </w:tc>
        <w:tc>
          <w:tcPr>
            <w:tcW w:w="782" w:type="pc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分数权重</w:t>
            </w:r>
          </w:p>
        </w:tc>
        <w:tc>
          <w:tcPr>
            <w:tcW w:w="715" w:type="pc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92" w:hRule="exact"/>
          <w:jc w:val="center"/>
        </w:trPr>
        <w:tc>
          <w:tcPr>
            <w:tcW w:w="1076" w:type="pct"/>
            <w:vMerge w:val="restar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项目过程管理</w:t>
            </w:r>
          </w:p>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w:t>
            </w:r>
            <w:r>
              <w:rPr>
                <w:rFonts w:hint="eastAsia" w:ascii="仿宋" w:hAnsi="仿宋" w:eastAsia="仿宋" w:cs="仿宋"/>
                <w:color w:val="000000"/>
                <w:kern w:val="0"/>
                <w:sz w:val="24"/>
                <w:szCs w:val="24"/>
                <w:highlight w:val="none"/>
                <w:lang w:val="en-US" w:eastAsia="zh-CN"/>
              </w:rPr>
              <w:t>30</w:t>
            </w:r>
            <w:r>
              <w:rPr>
                <w:rFonts w:hint="eastAsia" w:ascii="仿宋" w:hAnsi="仿宋" w:eastAsia="仿宋" w:cs="仿宋"/>
                <w:color w:val="000000"/>
                <w:kern w:val="0"/>
                <w:sz w:val="24"/>
                <w:szCs w:val="24"/>
                <w:highlight w:val="none"/>
              </w:rPr>
              <w:t>分）</w:t>
            </w:r>
          </w:p>
        </w:tc>
        <w:tc>
          <w:tcPr>
            <w:tcW w:w="959" w:type="pct"/>
            <w:vMerge w:val="restar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项目财务管理</w:t>
            </w:r>
          </w:p>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w:t>
            </w:r>
            <w:r>
              <w:rPr>
                <w:rFonts w:hint="eastAsia" w:ascii="仿宋" w:hAnsi="仿宋" w:eastAsia="仿宋" w:cs="仿宋"/>
                <w:color w:val="000000"/>
                <w:kern w:val="0"/>
                <w:sz w:val="24"/>
                <w:szCs w:val="24"/>
                <w:highlight w:val="none"/>
                <w:lang w:val="en-US" w:eastAsia="zh-CN"/>
              </w:rPr>
              <w:t>15</w:t>
            </w:r>
            <w:r>
              <w:rPr>
                <w:rFonts w:hint="eastAsia" w:ascii="仿宋" w:hAnsi="仿宋" w:eastAsia="仿宋" w:cs="仿宋"/>
                <w:color w:val="000000"/>
                <w:kern w:val="0"/>
                <w:sz w:val="24"/>
                <w:szCs w:val="24"/>
                <w:highlight w:val="none"/>
              </w:rPr>
              <w:t>分）</w:t>
            </w:r>
          </w:p>
        </w:tc>
        <w:tc>
          <w:tcPr>
            <w:tcW w:w="1466" w:type="pc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lang w:eastAsia="zh-CN"/>
              </w:rPr>
              <w:t>专项资金</w:t>
            </w:r>
            <w:r>
              <w:rPr>
                <w:rFonts w:hint="eastAsia" w:ascii="仿宋" w:hAnsi="仿宋" w:eastAsia="仿宋" w:cs="仿宋"/>
                <w:color w:val="000000"/>
                <w:kern w:val="0"/>
                <w:sz w:val="24"/>
                <w:szCs w:val="24"/>
                <w:highlight w:val="none"/>
              </w:rPr>
              <w:t>使用率</w:t>
            </w:r>
          </w:p>
        </w:tc>
        <w:tc>
          <w:tcPr>
            <w:tcW w:w="782" w:type="pc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lang w:val="en-US" w:eastAsia="zh-CN"/>
              </w:rPr>
            </w:pPr>
            <w:r>
              <w:rPr>
                <w:rFonts w:hint="eastAsia" w:ascii="仿宋" w:hAnsi="仿宋" w:eastAsia="仿宋" w:cs="仿宋"/>
                <w:color w:val="000000"/>
                <w:kern w:val="0"/>
                <w:sz w:val="24"/>
                <w:szCs w:val="24"/>
                <w:highlight w:val="none"/>
                <w:lang w:val="en-US" w:eastAsia="zh-CN"/>
              </w:rPr>
              <w:t>5</w:t>
            </w:r>
          </w:p>
        </w:tc>
        <w:tc>
          <w:tcPr>
            <w:tcW w:w="1381" w:type="dxa"/>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default" w:ascii="仿宋" w:hAnsi="仿宋" w:eastAsia="仿宋" w:cs="仿宋"/>
                <w:color w:val="000000"/>
                <w:kern w:val="0"/>
                <w:sz w:val="24"/>
                <w:szCs w:val="24"/>
                <w:highlight w:val="none"/>
                <w:lang w:val="en-US" w:eastAsia="zh-CN"/>
              </w:rPr>
            </w:pPr>
            <w:r>
              <w:rPr>
                <w:rFonts w:hint="eastAsia" w:ascii="仿宋" w:hAnsi="仿宋" w:eastAsia="仿宋" w:cs="仿宋"/>
                <w:color w:val="000000"/>
                <w:kern w:val="0"/>
                <w:sz w:val="24"/>
                <w:szCs w:val="24"/>
                <w:highlight w:val="none"/>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51" w:hRule="exact"/>
          <w:jc w:val="center"/>
        </w:trPr>
        <w:tc>
          <w:tcPr>
            <w:tcW w:w="1076" w:type="pct"/>
            <w:vMerge w:val="continue"/>
            <w:vAlign w:val="center"/>
          </w:tcPr>
          <w:p>
            <w:pPr>
              <w:pageBreakBefore w:val="0"/>
              <w:kinsoku/>
              <w:wordWrap/>
              <w:overflowPunct/>
              <w:topLinePunct w:val="0"/>
              <w:autoSpaceDE/>
              <w:autoSpaceDN/>
              <w:bidi w:val="0"/>
              <w:adjustRightInd/>
              <w:snapToGrid/>
              <w:spacing w:line="560" w:lineRule="exact"/>
              <w:jc w:val="center"/>
              <w:rPr>
                <w:rFonts w:hint="eastAsia" w:ascii="仿宋" w:hAnsi="仿宋" w:eastAsia="仿宋" w:cs="仿宋"/>
                <w:color w:val="000000"/>
                <w:sz w:val="24"/>
                <w:szCs w:val="24"/>
                <w:highlight w:val="none"/>
              </w:rPr>
            </w:pPr>
          </w:p>
        </w:tc>
        <w:tc>
          <w:tcPr>
            <w:tcW w:w="959" w:type="pct"/>
            <w:vMerge w:val="continue"/>
            <w:vAlign w:val="center"/>
          </w:tcPr>
          <w:p>
            <w:pPr>
              <w:pageBreakBefore w:val="0"/>
              <w:kinsoku/>
              <w:wordWrap/>
              <w:overflowPunct/>
              <w:topLinePunct w:val="0"/>
              <w:autoSpaceDE/>
              <w:autoSpaceDN/>
              <w:bidi w:val="0"/>
              <w:adjustRightInd/>
              <w:snapToGrid/>
              <w:spacing w:line="560" w:lineRule="exact"/>
              <w:jc w:val="center"/>
              <w:rPr>
                <w:rFonts w:hint="eastAsia" w:ascii="仿宋" w:hAnsi="仿宋" w:eastAsia="仿宋" w:cs="仿宋"/>
                <w:color w:val="000000"/>
                <w:sz w:val="24"/>
                <w:szCs w:val="24"/>
                <w:highlight w:val="none"/>
              </w:rPr>
            </w:pPr>
          </w:p>
        </w:tc>
        <w:tc>
          <w:tcPr>
            <w:tcW w:w="1466" w:type="pc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会计核算</w:t>
            </w:r>
          </w:p>
        </w:tc>
        <w:tc>
          <w:tcPr>
            <w:tcW w:w="1511" w:type="dxa"/>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lang w:val="en-US" w:eastAsia="zh-CN"/>
              </w:rPr>
            </w:pPr>
            <w:r>
              <w:rPr>
                <w:rFonts w:hint="eastAsia" w:ascii="仿宋" w:hAnsi="仿宋" w:eastAsia="仿宋" w:cs="仿宋"/>
                <w:color w:val="000000"/>
                <w:kern w:val="0"/>
                <w:sz w:val="24"/>
                <w:szCs w:val="24"/>
                <w:highlight w:val="none"/>
                <w:lang w:val="en-US" w:eastAsia="zh-CN"/>
              </w:rPr>
              <w:t>5</w:t>
            </w:r>
          </w:p>
        </w:tc>
        <w:tc>
          <w:tcPr>
            <w:tcW w:w="1381" w:type="dxa"/>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lang w:val="en-US" w:eastAsia="zh-CN"/>
              </w:rPr>
            </w:pPr>
            <w:r>
              <w:rPr>
                <w:rFonts w:hint="eastAsia" w:ascii="仿宋" w:hAnsi="仿宋" w:eastAsia="仿宋" w:cs="仿宋"/>
                <w:color w:val="000000"/>
                <w:kern w:val="0"/>
                <w:sz w:val="24"/>
                <w:szCs w:val="24"/>
                <w:highlight w:val="none"/>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49" w:hRule="exact"/>
          <w:jc w:val="center"/>
        </w:trPr>
        <w:tc>
          <w:tcPr>
            <w:tcW w:w="1076" w:type="pct"/>
            <w:vMerge w:val="continue"/>
            <w:vAlign w:val="center"/>
          </w:tcPr>
          <w:p>
            <w:pPr>
              <w:pageBreakBefore w:val="0"/>
              <w:kinsoku/>
              <w:wordWrap/>
              <w:overflowPunct/>
              <w:topLinePunct w:val="0"/>
              <w:autoSpaceDE/>
              <w:autoSpaceDN/>
              <w:bidi w:val="0"/>
              <w:adjustRightInd/>
              <w:snapToGrid/>
              <w:spacing w:line="560" w:lineRule="exact"/>
              <w:jc w:val="center"/>
              <w:rPr>
                <w:rFonts w:hint="eastAsia" w:ascii="仿宋" w:hAnsi="仿宋" w:eastAsia="仿宋" w:cs="仿宋"/>
                <w:color w:val="000000"/>
                <w:sz w:val="24"/>
                <w:szCs w:val="24"/>
                <w:highlight w:val="none"/>
              </w:rPr>
            </w:pPr>
          </w:p>
        </w:tc>
        <w:tc>
          <w:tcPr>
            <w:tcW w:w="959" w:type="pct"/>
            <w:vMerge w:val="continue"/>
            <w:vAlign w:val="center"/>
          </w:tcPr>
          <w:p>
            <w:pPr>
              <w:pageBreakBefore w:val="0"/>
              <w:kinsoku/>
              <w:wordWrap/>
              <w:overflowPunct/>
              <w:topLinePunct w:val="0"/>
              <w:autoSpaceDE/>
              <w:autoSpaceDN/>
              <w:bidi w:val="0"/>
              <w:adjustRightInd/>
              <w:snapToGrid/>
              <w:spacing w:line="560" w:lineRule="exact"/>
              <w:jc w:val="center"/>
              <w:rPr>
                <w:rFonts w:hint="eastAsia" w:ascii="仿宋" w:hAnsi="仿宋" w:eastAsia="仿宋" w:cs="仿宋"/>
                <w:color w:val="000000"/>
                <w:sz w:val="24"/>
                <w:szCs w:val="24"/>
                <w:highlight w:val="none"/>
              </w:rPr>
            </w:pPr>
          </w:p>
        </w:tc>
        <w:tc>
          <w:tcPr>
            <w:tcW w:w="1466" w:type="pc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资金支出合规性</w:t>
            </w:r>
          </w:p>
        </w:tc>
        <w:tc>
          <w:tcPr>
            <w:tcW w:w="1511" w:type="dxa"/>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lang w:val="en-US" w:eastAsia="zh-CN"/>
              </w:rPr>
            </w:pPr>
            <w:r>
              <w:rPr>
                <w:rFonts w:hint="eastAsia" w:ascii="仿宋" w:hAnsi="仿宋" w:eastAsia="仿宋" w:cs="仿宋"/>
                <w:color w:val="000000"/>
                <w:kern w:val="0"/>
                <w:sz w:val="24"/>
                <w:szCs w:val="24"/>
                <w:highlight w:val="none"/>
                <w:lang w:val="en-US" w:eastAsia="zh-CN"/>
              </w:rPr>
              <w:t>5</w:t>
            </w:r>
          </w:p>
        </w:tc>
        <w:tc>
          <w:tcPr>
            <w:tcW w:w="1381" w:type="dxa"/>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lang w:val="en-US" w:eastAsia="zh-CN"/>
              </w:rPr>
            </w:pPr>
            <w:r>
              <w:rPr>
                <w:rFonts w:hint="eastAsia" w:ascii="仿宋" w:hAnsi="仿宋" w:eastAsia="仿宋" w:cs="仿宋"/>
                <w:color w:val="000000"/>
                <w:kern w:val="0"/>
                <w:sz w:val="24"/>
                <w:szCs w:val="24"/>
                <w:highlight w:val="none"/>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86" w:hRule="exact"/>
          <w:jc w:val="center"/>
        </w:trPr>
        <w:tc>
          <w:tcPr>
            <w:tcW w:w="1076" w:type="pct"/>
            <w:vMerge w:val="continue"/>
            <w:vAlign w:val="center"/>
          </w:tcPr>
          <w:p>
            <w:pPr>
              <w:pageBreakBefore w:val="0"/>
              <w:kinsoku/>
              <w:wordWrap/>
              <w:overflowPunct/>
              <w:topLinePunct w:val="0"/>
              <w:autoSpaceDE/>
              <w:autoSpaceDN/>
              <w:bidi w:val="0"/>
              <w:adjustRightInd/>
              <w:snapToGrid/>
              <w:spacing w:line="560" w:lineRule="exact"/>
              <w:jc w:val="center"/>
              <w:rPr>
                <w:rFonts w:hint="eastAsia" w:ascii="仿宋" w:hAnsi="仿宋" w:eastAsia="仿宋" w:cs="仿宋"/>
                <w:color w:val="000000"/>
                <w:sz w:val="24"/>
                <w:szCs w:val="24"/>
                <w:highlight w:val="none"/>
              </w:rPr>
            </w:pPr>
          </w:p>
        </w:tc>
        <w:tc>
          <w:tcPr>
            <w:tcW w:w="959" w:type="pct"/>
            <w:vMerge w:val="restar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项目业务管理</w:t>
            </w:r>
          </w:p>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w:t>
            </w:r>
            <w:r>
              <w:rPr>
                <w:rFonts w:hint="eastAsia" w:ascii="仿宋" w:hAnsi="仿宋" w:eastAsia="仿宋" w:cs="仿宋"/>
                <w:color w:val="000000"/>
                <w:kern w:val="0"/>
                <w:sz w:val="24"/>
                <w:szCs w:val="24"/>
                <w:highlight w:val="none"/>
                <w:lang w:val="en-US" w:eastAsia="zh-CN"/>
              </w:rPr>
              <w:t>15</w:t>
            </w:r>
            <w:r>
              <w:rPr>
                <w:rFonts w:hint="eastAsia" w:ascii="仿宋" w:hAnsi="仿宋" w:eastAsia="仿宋" w:cs="仿宋"/>
                <w:color w:val="000000"/>
                <w:kern w:val="0"/>
                <w:sz w:val="24"/>
                <w:szCs w:val="24"/>
                <w:highlight w:val="none"/>
              </w:rPr>
              <w:t>分）</w:t>
            </w:r>
          </w:p>
        </w:tc>
        <w:tc>
          <w:tcPr>
            <w:tcW w:w="1466" w:type="pc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lang w:eastAsia="zh-CN"/>
              </w:rPr>
            </w:pPr>
            <w:r>
              <w:rPr>
                <w:rFonts w:hint="eastAsia" w:ascii="仿宋" w:hAnsi="仿宋" w:eastAsia="仿宋" w:cs="仿宋"/>
                <w:color w:val="000000"/>
                <w:kern w:val="0"/>
                <w:sz w:val="24"/>
                <w:szCs w:val="24"/>
                <w:highlight w:val="none"/>
                <w:lang w:val="en-US" w:eastAsia="zh-CN"/>
              </w:rPr>
              <w:t>管理制度是否健全</w:t>
            </w:r>
          </w:p>
        </w:tc>
        <w:tc>
          <w:tcPr>
            <w:tcW w:w="1511" w:type="dxa"/>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default" w:ascii="仿宋" w:hAnsi="仿宋" w:eastAsia="仿宋" w:cs="仿宋"/>
                <w:color w:val="000000"/>
                <w:kern w:val="0"/>
                <w:sz w:val="24"/>
                <w:szCs w:val="24"/>
                <w:highlight w:val="none"/>
                <w:lang w:val="en-US" w:eastAsia="zh-CN"/>
              </w:rPr>
            </w:pPr>
            <w:r>
              <w:rPr>
                <w:rFonts w:hint="eastAsia" w:ascii="仿宋" w:hAnsi="仿宋" w:eastAsia="仿宋" w:cs="仿宋"/>
                <w:color w:val="000000"/>
                <w:kern w:val="0"/>
                <w:sz w:val="24"/>
                <w:szCs w:val="24"/>
                <w:highlight w:val="none"/>
                <w:lang w:val="en-US" w:eastAsia="zh-CN"/>
              </w:rPr>
              <w:t>5</w:t>
            </w:r>
          </w:p>
        </w:tc>
        <w:tc>
          <w:tcPr>
            <w:tcW w:w="1381" w:type="dxa"/>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75" w:hRule="exact"/>
          <w:jc w:val="center"/>
        </w:trPr>
        <w:tc>
          <w:tcPr>
            <w:tcW w:w="1076" w:type="pct"/>
            <w:vMerge w:val="continue"/>
            <w:vAlign w:val="center"/>
          </w:tcPr>
          <w:p>
            <w:pPr>
              <w:pageBreakBefore w:val="0"/>
              <w:kinsoku/>
              <w:wordWrap/>
              <w:overflowPunct/>
              <w:topLinePunct w:val="0"/>
              <w:autoSpaceDE/>
              <w:autoSpaceDN/>
              <w:bidi w:val="0"/>
              <w:adjustRightInd/>
              <w:snapToGrid/>
              <w:spacing w:line="560" w:lineRule="exact"/>
              <w:jc w:val="center"/>
              <w:rPr>
                <w:rFonts w:hint="eastAsia" w:ascii="仿宋" w:hAnsi="仿宋" w:eastAsia="仿宋" w:cs="仿宋"/>
                <w:color w:val="000000"/>
                <w:sz w:val="24"/>
                <w:szCs w:val="24"/>
                <w:highlight w:val="none"/>
              </w:rPr>
            </w:pPr>
          </w:p>
        </w:tc>
        <w:tc>
          <w:tcPr>
            <w:tcW w:w="959" w:type="pct"/>
            <w:vMerge w:val="continue"/>
            <w:vAlign w:val="center"/>
          </w:tcPr>
          <w:p>
            <w:pPr>
              <w:pageBreakBefore w:val="0"/>
              <w:kinsoku/>
              <w:wordWrap/>
              <w:overflowPunct/>
              <w:topLinePunct w:val="0"/>
              <w:autoSpaceDE/>
              <w:autoSpaceDN/>
              <w:bidi w:val="0"/>
              <w:adjustRightInd/>
              <w:snapToGrid/>
              <w:spacing w:line="560" w:lineRule="exact"/>
              <w:jc w:val="center"/>
              <w:rPr>
                <w:rFonts w:hint="eastAsia" w:ascii="仿宋" w:hAnsi="仿宋" w:eastAsia="仿宋" w:cs="仿宋"/>
                <w:color w:val="000000"/>
                <w:sz w:val="24"/>
                <w:szCs w:val="24"/>
                <w:highlight w:val="none"/>
              </w:rPr>
            </w:pPr>
          </w:p>
        </w:tc>
        <w:tc>
          <w:tcPr>
            <w:tcW w:w="1466" w:type="pc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lang w:eastAsia="zh-CN"/>
              </w:rPr>
            </w:pPr>
            <w:r>
              <w:rPr>
                <w:rFonts w:hint="eastAsia" w:ascii="仿宋" w:hAnsi="仿宋" w:eastAsia="仿宋" w:cs="仿宋"/>
                <w:color w:val="000000"/>
                <w:kern w:val="0"/>
                <w:sz w:val="24"/>
                <w:szCs w:val="24"/>
                <w:highlight w:val="none"/>
                <w:lang w:val="en-US" w:eastAsia="zh-CN"/>
              </w:rPr>
              <w:t>制度执行有效性</w:t>
            </w:r>
          </w:p>
        </w:tc>
        <w:tc>
          <w:tcPr>
            <w:tcW w:w="1511" w:type="dxa"/>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lang w:val="en-US" w:eastAsia="zh-CN"/>
              </w:rPr>
            </w:pPr>
            <w:r>
              <w:rPr>
                <w:rFonts w:hint="eastAsia" w:ascii="仿宋" w:hAnsi="仿宋" w:eastAsia="仿宋" w:cs="仿宋"/>
                <w:color w:val="000000"/>
                <w:kern w:val="0"/>
                <w:sz w:val="24"/>
                <w:szCs w:val="24"/>
                <w:highlight w:val="none"/>
                <w:lang w:val="en-US" w:eastAsia="zh-CN"/>
              </w:rPr>
              <w:t>5</w:t>
            </w:r>
          </w:p>
        </w:tc>
        <w:tc>
          <w:tcPr>
            <w:tcW w:w="1381" w:type="dxa"/>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lang w:val="en-US" w:eastAsia="zh-CN"/>
              </w:rPr>
            </w:pPr>
            <w:r>
              <w:rPr>
                <w:rFonts w:hint="eastAsia" w:ascii="仿宋" w:hAnsi="仿宋" w:eastAsia="仿宋" w:cs="仿宋"/>
                <w:color w:val="000000"/>
                <w:kern w:val="0"/>
                <w:sz w:val="24"/>
                <w:szCs w:val="24"/>
                <w:highlight w:val="none"/>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59" w:hRule="exact"/>
          <w:jc w:val="center"/>
        </w:trPr>
        <w:tc>
          <w:tcPr>
            <w:tcW w:w="1076" w:type="pct"/>
            <w:vMerge w:val="continue"/>
            <w:vAlign w:val="center"/>
          </w:tcPr>
          <w:p>
            <w:pPr>
              <w:pageBreakBefore w:val="0"/>
              <w:kinsoku/>
              <w:wordWrap/>
              <w:overflowPunct/>
              <w:topLinePunct w:val="0"/>
              <w:autoSpaceDE/>
              <w:autoSpaceDN/>
              <w:bidi w:val="0"/>
              <w:adjustRightInd/>
              <w:snapToGrid/>
              <w:spacing w:line="560" w:lineRule="exact"/>
              <w:jc w:val="center"/>
              <w:rPr>
                <w:rFonts w:hint="eastAsia" w:ascii="仿宋" w:hAnsi="仿宋" w:eastAsia="仿宋" w:cs="仿宋"/>
                <w:color w:val="000000"/>
                <w:sz w:val="24"/>
                <w:szCs w:val="24"/>
                <w:highlight w:val="none"/>
              </w:rPr>
            </w:pPr>
          </w:p>
        </w:tc>
        <w:tc>
          <w:tcPr>
            <w:tcW w:w="959" w:type="pct"/>
            <w:vMerge w:val="continue"/>
            <w:vAlign w:val="center"/>
          </w:tcPr>
          <w:p>
            <w:pPr>
              <w:pageBreakBefore w:val="0"/>
              <w:kinsoku/>
              <w:wordWrap/>
              <w:overflowPunct/>
              <w:topLinePunct w:val="0"/>
              <w:autoSpaceDE/>
              <w:autoSpaceDN/>
              <w:bidi w:val="0"/>
              <w:adjustRightInd/>
              <w:snapToGrid/>
              <w:spacing w:line="560" w:lineRule="exact"/>
              <w:jc w:val="center"/>
              <w:rPr>
                <w:rFonts w:hint="eastAsia" w:ascii="仿宋" w:hAnsi="仿宋" w:eastAsia="仿宋" w:cs="仿宋"/>
                <w:color w:val="000000"/>
                <w:sz w:val="24"/>
                <w:szCs w:val="24"/>
                <w:highlight w:val="none"/>
              </w:rPr>
            </w:pPr>
          </w:p>
        </w:tc>
        <w:tc>
          <w:tcPr>
            <w:tcW w:w="1466" w:type="pc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项目档案资料完整性</w:t>
            </w:r>
          </w:p>
        </w:tc>
        <w:tc>
          <w:tcPr>
            <w:tcW w:w="1511" w:type="dxa"/>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default" w:ascii="仿宋" w:hAnsi="仿宋" w:eastAsia="仿宋" w:cs="仿宋"/>
                <w:color w:val="000000"/>
                <w:kern w:val="0"/>
                <w:sz w:val="24"/>
                <w:szCs w:val="24"/>
                <w:highlight w:val="none"/>
                <w:lang w:val="en-US" w:eastAsia="zh-CN"/>
              </w:rPr>
            </w:pPr>
            <w:r>
              <w:rPr>
                <w:rFonts w:hint="eastAsia" w:ascii="仿宋" w:hAnsi="仿宋" w:eastAsia="仿宋" w:cs="仿宋"/>
                <w:color w:val="000000"/>
                <w:kern w:val="0"/>
                <w:sz w:val="24"/>
                <w:szCs w:val="24"/>
                <w:highlight w:val="none"/>
                <w:lang w:val="en-US" w:eastAsia="zh-CN"/>
              </w:rPr>
              <w:t>5</w:t>
            </w:r>
          </w:p>
        </w:tc>
        <w:tc>
          <w:tcPr>
            <w:tcW w:w="1381" w:type="dxa"/>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lang w:val="en-US" w:eastAsia="zh-CN"/>
              </w:rPr>
            </w:pPr>
            <w:r>
              <w:rPr>
                <w:rFonts w:hint="eastAsia" w:ascii="仿宋" w:hAnsi="仿宋" w:eastAsia="仿宋" w:cs="仿宋"/>
                <w:color w:val="000000"/>
                <w:kern w:val="0"/>
                <w:sz w:val="24"/>
                <w:szCs w:val="24"/>
                <w:highlight w:val="none"/>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22" w:hRule="exact"/>
          <w:jc w:val="center"/>
        </w:trPr>
        <w:tc>
          <w:tcPr>
            <w:tcW w:w="3502" w:type="pct"/>
            <w:gridSpan w:val="3"/>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合  计</w:t>
            </w:r>
          </w:p>
        </w:tc>
        <w:tc>
          <w:tcPr>
            <w:tcW w:w="782" w:type="pc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default" w:ascii="仿宋" w:hAnsi="仿宋" w:eastAsia="仿宋" w:cs="仿宋"/>
                <w:color w:val="000000"/>
                <w:kern w:val="0"/>
                <w:sz w:val="24"/>
                <w:szCs w:val="24"/>
                <w:highlight w:val="none"/>
                <w:lang w:val="en-US" w:eastAsia="zh-CN"/>
              </w:rPr>
            </w:pPr>
            <w:r>
              <w:rPr>
                <w:rFonts w:hint="eastAsia" w:ascii="仿宋" w:hAnsi="仿宋" w:eastAsia="仿宋" w:cs="仿宋"/>
                <w:color w:val="000000"/>
                <w:kern w:val="0"/>
                <w:sz w:val="24"/>
                <w:szCs w:val="24"/>
                <w:highlight w:val="none"/>
                <w:lang w:val="en-US" w:eastAsia="zh-CN"/>
              </w:rPr>
              <w:t>30</w:t>
            </w:r>
          </w:p>
        </w:tc>
        <w:tc>
          <w:tcPr>
            <w:tcW w:w="715" w:type="pc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default" w:ascii="仿宋" w:hAnsi="仿宋" w:eastAsia="仿宋" w:cs="仿宋"/>
                <w:color w:val="000000"/>
                <w:kern w:val="0"/>
                <w:sz w:val="24"/>
                <w:szCs w:val="24"/>
                <w:highlight w:val="none"/>
                <w:lang w:val="en-US" w:eastAsia="zh-CN"/>
              </w:rPr>
            </w:pPr>
            <w:r>
              <w:rPr>
                <w:rFonts w:hint="eastAsia" w:ascii="仿宋" w:hAnsi="仿宋" w:eastAsia="仿宋" w:cs="仿宋"/>
                <w:color w:val="000000"/>
                <w:kern w:val="0"/>
                <w:sz w:val="24"/>
                <w:szCs w:val="24"/>
                <w:highlight w:val="none"/>
                <w:lang w:val="en-US" w:eastAsia="zh-CN"/>
              </w:rPr>
              <w:t>27</w:t>
            </w:r>
          </w:p>
        </w:tc>
      </w:tr>
    </w:tbl>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1.项目财务管理（</w:t>
      </w:r>
      <w:r>
        <w:rPr>
          <w:rFonts w:hint="eastAsia" w:ascii="仿宋" w:hAnsi="仿宋" w:eastAsia="仿宋" w:cs="仿宋"/>
          <w:sz w:val="30"/>
          <w:szCs w:val="30"/>
          <w:highlight w:val="none"/>
          <w:lang w:val="en-US" w:eastAsia="zh-CN"/>
        </w:rPr>
        <w:t>15</w:t>
      </w:r>
      <w:r>
        <w:rPr>
          <w:rFonts w:hint="eastAsia" w:ascii="仿宋" w:hAnsi="仿宋" w:eastAsia="仿宋" w:cs="仿宋"/>
          <w:sz w:val="30"/>
          <w:szCs w:val="30"/>
          <w:highlight w:val="none"/>
        </w:rPr>
        <w:t>分）</w:t>
      </w:r>
    </w:p>
    <w:p>
      <w:pPr>
        <w:pageBreakBefore w:val="0"/>
        <w:kinsoku/>
        <w:wordWrap/>
        <w:overflowPunct/>
        <w:topLinePunct w:val="0"/>
        <w:autoSpaceDE/>
        <w:autoSpaceDN/>
        <w:bidi w:val="0"/>
        <w:adjustRightInd/>
        <w:snapToGrid/>
        <w:spacing w:line="560" w:lineRule="exact"/>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 xml:space="preserve">    （1）</w:t>
      </w:r>
      <w:r>
        <w:rPr>
          <w:rFonts w:hint="eastAsia" w:ascii="仿宋" w:hAnsi="仿宋" w:eastAsia="仿宋" w:cs="仿宋"/>
          <w:sz w:val="30"/>
          <w:szCs w:val="30"/>
          <w:highlight w:val="none"/>
          <w:lang w:eastAsia="zh-CN"/>
        </w:rPr>
        <w:t>专项资金</w:t>
      </w:r>
      <w:r>
        <w:rPr>
          <w:rFonts w:hint="eastAsia" w:ascii="仿宋" w:hAnsi="仿宋" w:eastAsia="仿宋" w:cs="仿宋"/>
          <w:sz w:val="30"/>
          <w:szCs w:val="30"/>
          <w:highlight w:val="none"/>
        </w:rPr>
        <w:t>使用率（</w:t>
      </w:r>
      <w:r>
        <w:rPr>
          <w:rFonts w:hint="eastAsia" w:ascii="仿宋" w:hAnsi="仿宋" w:eastAsia="仿宋" w:cs="仿宋"/>
          <w:sz w:val="30"/>
          <w:szCs w:val="30"/>
          <w:highlight w:val="none"/>
          <w:lang w:val="en-US" w:eastAsia="zh-CN"/>
        </w:rPr>
        <w:t>5</w:t>
      </w:r>
      <w:r>
        <w:rPr>
          <w:rFonts w:hint="eastAsia" w:ascii="仿宋" w:hAnsi="仿宋" w:eastAsia="仿宋" w:cs="仿宋"/>
          <w:sz w:val="30"/>
          <w:szCs w:val="30"/>
          <w:highlight w:val="none"/>
        </w:rPr>
        <w:t>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该指标主要评价实际使用</w:t>
      </w:r>
      <w:r>
        <w:rPr>
          <w:rFonts w:hint="eastAsia" w:ascii="仿宋" w:hAnsi="仿宋" w:eastAsia="仿宋" w:cs="仿宋"/>
          <w:sz w:val="30"/>
          <w:szCs w:val="30"/>
          <w:highlight w:val="none"/>
          <w:lang w:val="en-US" w:eastAsia="zh-CN"/>
        </w:rPr>
        <w:t>专项债券</w:t>
      </w:r>
      <w:r>
        <w:rPr>
          <w:rFonts w:hint="eastAsia" w:ascii="仿宋" w:hAnsi="仿宋" w:eastAsia="仿宋" w:cs="仿宋"/>
          <w:sz w:val="30"/>
          <w:szCs w:val="30"/>
          <w:highlight w:val="none"/>
        </w:rPr>
        <w:t>资金数额占</w:t>
      </w:r>
      <w:r>
        <w:rPr>
          <w:rFonts w:hint="eastAsia" w:ascii="仿宋" w:hAnsi="仿宋" w:eastAsia="仿宋" w:cs="仿宋"/>
          <w:sz w:val="30"/>
          <w:szCs w:val="30"/>
          <w:highlight w:val="none"/>
          <w:lang w:val="en-US" w:eastAsia="zh-CN"/>
        </w:rPr>
        <w:t>专项债券资金</w:t>
      </w:r>
      <w:r>
        <w:rPr>
          <w:rFonts w:hint="eastAsia" w:ascii="仿宋" w:hAnsi="仿宋" w:eastAsia="仿宋" w:cs="仿宋"/>
          <w:sz w:val="30"/>
          <w:szCs w:val="30"/>
          <w:highlight w:val="none"/>
        </w:rPr>
        <w:t>实际拨付额比例。</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经检查，</w:t>
      </w:r>
      <w:r>
        <w:rPr>
          <w:rFonts w:hint="eastAsia" w:ascii="仿宋" w:hAnsi="仿宋" w:eastAsia="仿宋" w:cs="仿宋"/>
          <w:sz w:val="30"/>
          <w:szCs w:val="30"/>
          <w:highlight w:val="none"/>
          <w:lang w:val="en-US" w:eastAsia="zh-CN"/>
        </w:rPr>
        <w:t>该项目2022年</w:t>
      </w:r>
      <w:r>
        <w:rPr>
          <w:rFonts w:hint="eastAsia" w:ascii="仿宋" w:hAnsi="仿宋" w:eastAsia="仿宋" w:cs="仿宋"/>
          <w:sz w:val="30"/>
          <w:szCs w:val="30"/>
          <w:highlight w:val="none"/>
          <w:lang w:eastAsia="zh-CN"/>
        </w:rPr>
        <w:t>度共安排</w:t>
      </w:r>
      <w:r>
        <w:rPr>
          <w:rFonts w:hint="eastAsia" w:ascii="仿宋" w:hAnsi="仿宋" w:eastAsia="仿宋" w:cs="仿宋"/>
          <w:sz w:val="30"/>
          <w:szCs w:val="30"/>
          <w:highlight w:val="none"/>
          <w:lang w:val="en-US" w:eastAsia="zh-CN"/>
        </w:rPr>
        <w:t>专项债券资金3000.00</w:t>
      </w:r>
      <w:r>
        <w:rPr>
          <w:rFonts w:hint="eastAsia" w:ascii="仿宋" w:hAnsi="仿宋" w:eastAsia="仿宋" w:cs="仿宋"/>
          <w:sz w:val="30"/>
          <w:szCs w:val="30"/>
          <w:highlight w:val="none"/>
          <w:lang w:eastAsia="zh-CN"/>
        </w:rPr>
        <w:t>万元，2022年</w:t>
      </w:r>
      <w:r>
        <w:rPr>
          <w:rFonts w:hint="eastAsia" w:ascii="仿宋" w:hAnsi="仿宋" w:eastAsia="仿宋" w:cs="仿宋"/>
          <w:sz w:val="30"/>
          <w:szCs w:val="30"/>
          <w:highlight w:val="none"/>
        </w:rPr>
        <w:t>度</w:t>
      </w:r>
      <w:r>
        <w:rPr>
          <w:rFonts w:hint="eastAsia" w:ascii="仿宋" w:hAnsi="仿宋" w:eastAsia="仿宋" w:cs="仿宋"/>
          <w:sz w:val="30"/>
          <w:szCs w:val="30"/>
          <w:highlight w:val="none"/>
          <w:lang w:val="en-US" w:eastAsia="zh-CN"/>
        </w:rPr>
        <w:t>共使用专项债券资金3000.00</w:t>
      </w:r>
      <w:r>
        <w:rPr>
          <w:rFonts w:hint="eastAsia" w:ascii="仿宋" w:hAnsi="仿宋" w:eastAsia="仿宋" w:cs="仿宋"/>
          <w:sz w:val="30"/>
          <w:szCs w:val="30"/>
          <w:highlight w:val="none"/>
          <w:lang w:eastAsia="zh-CN"/>
        </w:rPr>
        <w:t>万元</w:t>
      </w:r>
      <w:r>
        <w:rPr>
          <w:rFonts w:hint="eastAsia" w:ascii="仿宋" w:hAnsi="仿宋" w:eastAsia="仿宋" w:cs="仿宋"/>
          <w:sz w:val="30"/>
          <w:szCs w:val="30"/>
          <w:highlight w:val="none"/>
        </w:rPr>
        <w:t>，实际使用</w:t>
      </w:r>
      <w:r>
        <w:rPr>
          <w:rFonts w:hint="eastAsia" w:ascii="仿宋" w:hAnsi="仿宋" w:eastAsia="仿宋" w:cs="仿宋"/>
          <w:sz w:val="30"/>
          <w:szCs w:val="30"/>
          <w:highlight w:val="none"/>
          <w:lang w:val="en-US" w:eastAsia="zh-CN"/>
        </w:rPr>
        <w:t>专项债券</w:t>
      </w:r>
      <w:r>
        <w:rPr>
          <w:rFonts w:hint="eastAsia" w:ascii="仿宋" w:hAnsi="仿宋" w:eastAsia="仿宋" w:cs="仿宋"/>
          <w:sz w:val="30"/>
          <w:szCs w:val="30"/>
          <w:highlight w:val="none"/>
        </w:rPr>
        <w:t>资金数额占专项</w:t>
      </w:r>
      <w:r>
        <w:rPr>
          <w:rFonts w:hint="eastAsia" w:ascii="仿宋" w:hAnsi="仿宋" w:eastAsia="仿宋" w:cs="仿宋"/>
          <w:sz w:val="30"/>
          <w:szCs w:val="30"/>
          <w:highlight w:val="none"/>
          <w:lang w:val="en-US" w:eastAsia="zh-CN"/>
        </w:rPr>
        <w:t>债券</w:t>
      </w:r>
      <w:r>
        <w:rPr>
          <w:rFonts w:hint="eastAsia" w:ascii="仿宋" w:hAnsi="仿宋" w:eastAsia="仿宋" w:cs="仿宋"/>
          <w:sz w:val="30"/>
          <w:szCs w:val="30"/>
          <w:highlight w:val="none"/>
        </w:rPr>
        <w:t>资金拨付额的比例为</w:t>
      </w:r>
      <w:r>
        <w:rPr>
          <w:rFonts w:hint="eastAsia" w:ascii="仿宋" w:hAnsi="仿宋" w:eastAsia="仿宋" w:cs="仿宋"/>
          <w:sz w:val="30"/>
          <w:szCs w:val="30"/>
          <w:highlight w:val="none"/>
          <w:lang w:val="en-US" w:eastAsia="zh-CN"/>
        </w:rPr>
        <w:t>100</w:t>
      </w:r>
      <w:r>
        <w:rPr>
          <w:rFonts w:hint="eastAsia" w:ascii="仿宋" w:hAnsi="仿宋" w:eastAsia="仿宋" w:cs="仿宋"/>
          <w:sz w:val="30"/>
          <w:szCs w:val="30"/>
          <w:highlight w:val="none"/>
        </w:rPr>
        <w:t>%。</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该项指标实际得分</w:t>
      </w:r>
      <w:r>
        <w:rPr>
          <w:rFonts w:hint="eastAsia" w:ascii="仿宋" w:hAnsi="仿宋" w:eastAsia="仿宋" w:cs="仿宋"/>
          <w:sz w:val="30"/>
          <w:szCs w:val="30"/>
          <w:highlight w:val="none"/>
          <w:lang w:val="en-US" w:eastAsia="zh-CN"/>
        </w:rPr>
        <w:t>5*100</w:t>
      </w:r>
      <w:r>
        <w:rPr>
          <w:rFonts w:hint="eastAsia" w:ascii="仿宋" w:hAnsi="仿宋" w:eastAsia="仿宋" w:cs="仿宋"/>
          <w:sz w:val="30"/>
          <w:szCs w:val="30"/>
          <w:highlight w:val="none"/>
        </w:rPr>
        <w:t>%</w:t>
      </w:r>
      <w:r>
        <w:rPr>
          <w:rFonts w:hint="eastAsia" w:ascii="仿宋" w:hAnsi="仿宋" w:eastAsia="仿宋" w:cs="仿宋"/>
          <w:sz w:val="30"/>
          <w:szCs w:val="30"/>
          <w:highlight w:val="none"/>
          <w:lang w:val="en-US" w:eastAsia="zh-CN"/>
        </w:rPr>
        <w:t>=5</w:t>
      </w:r>
      <w:r>
        <w:rPr>
          <w:rFonts w:hint="eastAsia" w:ascii="仿宋" w:hAnsi="仿宋" w:eastAsia="仿宋" w:cs="仿宋"/>
          <w:sz w:val="30"/>
          <w:szCs w:val="30"/>
          <w:highlight w:val="none"/>
        </w:rPr>
        <w:t>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（2）会计核算（</w:t>
      </w:r>
      <w:r>
        <w:rPr>
          <w:rFonts w:hint="eastAsia" w:ascii="仿宋" w:hAnsi="仿宋" w:eastAsia="仿宋" w:cs="仿宋"/>
          <w:sz w:val="30"/>
          <w:szCs w:val="30"/>
          <w:highlight w:val="none"/>
          <w:lang w:val="en-US" w:eastAsia="zh-CN"/>
        </w:rPr>
        <w:t>5</w:t>
      </w:r>
      <w:r>
        <w:rPr>
          <w:rFonts w:hint="eastAsia" w:ascii="仿宋" w:hAnsi="仿宋" w:eastAsia="仿宋" w:cs="仿宋"/>
          <w:sz w:val="30"/>
          <w:szCs w:val="30"/>
          <w:highlight w:val="none"/>
        </w:rPr>
        <w:t>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该指标主要评价会计核算是否严格遵守有关法规及制度规定，会计核算是否规范，专项资金支付申报、审批流程是否完善、支付依据是否合法。</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经检查，</w:t>
      </w:r>
      <w:r>
        <w:rPr>
          <w:rFonts w:hint="eastAsia" w:ascii="仿宋" w:hAnsi="仿宋" w:eastAsia="仿宋" w:cs="仿宋"/>
          <w:sz w:val="30"/>
          <w:szCs w:val="30"/>
          <w:highlight w:val="none"/>
          <w:lang w:val="en-US" w:eastAsia="zh-CN"/>
        </w:rPr>
        <w:t>曲阳县水利局</w:t>
      </w:r>
      <w:r>
        <w:rPr>
          <w:rFonts w:hint="eastAsia" w:ascii="仿宋" w:hAnsi="仿宋" w:eastAsia="仿宋" w:cs="仿宋"/>
          <w:sz w:val="30"/>
          <w:szCs w:val="30"/>
          <w:highlight w:val="none"/>
          <w:lang w:eastAsia="zh-CN"/>
        </w:rPr>
        <w:t>会计核算严格遵守《政府会计制度》的相关规定，科目使用正确，核算规范；各项资金的支付申报、审批流程完善，支付依据充分合法。</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该项指标实际得分</w:t>
      </w:r>
      <w:r>
        <w:rPr>
          <w:rFonts w:hint="eastAsia" w:ascii="仿宋" w:hAnsi="仿宋" w:eastAsia="仿宋" w:cs="仿宋"/>
          <w:sz w:val="30"/>
          <w:szCs w:val="30"/>
          <w:highlight w:val="none"/>
          <w:lang w:val="en-US" w:eastAsia="zh-CN"/>
        </w:rPr>
        <w:t>5</w:t>
      </w:r>
      <w:r>
        <w:rPr>
          <w:rFonts w:hint="eastAsia" w:ascii="仿宋" w:hAnsi="仿宋" w:eastAsia="仿宋" w:cs="仿宋"/>
          <w:sz w:val="30"/>
          <w:szCs w:val="30"/>
          <w:highlight w:val="none"/>
        </w:rPr>
        <w:t>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（3）资金支出合规性（</w:t>
      </w:r>
      <w:r>
        <w:rPr>
          <w:rFonts w:hint="eastAsia" w:ascii="仿宋" w:hAnsi="仿宋" w:eastAsia="仿宋" w:cs="仿宋"/>
          <w:sz w:val="30"/>
          <w:szCs w:val="30"/>
          <w:highlight w:val="none"/>
          <w:lang w:val="en-US" w:eastAsia="zh-CN"/>
        </w:rPr>
        <w:t>5</w:t>
      </w:r>
      <w:r>
        <w:rPr>
          <w:rFonts w:hint="eastAsia" w:ascii="仿宋" w:hAnsi="仿宋" w:eastAsia="仿宋" w:cs="仿宋"/>
          <w:sz w:val="30"/>
          <w:szCs w:val="30"/>
          <w:highlight w:val="none"/>
        </w:rPr>
        <w:t>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该指标主要评价专项资金是否严格按照资金管理办法的用途支出，是否有截留、挤占、挪用等违规行为。</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经检查，该项目</w:t>
      </w:r>
      <w:r>
        <w:rPr>
          <w:rFonts w:hint="eastAsia" w:ascii="仿宋" w:hAnsi="仿宋" w:eastAsia="仿宋" w:cs="仿宋"/>
          <w:sz w:val="30"/>
          <w:szCs w:val="30"/>
          <w:highlight w:val="none"/>
          <w:lang w:val="en-US" w:eastAsia="zh-CN"/>
        </w:rPr>
        <w:t>专项债券</w:t>
      </w:r>
      <w:r>
        <w:rPr>
          <w:rFonts w:hint="eastAsia" w:ascii="仿宋" w:hAnsi="仿宋" w:eastAsia="仿宋" w:cs="仿宋"/>
          <w:sz w:val="30"/>
          <w:szCs w:val="30"/>
          <w:highlight w:val="none"/>
        </w:rPr>
        <w:t>资金</w:t>
      </w:r>
      <w:r>
        <w:rPr>
          <w:rFonts w:hint="eastAsia" w:ascii="仿宋" w:hAnsi="仿宋" w:eastAsia="仿宋" w:cs="仿宋"/>
          <w:sz w:val="30"/>
          <w:szCs w:val="30"/>
          <w:highlight w:val="none"/>
          <w:lang w:val="en-US" w:eastAsia="zh-CN"/>
        </w:rPr>
        <w:t>均用于项目工程款支付，</w:t>
      </w:r>
      <w:r>
        <w:rPr>
          <w:rFonts w:hint="eastAsia" w:ascii="仿宋" w:hAnsi="仿宋" w:eastAsia="仿宋" w:cs="仿宋"/>
          <w:sz w:val="30"/>
          <w:szCs w:val="30"/>
          <w:highlight w:val="none"/>
        </w:rPr>
        <w:t>专款专用，</w:t>
      </w:r>
      <w:r>
        <w:rPr>
          <w:rFonts w:hint="eastAsia" w:ascii="仿宋" w:hAnsi="仿宋" w:eastAsia="仿宋" w:cs="仿宋"/>
          <w:sz w:val="30"/>
          <w:szCs w:val="30"/>
          <w:highlight w:val="none"/>
          <w:lang w:val="en-US" w:eastAsia="zh-CN"/>
        </w:rPr>
        <w:t>资金通过国库集中支付，</w:t>
      </w:r>
      <w:r>
        <w:rPr>
          <w:rFonts w:hint="eastAsia" w:ascii="仿宋" w:hAnsi="仿宋" w:eastAsia="仿宋" w:cs="仿宋"/>
          <w:sz w:val="30"/>
          <w:szCs w:val="30"/>
          <w:highlight w:val="none"/>
        </w:rPr>
        <w:t>不存在截留、挤占、挪用等违规行为。</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该指标实际得分</w:t>
      </w:r>
      <w:r>
        <w:rPr>
          <w:rFonts w:hint="eastAsia" w:ascii="仿宋" w:hAnsi="仿宋" w:eastAsia="仿宋" w:cs="仿宋"/>
          <w:sz w:val="30"/>
          <w:szCs w:val="30"/>
          <w:highlight w:val="none"/>
          <w:lang w:val="en-US" w:eastAsia="zh-CN"/>
        </w:rPr>
        <w:t>5</w:t>
      </w:r>
      <w:r>
        <w:rPr>
          <w:rFonts w:hint="eastAsia" w:ascii="仿宋" w:hAnsi="仿宋" w:eastAsia="仿宋" w:cs="仿宋"/>
          <w:sz w:val="30"/>
          <w:szCs w:val="30"/>
          <w:highlight w:val="none"/>
        </w:rPr>
        <w:t>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2.项目业务管理（</w:t>
      </w:r>
      <w:r>
        <w:rPr>
          <w:rFonts w:hint="eastAsia" w:ascii="仿宋" w:hAnsi="仿宋" w:eastAsia="仿宋" w:cs="仿宋"/>
          <w:sz w:val="30"/>
          <w:szCs w:val="30"/>
          <w:highlight w:val="none"/>
          <w:lang w:val="en-US" w:eastAsia="zh-CN"/>
        </w:rPr>
        <w:t>15</w:t>
      </w:r>
      <w:r>
        <w:rPr>
          <w:rFonts w:hint="eastAsia" w:ascii="仿宋" w:hAnsi="仿宋" w:eastAsia="仿宋" w:cs="仿宋"/>
          <w:sz w:val="30"/>
          <w:szCs w:val="30"/>
          <w:highlight w:val="none"/>
        </w:rPr>
        <w:t>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bookmarkStart w:id="64" w:name="_Toc30993"/>
      <w:bookmarkStart w:id="65" w:name="_Toc83631045"/>
      <w:bookmarkStart w:id="66" w:name="_Toc83630335"/>
      <w:bookmarkStart w:id="67" w:name="_Toc21112"/>
      <w:bookmarkStart w:id="68" w:name="_Toc6507"/>
      <w:r>
        <w:rPr>
          <w:rFonts w:hint="eastAsia" w:ascii="仿宋" w:hAnsi="仿宋" w:eastAsia="仿宋" w:cs="仿宋"/>
          <w:sz w:val="30"/>
          <w:szCs w:val="30"/>
          <w:highlight w:val="none"/>
        </w:rPr>
        <w:t>（1）</w:t>
      </w:r>
      <w:r>
        <w:rPr>
          <w:rFonts w:hint="eastAsia" w:ascii="仿宋" w:hAnsi="仿宋" w:eastAsia="仿宋" w:cs="仿宋"/>
          <w:sz w:val="30"/>
          <w:szCs w:val="30"/>
          <w:highlight w:val="none"/>
          <w:lang w:val="en-US" w:eastAsia="zh-CN"/>
        </w:rPr>
        <w:t>管理制度是否健全</w:t>
      </w:r>
      <w:r>
        <w:rPr>
          <w:rFonts w:hint="eastAsia" w:ascii="仿宋" w:hAnsi="仿宋" w:eastAsia="仿宋" w:cs="仿宋"/>
          <w:sz w:val="30"/>
          <w:szCs w:val="30"/>
          <w:highlight w:val="none"/>
        </w:rPr>
        <w:t>（</w:t>
      </w:r>
      <w:r>
        <w:rPr>
          <w:rFonts w:hint="eastAsia" w:ascii="仿宋" w:hAnsi="仿宋" w:eastAsia="仿宋" w:cs="仿宋"/>
          <w:sz w:val="30"/>
          <w:szCs w:val="30"/>
          <w:highlight w:val="none"/>
          <w:lang w:val="en-US" w:eastAsia="zh-CN"/>
        </w:rPr>
        <w:t>5</w:t>
      </w:r>
      <w:r>
        <w:rPr>
          <w:rFonts w:hint="eastAsia" w:ascii="仿宋" w:hAnsi="仿宋" w:eastAsia="仿宋" w:cs="仿宋"/>
          <w:sz w:val="30"/>
          <w:szCs w:val="30"/>
          <w:highlight w:val="none"/>
        </w:rPr>
        <w:t>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rPr>
        <w:t>该指标主要评价项目制定的管理制度和措施是否全面、明确、合理</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rPr>
        <w:t>能否保障项目顺利实施</w:t>
      </w:r>
      <w:r>
        <w:rPr>
          <w:rFonts w:hint="eastAsia" w:ascii="仿宋" w:hAnsi="仿宋" w:eastAsia="仿宋" w:cs="仿宋"/>
          <w:sz w:val="30"/>
          <w:szCs w:val="30"/>
          <w:highlight w:val="none"/>
          <w:lang w:eastAsia="zh-CN"/>
        </w:rPr>
        <w:t>。</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rPr>
        <w:t>经检查，</w:t>
      </w:r>
      <w:r>
        <w:rPr>
          <w:rFonts w:hint="eastAsia" w:ascii="仿宋" w:hAnsi="仿宋" w:eastAsia="仿宋" w:cs="仿宋"/>
          <w:sz w:val="30"/>
          <w:szCs w:val="30"/>
          <w:highlight w:val="none"/>
          <w:lang w:val="en-US" w:eastAsia="zh-CN"/>
        </w:rPr>
        <w:t>曲阳县水利局制定了曲阳县孟良河综合治理工程管理制度，制度对安全生产、财务管理、工程质量、档案资料管理等都有明细的要求。相关制度的制定有效保障了项目的顺利实施。</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该指标实际得分</w:t>
      </w:r>
      <w:r>
        <w:rPr>
          <w:rFonts w:hint="eastAsia" w:ascii="仿宋" w:hAnsi="仿宋" w:eastAsia="仿宋" w:cs="仿宋"/>
          <w:sz w:val="30"/>
          <w:szCs w:val="30"/>
          <w:highlight w:val="none"/>
          <w:lang w:val="en-US" w:eastAsia="zh-CN"/>
        </w:rPr>
        <w:t>5</w:t>
      </w:r>
      <w:r>
        <w:rPr>
          <w:rFonts w:hint="eastAsia" w:ascii="仿宋" w:hAnsi="仿宋" w:eastAsia="仿宋" w:cs="仿宋"/>
          <w:sz w:val="30"/>
          <w:szCs w:val="30"/>
          <w:highlight w:val="none"/>
        </w:rPr>
        <w:t>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（2）</w:t>
      </w:r>
      <w:r>
        <w:rPr>
          <w:rFonts w:hint="eastAsia" w:ascii="仿宋" w:hAnsi="仿宋" w:eastAsia="仿宋" w:cs="仿宋"/>
          <w:sz w:val="30"/>
          <w:szCs w:val="30"/>
          <w:highlight w:val="none"/>
          <w:lang w:val="en-US" w:eastAsia="zh-CN"/>
        </w:rPr>
        <w:t>制度执行有效性</w:t>
      </w:r>
      <w:r>
        <w:rPr>
          <w:rFonts w:hint="eastAsia" w:ascii="仿宋" w:hAnsi="仿宋" w:eastAsia="仿宋" w:cs="仿宋"/>
          <w:sz w:val="30"/>
          <w:szCs w:val="30"/>
          <w:highlight w:val="none"/>
        </w:rPr>
        <w:t>（5分）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rPr>
        <w:t>该指标主要评价项目实施是否符合相关法律法规、业务管理制度的规定</w:t>
      </w:r>
      <w:r>
        <w:rPr>
          <w:rFonts w:hint="eastAsia" w:ascii="仿宋" w:hAnsi="仿宋" w:eastAsia="仿宋" w:cs="仿宋"/>
          <w:sz w:val="30"/>
          <w:szCs w:val="30"/>
          <w:highlight w:val="none"/>
          <w:lang w:eastAsia="zh-CN"/>
        </w:rPr>
        <w:t>。</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rPr>
        <w:t>经</w:t>
      </w:r>
      <w:r>
        <w:rPr>
          <w:rFonts w:hint="eastAsia" w:ascii="仿宋" w:hAnsi="仿宋" w:eastAsia="仿宋" w:cs="仿宋"/>
          <w:sz w:val="30"/>
          <w:szCs w:val="30"/>
          <w:highlight w:val="none"/>
          <w:lang w:val="en-US" w:eastAsia="zh-CN"/>
        </w:rPr>
        <w:t>评价</w:t>
      </w:r>
      <w:r>
        <w:rPr>
          <w:rFonts w:hint="eastAsia" w:ascii="仿宋" w:hAnsi="仿宋" w:eastAsia="仿宋" w:cs="仿宋"/>
          <w:sz w:val="30"/>
          <w:szCs w:val="30"/>
          <w:highlight w:val="none"/>
        </w:rPr>
        <w:t>，</w:t>
      </w:r>
      <w:r>
        <w:rPr>
          <w:rFonts w:hint="eastAsia" w:ascii="仿宋" w:hAnsi="仿宋" w:eastAsia="仿宋" w:cs="仿宋"/>
          <w:sz w:val="30"/>
          <w:szCs w:val="30"/>
          <w:highlight w:val="none"/>
          <w:lang w:val="en-US" w:eastAsia="zh-CN"/>
        </w:rPr>
        <w:t>项目实施</w:t>
      </w:r>
      <w:r>
        <w:rPr>
          <w:rFonts w:hint="eastAsia" w:ascii="仿宋" w:hAnsi="仿宋" w:eastAsia="仿宋" w:cs="仿宋"/>
          <w:sz w:val="30"/>
          <w:szCs w:val="30"/>
          <w:highlight w:val="none"/>
        </w:rPr>
        <w:t>符合相关法律法规、业务管理制度的规定</w:t>
      </w:r>
      <w:r>
        <w:rPr>
          <w:rFonts w:hint="eastAsia" w:ascii="仿宋" w:hAnsi="仿宋" w:eastAsia="仿宋" w:cs="仿宋"/>
          <w:sz w:val="30"/>
          <w:szCs w:val="30"/>
          <w:highlight w:val="none"/>
          <w:lang w:eastAsia="zh-CN"/>
        </w:rPr>
        <w:t>。</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该指标得分</w:t>
      </w:r>
      <w:r>
        <w:rPr>
          <w:rFonts w:hint="eastAsia" w:ascii="仿宋" w:hAnsi="仿宋" w:eastAsia="仿宋" w:cs="仿宋"/>
          <w:sz w:val="30"/>
          <w:szCs w:val="30"/>
          <w:highlight w:val="none"/>
          <w:lang w:val="en-US" w:eastAsia="zh-CN"/>
        </w:rPr>
        <w:t>5</w:t>
      </w:r>
      <w:r>
        <w:rPr>
          <w:rFonts w:hint="eastAsia" w:ascii="仿宋" w:hAnsi="仿宋" w:eastAsia="仿宋" w:cs="仿宋"/>
          <w:sz w:val="30"/>
          <w:szCs w:val="30"/>
          <w:highlight w:val="none"/>
        </w:rPr>
        <w:t>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lang w:val="en-US" w:eastAsia="zh-CN"/>
        </w:rPr>
        <w:t>3</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rPr>
        <w:t>项目档案资料完整性（</w:t>
      </w:r>
      <w:r>
        <w:rPr>
          <w:rFonts w:hint="eastAsia" w:ascii="仿宋" w:hAnsi="仿宋" w:eastAsia="仿宋" w:cs="仿宋"/>
          <w:sz w:val="30"/>
          <w:szCs w:val="30"/>
          <w:highlight w:val="none"/>
          <w:lang w:val="en-US" w:eastAsia="zh-CN"/>
        </w:rPr>
        <w:t>5</w:t>
      </w:r>
      <w:r>
        <w:rPr>
          <w:rFonts w:hint="eastAsia" w:ascii="仿宋" w:hAnsi="仿宋" w:eastAsia="仿宋" w:cs="仿宋"/>
          <w:sz w:val="30"/>
          <w:szCs w:val="30"/>
          <w:highlight w:val="none"/>
        </w:rPr>
        <w:t>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该指标主要评价项目档案资料是否齐全，保存是否完整。</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经评价，项目合同工期为2019年7月20日(以监理开工令为准）至2020年7月5日（勘察、设计、施工总工期11月零15天），实际于2022年6月完成全部建设内容，项目建设存在延期情况，但未针对工程延期签订补充协议。</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经</w:t>
      </w:r>
      <w:r>
        <w:rPr>
          <w:rFonts w:hint="eastAsia" w:ascii="仿宋" w:hAnsi="仿宋" w:eastAsia="仿宋" w:cs="仿宋"/>
          <w:sz w:val="30"/>
          <w:szCs w:val="30"/>
          <w:highlight w:val="none"/>
          <w:lang w:val="en-US" w:eastAsia="zh-CN"/>
        </w:rPr>
        <w:t>评价</w:t>
      </w:r>
      <w:r>
        <w:rPr>
          <w:rFonts w:hint="eastAsia" w:ascii="仿宋" w:hAnsi="仿宋" w:eastAsia="仿宋" w:cs="仿宋"/>
          <w:sz w:val="30"/>
          <w:szCs w:val="30"/>
          <w:highlight w:val="none"/>
        </w:rPr>
        <w:t>，该项目档案</w:t>
      </w:r>
      <w:r>
        <w:rPr>
          <w:rFonts w:hint="eastAsia" w:ascii="仿宋" w:hAnsi="仿宋" w:eastAsia="仿宋" w:cs="仿宋"/>
          <w:sz w:val="30"/>
          <w:szCs w:val="30"/>
          <w:highlight w:val="none"/>
          <w:lang w:eastAsia="zh-CN"/>
        </w:rPr>
        <w:t>资料</w:t>
      </w:r>
      <w:r>
        <w:rPr>
          <w:rFonts w:hint="eastAsia" w:ascii="仿宋" w:hAnsi="仿宋" w:eastAsia="仿宋" w:cs="仿宋"/>
          <w:sz w:val="30"/>
          <w:szCs w:val="30"/>
          <w:highlight w:val="none"/>
          <w:lang w:val="en-US" w:eastAsia="zh-CN"/>
        </w:rPr>
        <w:t>完整度有待加强，扣3分。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该指标实际得分</w:t>
      </w:r>
      <w:r>
        <w:rPr>
          <w:rFonts w:hint="eastAsia" w:ascii="仿宋" w:hAnsi="仿宋" w:eastAsia="仿宋" w:cs="仿宋"/>
          <w:sz w:val="30"/>
          <w:szCs w:val="30"/>
          <w:highlight w:val="none"/>
          <w:lang w:val="en-US" w:eastAsia="zh-CN"/>
        </w:rPr>
        <w:t>2</w:t>
      </w:r>
      <w:r>
        <w:rPr>
          <w:rFonts w:hint="eastAsia" w:ascii="仿宋" w:hAnsi="仿宋" w:eastAsia="仿宋" w:cs="仿宋"/>
          <w:sz w:val="30"/>
          <w:szCs w:val="30"/>
          <w:highlight w:val="none"/>
        </w:rPr>
        <w:t>分。</w:t>
      </w:r>
    </w:p>
    <w:p>
      <w:pPr>
        <w:pStyle w:val="4"/>
        <w:pageBreakBefore w:val="0"/>
        <w:kinsoku/>
        <w:wordWrap/>
        <w:overflowPunct/>
        <w:topLinePunct w:val="0"/>
        <w:autoSpaceDE/>
        <w:autoSpaceDN/>
        <w:bidi w:val="0"/>
        <w:adjustRightInd/>
        <w:snapToGrid/>
        <w:spacing w:before="0" w:after="0" w:line="560" w:lineRule="exact"/>
        <w:ind w:firstLine="600" w:firstLineChars="200"/>
        <w:rPr>
          <w:rFonts w:hint="eastAsia" w:ascii="仿宋" w:hAnsi="仿宋" w:eastAsia="仿宋" w:cs="仿宋"/>
          <w:sz w:val="30"/>
          <w:szCs w:val="30"/>
          <w:highlight w:val="none"/>
        </w:rPr>
      </w:pPr>
      <w:r>
        <w:rPr>
          <w:rFonts w:hint="eastAsia" w:ascii="仿宋" w:hAnsi="仿宋" w:eastAsia="仿宋" w:cs="仿宋"/>
          <w:b w:val="0"/>
          <w:bCs w:val="0"/>
          <w:sz w:val="30"/>
          <w:szCs w:val="30"/>
          <w:highlight w:val="none"/>
        </w:rPr>
        <w:t>（三）项目产出（</w:t>
      </w:r>
      <w:r>
        <w:rPr>
          <w:rFonts w:hint="eastAsia" w:ascii="仿宋" w:hAnsi="仿宋" w:eastAsia="仿宋" w:cs="仿宋"/>
          <w:b w:val="0"/>
          <w:bCs w:val="0"/>
          <w:sz w:val="30"/>
          <w:szCs w:val="30"/>
          <w:highlight w:val="none"/>
          <w:lang w:val="en-US" w:eastAsia="zh-CN"/>
        </w:rPr>
        <w:t>22</w:t>
      </w:r>
      <w:r>
        <w:rPr>
          <w:rFonts w:hint="eastAsia" w:ascii="仿宋" w:hAnsi="仿宋" w:eastAsia="仿宋" w:cs="仿宋"/>
          <w:b w:val="0"/>
          <w:bCs w:val="0"/>
          <w:sz w:val="30"/>
          <w:szCs w:val="30"/>
          <w:highlight w:val="none"/>
        </w:rPr>
        <w:t>分）</w:t>
      </w:r>
      <w:bookmarkEnd w:id="64"/>
      <w:bookmarkEnd w:id="65"/>
      <w:bookmarkEnd w:id="66"/>
      <w:bookmarkEnd w:id="67"/>
      <w:bookmarkEnd w:id="68"/>
    </w:p>
    <w:p>
      <w:pPr>
        <w:spacing w:line="360" w:lineRule="auto"/>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该一级指标包含1个二级指标</w:t>
      </w:r>
      <w:r>
        <w:rPr>
          <w:rFonts w:hint="eastAsia" w:ascii="仿宋" w:hAnsi="仿宋" w:eastAsia="仿宋" w:cs="仿宋"/>
          <w:sz w:val="30"/>
          <w:szCs w:val="30"/>
          <w:highlight w:val="none"/>
          <w:lang w:val="en-US" w:eastAsia="zh-CN"/>
        </w:rPr>
        <w:t>3</w:t>
      </w:r>
      <w:r>
        <w:rPr>
          <w:rFonts w:hint="eastAsia" w:ascii="仿宋" w:hAnsi="仿宋" w:eastAsia="仿宋" w:cs="仿宋"/>
          <w:sz w:val="30"/>
          <w:szCs w:val="30"/>
          <w:highlight w:val="none"/>
        </w:rPr>
        <w:t>个三级指标，主要</w:t>
      </w:r>
      <w:r>
        <w:rPr>
          <w:rFonts w:hint="eastAsia" w:ascii="仿宋" w:hAnsi="仿宋" w:eastAsia="仿宋" w:cs="仿宋"/>
          <w:sz w:val="30"/>
          <w:szCs w:val="30"/>
          <w:highlight w:val="none"/>
          <w:lang w:val="en-US" w:eastAsia="zh-CN"/>
        </w:rPr>
        <w:t>从实际完成率、完成及时率、质量达标率</w:t>
      </w:r>
      <w:r>
        <w:rPr>
          <w:rFonts w:hint="eastAsia" w:ascii="仿宋" w:hAnsi="仿宋" w:eastAsia="仿宋" w:cs="仿宋"/>
          <w:sz w:val="30"/>
          <w:szCs w:val="30"/>
          <w:highlight w:val="none"/>
        </w:rPr>
        <w:t>是否达到预期</w:t>
      </w:r>
      <w:r>
        <w:rPr>
          <w:rFonts w:hint="eastAsia" w:ascii="仿宋" w:hAnsi="仿宋" w:eastAsia="仿宋" w:cs="仿宋"/>
          <w:sz w:val="30"/>
          <w:szCs w:val="30"/>
          <w:highlight w:val="none"/>
          <w:lang w:val="en-US" w:eastAsia="zh-CN"/>
        </w:rPr>
        <w:t>目标</w:t>
      </w:r>
      <w:r>
        <w:rPr>
          <w:rFonts w:hint="eastAsia" w:ascii="仿宋" w:hAnsi="仿宋" w:eastAsia="仿宋" w:cs="仿宋"/>
          <w:sz w:val="30"/>
          <w:szCs w:val="30"/>
          <w:highlight w:val="none"/>
        </w:rPr>
        <w:t>。</w:t>
      </w:r>
    </w:p>
    <w:tbl>
      <w:tblPr>
        <w:tblStyle w:val="17"/>
        <w:tblW w:w="4993" w:type="pct"/>
        <w:jc w:val="center"/>
        <w:tblLayout w:type="autofit"/>
        <w:tblCellMar>
          <w:top w:w="15" w:type="dxa"/>
          <w:left w:w="15" w:type="dxa"/>
          <w:bottom w:w="15" w:type="dxa"/>
          <w:right w:w="15" w:type="dxa"/>
        </w:tblCellMar>
      </w:tblPr>
      <w:tblGrid>
        <w:gridCol w:w="1667"/>
        <w:gridCol w:w="1448"/>
        <w:gridCol w:w="3992"/>
        <w:gridCol w:w="1462"/>
        <w:gridCol w:w="1085"/>
      </w:tblGrid>
      <w:tr>
        <w:tblPrEx>
          <w:tblCellMar>
            <w:top w:w="15" w:type="dxa"/>
            <w:left w:w="15" w:type="dxa"/>
            <w:bottom w:w="15" w:type="dxa"/>
            <w:right w:w="15" w:type="dxa"/>
          </w:tblCellMar>
        </w:tblPrEx>
        <w:trPr>
          <w:trHeight w:val="507" w:hRule="exact"/>
          <w:jc w:val="center"/>
        </w:trPr>
        <w:tc>
          <w:tcPr>
            <w:tcW w:w="863" w:type="pct"/>
            <w:tcBorders>
              <w:top w:val="single" w:color="000000" w:sz="4" w:space="0"/>
              <w:left w:val="single" w:color="000000" w:sz="4" w:space="0"/>
              <w:bottom w:val="single" w:color="auto"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一级指标</w:t>
            </w:r>
          </w:p>
        </w:tc>
        <w:tc>
          <w:tcPr>
            <w:tcW w:w="750" w:type="pct"/>
            <w:tcBorders>
              <w:top w:val="single" w:color="000000" w:sz="4" w:space="0"/>
              <w:left w:val="single" w:color="000000" w:sz="4" w:space="0"/>
              <w:bottom w:val="single" w:color="auto"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二级指标</w:t>
            </w:r>
          </w:p>
        </w:tc>
        <w:tc>
          <w:tcPr>
            <w:tcW w:w="2066" w:type="pct"/>
            <w:tcBorders>
              <w:top w:val="single" w:color="000000" w:sz="4" w:space="0"/>
              <w:left w:val="single" w:color="000000" w:sz="4" w:space="0"/>
              <w:bottom w:val="single" w:color="auto"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三级指标</w:t>
            </w:r>
          </w:p>
        </w:tc>
        <w:tc>
          <w:tcPr>
            <w:tcW w:w="757" w:type="pct"/>
            <w:tcBorders>
              <w:top w:val="single" w:color="000000" w:sz="4" w:space="0"/>
              <w:left w:val="single" w:color="000000" w:sz="4" w:space="0"/>
              <w:bottom w:val="single" w:color="auto"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分数权重</w:t>
            </w:r>
          </w:p>
        </w:tc>
        <w:tc>
          <w:tcPr>
            <w:tcW w:w="562" w:type="pct"/>
            <w:tcBorders>
              <w:top w:val="single" w:color="000000" w:sz="4" w:space="0"/>
              <w:left w:val="single" w:color="000000" w:sz="4" w:space="0"/>
              <w:bottom w:val="single" w:color="auto"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得分</w:t>
            </w:r>
          </w:p>
        </w:tc>
      </w:tr>
      <w:tr>
        <w:tblPrEx>
          <w:tblCellMar>
            <w:top w:w="15" w:type="dxa"/>
            <w:left w:w="15" w:type="dxa"/>
            <w:bottom w:w="15" w:type="dxa"/>
            <w:right w:w="15" w:type="dxa"/>
          </w:tblCellMar>
        </w:tblPrEx>
        <w:trPr>
          <w:trHeight w:val="853" w:hRule="exact"/>
          <w:jc w:val="center"/>
        </w:trPr>
        <w:tc>
          <w:tcPr>
            <w:tcW w:w="863" w:type="pct"/>
            <w:vMerge w:val="restart"/>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项目产出</w:t>
            </w:r>
          </w:p>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w:t>
            </w:r>
            <w:r>
              <w:rPr>
                <w:rFonts w:hint="eastAsia" w:ascii="仿宋" w:hAnsi="仿宋" w:eastAsia="仿宋" w:cs="仿宋"/>
                <w:color w:val="000000"/>
                <w:kern w:val="0"/>
                <w:sz w:val="24"/>
                <w:szCs w:val="24"/>
                <w:highlight w:val="none"/>
                <w:lang w:val="en-US" w:eastAsia="zh-CN"/>
              </w:rPr>
              <w:t>22</w:t>
            </w:r>
            <w:r>
              <w:rPr>
                <w:rFonts w:hint="eastAsia" w:ascii="仿宋" w:hAnsi="仿宋" w:eastAsia="仿宋" w:cs="仿宋"/>
                <w:color w:val="000000"/>
                <w:kern w:val="0"/>
                <w:sz w:val="24"/>
                <w:szCs w:val="24"/>
                <w:highlight w:val="none"/>
              </w:rPr>
              <w:t>分）</w:t>
            </w:r>
          </w:p>
        </w:tc>
        <w:tc>
          <w:tcPr>
            <w:tcW w:w="750" w:type="pct"/>
            <w:vMerge w:val="restart"/>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项目</w:t>
            </w:r>
            <w:r>
              <w:rPr>
                <w:rFonts w:hint="eastAsia" w:ascii="仿宋" w:hAnsi="仿宋" w:eastAsia="仿宋" w:cs="仿宋"/>
                <w:color w:val="000000"/>
                <w:kern w:val="0"/>
                <w:sz w:val="24"/>
                <w:szCs w:val="24"/>
                <w:highlight w:val="none"/>
                <w:lang w:val="en-US" w:eastAsia="zh-CN"/>
              </w:rPr>
              <w:t>产出</w:t>
            </w:r>
          </w:p>
        </w:tc>
        <w:tc>
          <w:tcPr>
            <w:tcW w:w="2066" w:type="pct"/>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lang w:val="en-US" w:eastAsia="zh-CN"/>
              </w:rPr>
              <w:t>实际完成率</w:t>
            </w:r>
          </w:p>
        </w:tc>
        <w:tc>
          <w:tcPr>
            <w:tcW w:w="757" w:type="pct"/>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lang w:val="en-US" w:eastAsia="zh-CN"/>
              </w:rPr>
              <w:t>8</w:t>
            </w:r>
          </w:p>
        </w:tc>
        <w:tc>
          <w:tcPr>
            <w:tcW w:w="1085"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default" w:ascii="仿宋" w:hAnsi="仿宋" w:eastAsia="仿宋" w:cs="仿宋"/>
                <w:color w:val="000000"/>
                <w:kern w:val="0"/>
                <w:sz w:val="24"/>
                <w:szCs w:val="24"/>
                <w:highlight w:val="none"/>
                <w:lang w:val="en-US"/>
              </w:rPr>
            </w:pPr>
            <w:r>
              <w:rPr>
                <w:rFonts w:hint="eastAsia" w:ascii="仿宋" w:hAnsi="仿宋" w:eastAsia="仿宋" w:cs="仿宋"/>
                <w:color w:val="000000"/>
                <w:kern w:val="0"/>
                <w:sz w:val="24"/>
                <w:szCs w:val="24"/>
                <w:highlight w:val="none"/>
                <w:lang w:val="en-US" w:eastAsia="zh-CN"/>
              </w:rPr>
              <w:t>8</w:t>
            </w:r>
          </w:p>
        </w:tc>
      </w:tr>
      <w:tr>
        <w:tblPrEx>
          <w:tblCellMar>
            <w:top w:w="15" w:type="dxa"/>
            <w:left w:w="15" w:type="dxa"/>
            <w:bottom w:w="15" w:type="dxa"/>
            <w:right w:w="15" w:type="dxa"/>
          </w:tblCellMar>
        </w:tblPrEx>
        <w:trPr>
          <w:trHeight w:val="828" w:hRule="exact"/>
          <w:jc w:val="center"/>
        </w:trPr>
        <w:tc>
          <w:tcPr>
            <w:tcW w:w="863" w:type="pct"/>
            <w:vMerge w:val="continue"/>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adjustRightInd/>
              <w:snapToGrid/>
              <w:spacing w:line="560" w:lineRule="exact"/>
              <w:jc w:val="center"/>
              <w:rPr>
                <w:rFonts w:hint="eastAsia" w:ascii="仿宋" w:hAnsi="仿宋" w:eastAsia="仿宋" w:cs="仿宋"/>
                <w:color w:val="000000"/>
                <w:sz w:val="24"/>
                <w:szCs w:val="24"/>
                <w:highlight w:val="none"/>
              </w:rPr>
            </w:pPr>
          </w:p>
        </w:tc>
        <w:tc>
          <w:tcPr>
            <w:tcW w:w="750" w:type="pct"/>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rPr>
            </w:pPr>
          </w:p>
        </w:tc>
        <w:tc>
          <w:tcPr>
            <w:tcW w:w="2066" w:type="pct"/>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lang w:eastAsia="zh-CN"/>
              </w:rPr>
            </w:pPr>
            <w:r>
              <w:rPr>
                <w:rFonts w:hint="eastAsia" w:ascii="仿宋" w:hAnsi="仿宋" w:eastAsia="仿宋" w:cs="仿宋"/>
                <w:color w:val="000000"/>
                <w:kern w:val="0"/>
                <w:sz w:val="24"/>
                <w:szCs w:val="24"/>
                <w:highlight w:val="none"/>
                <w:lang w:val="en-US" w:eastAsia="zh-CN"/>
              </w:rPr>
              <w:t>完成及时率</w:t>
            </w:r>
          </w:p>
        </w:tc>
        <w:tc>
          <w:tcPr>
            <w:tcW w:w="757" w:type="pct"/>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lang w:val="en-US" w:eastAsia="zh-CN"/>
              </w:rPr>
            </w:pPr>
            <w:r>
              <w:rPr>
                <w:rFonts w:hint="eastAsia" w:ascii="仿宋" w:hAnsi="仿宋" w:eastAsia="仿宋" w:cs="仿宋"/>
                <w:color w:val="000000"/>
                <w:kern w:val="0"/>
                <w:sz w:val="24"/>
                <w:szCs w:val="24"/>
                <w:highlight w:val="none"/>
                <w:lang w:val="en-US" w:eastAsia="zh-CN"/>
              </w:rPr>
              <w:t>7</w:t>
            </w:r>
          </w:p>
        </w:tc>
        <w:tc>
          <w:tcPr>
            <w:tcW w:w="1085"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lang w:val="en-US" w:eastAsia="zh-CN"/>
              </w:rPr>
            </w:pPr>
            <w:r>
              <w:rPr>
                <w:rFonts w:hint="eastAsia" w:ascii="仿宋" w:hAnsi="仿宋" w:eastAsia="仿宋" w:cs="仿宋"/>
                <w:color w:val="000000"/>
                <w:kern w:val="0"/>
                <w:sz w:val="24"/>
                <w:szCs w:val="24"/>
                <w:highlight w:val="none"/>
                <w:lang w:val="en-US" w:eastAsia="zh-CN"/>
              </w:rPr>
              <w:t>7</w:t>
            </w:r>
          </w:p>
        </w:tc>
      </w:tr>
      <w:tr>
        <w:tblPrEx>
          <w:tblCellMar>
            <w:top w:w="15" w:type="dxa"/>
            <w:left w:w="15" w:type="dxa"/>
            <w:bottom w:w="15" w:type="dxa"/>
            <w:right w:w="15" w:type="dxa"/>
          </w:tblCellMar>
        </w:tblPrEx>
        <w:trPr>
          <w:trHeight w:val="828" w:hRule="exact"/>
          <w:jc w:val="center"/>
        </w:trPr>
        <w:tc>
          <w:tcPr>
            <w:tcW w:w="863" w:type="pct"/>
            <w:vMerge w:val="continue"/>
            <w:tcBorders>
              <w:top w:val="single" w:color="auto" w:sz="4" w:space="0"/>
              <w:left w:val="single" w:color="auto" w:sz="4" w:space="0"/>
              <w:right w:val="single" w:color="000000" w:sz="4" w:space="0"/>
            </w:tcBorders>
            <w:vAlign w:val="center"/>
          </w:tcPr>
          <w:p>
            <w:pPr>
              <w:pageBreakBefore w:val="0"/>
              <w:kinsoku/>
              <w:wordWrap/>
              <w:overflowPunct/>
              <w:topLinePunct w:val="0"/>
              <w:autoSpaceDE/>
              <w:autoSpaceDN/>
              <w:bidi w:val="0"/>
              <w:adjustRightInd/>
              <w:snapToGrid/>
              <w:spacing w:line="560" w:lineRule="exact"/>
              <w:jc w:val="center"/>
              <w:rPr>
                <w:rFonts w:hint="eastAsia" w:ascii="仿宋" w:hAnsi="仿宋" w:eastAsia="仿宋" w:cs="仿宋"/>
                <w:color w:val="000000"/>
                <w:sz w:val="24"/>
                <w:szCs w:val="24"/>
                <w:highlight w:val="none"/>
              </w:rPr>
            </w:pPr>
          </w:p>
        </w:tc>
        <w:tc>
          <w:tcPr>
            <w:tcW w:w="750" w:type="pct"/>
            <w:vMerge w:val="continue"/>
            <w:tcBorders>
              <w:top w:val="single" w:color="auto" w:sz="4" w:space="0"/>
              <w:left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rPr>
            </w:pPr>
          </w:p>
        </w:tc>
        <w:tc>
          <w:tcPr>
            <w:tcW w:w="2066" w:type="pct"/>
            <w:tcBorders>
              <w:top w:val="single" w:color="auto"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lang w:val="en-US" w:eastAsia="zh-CN"/>
              </w:rPr>
              <w:t>验收合格率</w:t>
            </w:r>
          </w:p>
        </w:tc>
        <w:tc>
          <w:tcPr>
            <w:tcW w:w="757" w:type="pct"/>
            <w:tcBorders>
              <w:top w:val="single" w:color="auto"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lang w:val="en-US" w:eastAsia="zh-CN"/>
              </w:rPr>
              <w:t>7</w:t>
            </w:r>
          </w:p>
        </w:tc>
        <w:tc>
          <w:tcPr>
            <w:tcW w:w="1085" w:type="dxa"/>
            <w:tcBorders>
              <w:top w:val="single" w:color="auto"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lang w:val="en-US" w:eastAsia="zh-CN"/>
              </w:rPr>
              <w:t>7</w:t>
            </w:r>
          </w:p>
        </w:tc>
      </w:tr>
      <w:tr>
        <w:tblPrEx>
          <w:tblCellMar>
            <w:top w:w="15" w:type="dxa"/>
            <w:left w:w="15" w:type="dxa"/>
            <w:bottom w:w="15" w:type="dxa"/>
            <w:right w:w="15" w:type="dxa"/>
          </w:tblCellMar>
        </w:tblPrEx>
        <w:trPr>
          <w:trHeight w:val="609" w:hRule="exact"/>
          <w:jc w:val="center"/>
        </w:trPr>
        <w:tc>
          <w:tcPr>
            <w:tcW w:w="3680" w:type="pct"/>
            <w:gridSpan w:val="3"/>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合  计</w:t>
            </w:r>
          </w:p>
        </w:tc>
        <w:tc>
          <w:tcPr>
            <w:tcW w:w="757"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default" w:ascii="仿宋" w:hAnsi="仿宋" w:eastAsia="仿宋" w:cs="仿宋"/>
                <w:color w:val="000000"/>
                <w:kern w:val="0"/>
                <w:sz w:val="24"/>
                <w:szCs w:val="24"/>
                <w:highlight w:val="none"/>
                <w:lang w:val="en-US" w:eastAsia="zh-CN"/>
              </w:rPr>
            </w:pPr>
            <w:r>
              <w:rPr>
                <w:rFonts w:hint="eastAsia" w:ascii="仿宋" w:hAnsi="仿宋" w:eastAsia="仿宋" w:cs="仿宋"/>
                <w:color w:val="000000"/>
                <w:kern w:val="0"/>
                <w:sz w:val="24"/>
                <w:szCs w:val="24"/>
                <w:highlight w:val="none"/>
                <w:lang w:val="en-US" w:eastAsia="zh-CN"/>
              </w:rPr>
              <w:t>22</w:t>
            </w:r>
          </w:p>
        </w:tc>
        <w:tc>
          <w:tcPr>
            <w:tcW w:w="562"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default" w:ascii="仿宋" w:hAnsi="仿宋" w:eastAsia="仿宋" w:cs="仿宋"/>
                <w:color w:val="000000"/>
                <w:kern w:val="0"/>
                <w:sz w:val="24"/>
                <w:szCs w:val="24"/>
                <w:highlight w:val="none"/>
                <w:lang w:val="en-US"/>
              </w:rPr>
            </w:pPr>
            <w:r>
              <w:rPr>
                <w:rFonts w:hint="eastAsia" w:ascii="仿宋" w:hAnsi="仿宋" w:eastAsia="仿宋" w:cs="仿宋"/>
                <w:color w:val="000000"/>
                <w:kern w:val="0"/>
                <w:sz w:val="24"/>
                <w:szCs w:val="24"/>
                <w:highlight w:val="none"/>
                <w:lang w:val="en-US" w:eastAsia="zh-CN"/>
              </w:rPr>
              <w:t>22</w:t>
            </w:r>
          </w:p>
        </w:tc>
      </w:tr>
    </w:tbl>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bookmarkStart w:id="69" w:name="_Toc83630336"/>
      <w:bookmarkStart w:id="70" w:name="_Toc16415"/>
      <w:bookmarkStart w:id="71" w:name="_Toc833"/>
      <w:bookmarkStart w:id="72" w:name="_Toc83631046"/>
      <w:bookmarkStart w:id="73" w:name="_Toc1929"/>
      <w:r>
        <w:rPr>
          <w:rFonts w:hint="eastAsia" w:ascii="仿宋" w:hAnsi="仿宋" w:eastAsia="仿宋" w:cs="仿宋"/>
          <w:sz w:val="30"/>
          <w:szCs w:val="30"/>
          <w:highlight w:val="none"/>
          <w:lang w:val="en-US" w:eastAsia="zh-CN"/>
        </w:rPr>
        <w:t>1.实际完成率（8分）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该指标主要评价项目实施的实际产出数与计划产出数的比率，用以反映和考核项目产出数量目标的实现程度。</w:t>
      </w:r>
    </w:p>
    <w:p>
      <w:pPr>
        <w:ind w:left="-178" w:leftChars="-85" w:right="-334" w:rightChars="-159" w:firstLine="640"/>
        <w:jc w:val="left"/>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经评价，该项目于2019年4月8日取得了曲阳县发展和改革局《关于曲阳县孟良河综合治理工程可行性研究报告的批复》；于2019年7月签订勘察设计施工总承包合同，随后勘察设计单位开展现场勘察、测量及编制初步设计报告等设计工作；2019年10月9日，曲阳县政府组织会议，研究湿地位置，确定湿地位置调整至嘉禾山南侧。根据湿地调整意见，勘察设计单位调整了部分建设内容，于2019年12月25日取得了曲阳县发改局批准项目初步设计报告，2019年12月28日开工建设，于2022年6月完成全部项目建设，实际建设内容按项目初设建设内容实施建设。</w:t>
      </w:r>
    </w:p>
    <w:p>
      <w:pPr>
        <w:pageBreakBefore w:val="0"/>
        <w:kinsoku/>
        <w:wordWrap/>
        <w:overflowPunct/>
        <w:topLinePunct w:val="0"/>
        <w:autoSpaceDE/>
        <w:autoSpaceDN/>
        <w:bidi w:val="0"/>
        <w:adjustRightInd/>
        <w:snapToGrid/>
        <w:spacing w:line="560" w:lineRule="exact"/>
        <w:ind w:firstLine="600" w:firstLineChars="200"/>
        <w:jc w:val="left"/>
        <w:rPr>
          <w:rFonts w:hint="default"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项目实际完成数量占计划完成数量的比例为100%。</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该项指标实际得分8*100%=8分。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2.完成及时率（7分）</w:t>
      </w:r>
    </w:p>
    <w:p>
      <w:pPr>
        <w:pageBreakBefore w:val="0"/>
        <w:kinsoku/>
        <w:wordWrap/>
        <w:overflowPunct/>
        <w:topLinePunct w:val="0"/>
        <w:autoSpaceDE/>
        <w:autoSpaceDN/>
        <w:bidi w:val="0"/>
        <w:adjustRightInd/>
        <w:snapToGrid/>
        <w:spacing w:line="560" w:lineRule="exact"/>
        <w:ind w:firstLine="600" w:firstLineChars="200"/>
        <w:jc w:val="left"/>
        <w:rPr>
          <w:rFonts w:hint="default"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该指标主要评价项目实际提前完成时间与计划完成时间的比率，用以反映和考核项目产出时效目标的实现程度。</w:t>
      </w:r>
    </w:p>
    <w:p>
      <w:pPr>
        <w:pageBreakBefore w:val="0"/>
        <w:kinsoku/>
        <w:wordWrap/>
        <w:overflowPunct/>
        <w:topLinePunct w:val="0"/>
        <w:autoSpaceDE/>
        <w:autoSpaceDN/>
        <w:bidi w:val="0"/>
        <w:adjustRightInd/>
        <w:snapToGrid/>
        <w:spacing w:line="560" w:lineRule="exact"/>
        <w:ind w:firstLine="600" w:firstLineChars="200"/>
        <w:jc w:val="left"/>
        <w:rPr>
          <w:rFonts w:hint="default"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经评价，该项目施工合同显示的计划工期为2019年7月20日-2020年7月5日，2020年4月18日河北省委、省政府印发了“关于印发&lt;白洋淀生态环境综合整治方案(2020-2023年)的通知&gt;”，要求曲阳县孟良河综合治理工程2022年12月完成施工任务，十二个分部工程实际建设期间为2019年12月28日-2021年12月20日、绿地植物单元和河底绿化工程实际建设期间为2022年4月15日-2022年6月7日。符合“关于印发&lt;白洋淀生态环境综合整治方案(2020-2023年)的通知&gt;”要求。</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该项指标实际得分7分。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3.质量达标率（7分）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该指标主要评价项目完成的质量达标产出数与实际产出数的比率，用以反映和考核项目产出质量目标的实现程度。</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经检查，该项目于2022年12月30日完成了十二个分部的工程验收，并取得了单位工程验收鉴定书，验收结论为：“该单位工程已按批准设计的建设内容按期完成，能够发挥预期效益，工程质量合格，工程档案资料基本齐全，具备单位工程验收条件。”；于2022年6月9日取得了绿化工程完工验收鉴定书，验收意见为：“曲阳县孟良河综合治理工程湿地植物单元和河底绿化工程已按批复内容全部完成施工，工程资料齐全，质量合格，没有发生质量安全事故，同意通过验收。验收质量合格。”；项目质量达标率较好。</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该项指标实际得分7分。</w:t>
      </w:r>
    </w:p>
    <w:p>
      <w:pPr>
        <w:pStyle w:val="4"/>
        <w:pageBreakBefore w:val="0"/>
        <w:kinsoku/>
        <w:wordWrap/>
        <w:overflowPunct/>
        <w:topLinePunct w:val="0"/>
        <w:autoSpaceDE/>
        <w:autoSpaceDN/>
        <w:bidi w:val="0"/>
        <w:adjustRightInd/>
        <w:snapToGrid/>
        <w:spacing w:before="0" w:after="0" w:line="560" w:lineRule="exact"/>
        <w:ind w:firstLine="600" w:firstLineChars="200"/>
        <w:rPr>
          <w:rFonts w:hint="eastAsia" w:ascii="仿宋" w:hAnsi="仿宋" w:eastAsia="仿宋" w:cs="仿宋"/>
          <w:b w:val="0"/>
          <w:bCs w:val="0"/>
          <w:sz w:val="30"/>
          <w:szCs w:val="30"/>
          <w:highlight w:val="none"/>
        </w:rPr>
      </w:pPr>
      <w:r>
        <w:rPr>
          <w:rFonts w:hint="eastAsia" w:ascii="仿宋" w:hAnsi="仿宋" w:eastAsia="仿宋" w:cs="仿宋"/>
          <w:b w:val="0"/>
          <w:bCs w:val="0"/>
          <w:sz w:val="30"/>
          <w:szCs w:val="30"/>
          <w:highlight w:val="none"/>
        </w:rPr>
        <w:t>（四）项目效果（</w:t>
      </w:r>
      <w:r>
        <w:rPr>
          <w:rFonts w:hint="eastAsia" w:ascii="仿宋" w:hAnsi="仿宋" w:eastAsia="仿宋" w:cs="仿宋"/>
          <w:b w:val="0"/>
          <w:bCs w:val="0"/>
          <w:sz w:val="30"/>
          <w:szCs w:val="30"/>
          <w:highlight w:val="none"/>
          <w:lang w:val="en-US" w:eastAsia="zh-CN"/>
        </w:rPr>
        <w:t>28</w:t>
      </w:r>
      <w:r>
        <w:rPr>
          <w:rFonts w:hint="eastAsia" w:ascii="仿宋" w:hAnsi="仿宋" w:eastAsia="仿宋" w:cs="仿宋"/>
          <w:b w:val="0"/>
          <w:bCs w:val="0"/>
          <w:sz w:val="30"/>
          <w:szCs w:val="30"/>
          <w:highlight w:val="none"/>
        </w:rPr>
        <w:t>分）</w:t>
      </w:r>
      <w:bookmarkEnd w:id="69"/>
      <w:bookmarkEnd w:id="70"/>
      <w:bookmarkEnd w:id="71"/>
      <w:bookmarkEnd w:id="72"/>
      <w:bookmarkEnd w:id="73"/>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该一级指标包含项目效益1个二级指标和社会效益、生态效益、可持续影响力及社会公众或服务对象满意度4个三级指标。主要评价项目实施后所产生的各种效益，包括项目实施对社会发展、生态环境改善所带来的直接或间接影响情况、项目实施的可持续影响程度及社会公众或对项目实施效果的满意程度。</w:t>
      </w:r>
    </w:p>
    <w:tbl>
      <w:tblPr>
        <w:tblStyle w:val="17"/>
        <w:tblW w:w="0" w:type="auto"/>
        <w:jc w:val="center"/>
        <w:tblLayout w:type="fixed"/>
        <w:tblCellMar>
          <w:top w:w="15" w:type="dxa"/>
          <w:left w:w="15" w:type="dxa"/>
          <w:bottom w:w="15" w:type="dxa"/>
          <w:right w:w="15" w:type="dxa"/>
        </w:tblCellMar>
      </w:tblPr>
      <w:tblGrid>
        <w:gridCol w:w="1591"/>
        <w:gridCol w:w="1489"/>
        <w:gridCol w:w="2588"/>
        <w:gridCol w:w="1434"/>
        <w:gridCol w:w="1490"/>
      </w:tblGrid>
      <w:tr>
        <w:tblPrEx>
          <w:tblCellMar>
            <w:top w:w="15" w:type="dxa"/>
            <w:left w:w="15" w:type="dxa"/>
            <w:bottom w:w="15" w:type="dxa"/>
            <w:right w:w="15" w:type="dxa"/>
          </w:tblCellMar>
        </w:tblPrEx>
        <w:trPr>
          <w:trHeight w:val="454" w:hRule="exact"/>
          <w:jc w:val="center"/>
        </w:trPr>
        <w:tc>
          <w:tcPr>
            <w:tcW w:w="15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一级指标</w:t>
            </w:r>
          </w:p>
        </w:tc>
        <w:tc>
          <w:tcPr>
            <w:tcW w:w="148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二级指标</w:t>
            </w:r>
          </w:p>
        </w:tc>
        <w:tc>
          <w:tcPr>
            <w:tcW w:w="258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三级指标</w:t>
            </w:r>
          </w:p>
        </w:tc>
        <w:tc>
          <w:tcPr>
            <w:tcW w:w="14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分数权重</w:t>
            </w:r>
          </w:p>
        </w:tc>
        <w:tc>
          <w:tcPr>
            <w:tcW w:w="149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得分</w:t>
            </w:r>
          </w:p>
        </w:tc>
      </w:tr>
      <w:tr>
        <w:tblPrEx>
          <w:tblCellMar>
            <w:top w:w="15" w:type="dxa"/>
            <w:left w:w="15" w:type="dxa"/>
            <w:bottom w:w="15" w:type="dxa"/>
            <w:right w:w="15" w:type="dxa"/>
          </w:tblCellMar>
        </w:tblPrEx>
        <w:trPr>
          <w:trHeight w:val="584" w:hRule="exact"/>
          <w:jc w:val="center"/>
        </w:trPr>
        <w:tc>
          <w:tcPr>
            <w:tcW w:w="159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kern w:val="0"/>
                <w:sz w:val="24"/>
                <w:szCs w:val="24"/>
                <w:highlight w:val="none"/>
                <w:lang w:bidi="ar"/>
              </w:rPr>
            </w:pPr>
            <w:r>
              <w:rPr>
                <w:rFonts w:hint="eastAsia" w:ascii="仿宋" w:hAnsi="仿宋" w:eastAsia="仿宋" w:cs="仿宋"/>
                <w:color w:val="000000"/>
                <w:kern w:val="0"/>
                <w:sz w:val="24"/>
                <w:szCs w:val="24"/>
                <w:highlight w:val="none"/>
                <w:lang w:bidi="ar"/>
              </w:rPr>
              <w:t>项目效果</w:t>
            </w:r>
          </w:p>
          <w:p>
            <w:pPr>
              <w:widowControl/>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（2</w:t>
            </w:r>
            <w:r>
              <w:rPr>
                <w:rFonts w:hint="eastAsia" w:ascii="仿宋" w:hAnsi="仿宋" w:eastAsia="仿宋" w:cs="仿宋"/>
                <w:color w:val="000000"/>
                <w:kern w:val="0"/>
                <w:sz w:val="24"/>
                <w:szCs w:val="24"/>
                <w:highlight w:val="none"/>
                <w:lang w:val="en-US" w:eastAsia="zh-CN" w:bidi="ar"/>
              </w:rPr>
              <w:t>8</w:t>
            </w:r>
            <w:r>
              <w:rPr>
                <w:rFonts w:hint="eastAsia" w:ascii="仿宋" w:hAnsi="仿宋" w:eastAsia="仿宋" w:cs="仿宋"/>
                <w:color w:val="000000"/>
                <w:kern w:val="0"/>
                <w:sz w:val="24"/>
                <w:szCs w:val="24"/>
                <w:highlight w:val="none"/>
                <w:lang w:bidi="ar"/>
              </w:rPr>
              <w:t>分）</w:t>
            </w:r>
          </w:p>
        </w:tc>
        <w:tc>
          <w:tcPr>
            <w:tcW w:w="1489"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项目效益</w:t>
            </w:r>
          </w:p>
        </w:tc>
        <w:tc>
          <w:tcPr>
            <w:tcW w:w="258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社会效益</w:t>
            </w:r>
          </w:p>
        </w:tc>
        <w:tc>
          <w:tcPr>
            <w:tcW w:w="14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kern w:val="0"/>
                <w:sz w:val="24"/>
                <w:szCs w:val="24"/>
                <w:highlight w:val="none"/>
                <w:lang w:val="en-US" w:eastAsia="zh-CN" w:bidi="ar"/>
              </w:rPr>
              <w:t>7</w:t>
            </w:r>
          </w:p>
        </w:tc>
        <w:tc>
          <w:tcPr>
            <w:tcW w:w="149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kern w:val="0"/>
                <w:sz w:val="24"/>
                <w:szCs w:val="24"/>
                <w:highlight w:val="none"/>
                <w:lang w:val="en-US" w:eastAsia="zh-CN" w:bidi="ar"/>
              </w:rPr>
              <w:t>7</w:t>
            </w:r>
          </w:p>
        </w:tc>
      </w:tr>
      <w:tr>
        <w:tblPrEx>
          <w:tblCellMar>
            <w:top w:w="15" w:type="dxa"/>
            <w:left w:w="15" w:type="dxa"/>
            <w:bottom w:w="15" w:type="dxa"/>
            <w:right w:w="15" w:type="dxa"/>
          </w:tblCellMar>
        </w:tblPrEx>
        <w:trPr>
          <w:trHeight w:val="584" w:hRule="exact"/>
          <w:jc w:val="center"/>
        </w:trPr>
        <w:tc>
          <w:tcPr>
            <w:tcW w:w="1591" w:type="dxa"/>
            <w:vMerge w:val="continue"/>
            <w:tcBorders>
              <w:left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kern w:val="0"/>
                <w:sz w:val="24"/>
                <w:szCs w:val="24"/>
                <w:highlight w:val="none"/>
                <w:lang w:bidi="ar"/>
              </w:rPr>
            </w:pPr>
          </w:p>
        </w:tc>
        <w:tc>
          <w:tcPr>
            <w:tcW w:w="1489" w:type="dxa"/>
            <w:vMerge w:val="continue"/>
            <w:tcBorders>
              <w:left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kern w:val="0"/>
                <w:sz w:val="24"/>
                <w:szCs w:val="24"/>
                <w:highlight w:val="none"/>
                <w:lang w:bidi="ar"/>
              </w:rPr>
            </w:pPr>
          </w:p>
        </w:tc>
        <w:tc>
          <w:tcPr>
            <w:tcW w:w="258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生态效益</w:t>
            </w:r>
          </w:p>
        </w:tc>
        <w:tc>
          <w:tcPr>
            <w:tcW w:w="14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kern w:val="0"/>
                <w:sz w:val="24"/>
                <w:szCs w:val="24"/>
                <w:highlight w:val="none"/>
                <w:lang w:val="en-US" w:eastAsia="zh-CN" w:bidi="ar"/>
              </w:rPr>
            </w:pPr>
            <w:r>
              <w:rPr>
                <w:rFonts w:hint="eastAsia" w:ascii="仿宋" w:hAnsi="仿宋" w:eastAsia="仿宋" w:cs="仿宋"/>
                <w:color w:val="000000"/>
                <w:kern w:val="0"/>
                <w:sz w:val="24"/>
                <w:szCs w:val="24"/>
                <w:highlight w:val="none"/>
                <w:lang w:val="en-US" w:eastAsia="zh-CN" w:bidi="ar"/>
              </w:rPr>
              <w:t>8</w:t>
            </w:r>
          </w:p>
        </w:tc>
        <w:tc>
          <w:tcPr>
            <w:tcW w:w="149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default" w:ascii="仿宋" w:hAnsi="仿宋" w:eastAsia="仿宋" w:cs="仿宋"/>
                <w:color w:val="000000"/>
                <w:kern w:val="0"/>
                <w:sz w:val="24"/>
                <w:szCs w:val="24"/>
                <w:highlight w:val="none"/>
                <w:lang w:val="en-US" w:eastAsia="zh-CN" w:bidi="ar"/>
              </w:rPr>
            </w:pPr>
            <w:r>
              <w:rPr>
                <w:rFonts w:hint="eastAsia" w:ascii="仿宋" w:hAnsi="仿宋" w:eastAsia="仿宋" w:cs="仿宋"/>
                <w:color w:val="000000"/>
                <w:kern w:val="0"/>
                <w:sz w:val="24"/>
                <w:szCs w:val="24"/>
                <w:highlight w:val="none"/>
                <w:lang w:val="en-US" w:eastAsia="zh-CN" w:bidi="ar"/>
              </w:rPr>
              <w:t>8</w:t>
            </w:r>
          </w:p>
        </w:tc>
      </w:tr>
      <w:tr>
        <w:tblPrEx>
          <w:tblCellMar>
            <w:top w:w="15" w:type="dxa"/>
            <w:left w:w="15" w:type="dxa"/>
            <w:bottom w:w="15" w:type="dxa"/>
            <w:right w:w="15" w:type="dxa"/>
          </w:tblCellMar>
        </w:tblPrEx>
        <w:trPr>
          <w:trHeight w:val="554" w:hRule="exact"/>
          <w:jc w:val="center"/>
        </w:trPr>
        <w:tc>
          <w:tcPr>
            <w:tcW w:w="159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 w:val="24"/>
                <w:szCs w:val="24"/>
                <w:highlight w:val="none"/>
              </w:rPr>
            </w:pPr>
          </w:p>
        </w:tc>
        <w:tc>
          <w:tcPr>
            <w:tcW w:w="1489"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 w:val="24"/>
                <w:szCs w:val="24"/>
                <w:highlight w:val="none"/>
              </w:rPr>
            </w:pPr>
          </w:p>
        </w:tc>
        <w:tc>
          <w:tcPr>
            <w:tcW w:w="258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default"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可持续影响力</w:t>
            </w:r>
          </w:p>
        </w:tc>
        <w:tc>
          <w:tcPr>
            <w:tcW w:w="14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kern w:val="0"/>
                <w:sz w:val="24"/>
                <w:szCs w:val="24"/>
                <w:highlight w:val="none"/>
                <w:lang w:val="en-US" w:eastAsia="zh-CN" w:bidi="ar"/>
              </w:rPr>
            </w:pPr>
            <w:r>
              <w:rPr>
                <w:rFonts w:hint="eastAsia" w:ascii="仿宋" w:hAnsi="仿宋" w:eastAsia="仿宋" w:cs="仿宋"/>
                <w:color w:val="000000"/>
                <w:kern w:val="0"/>
                <w:sz w:val="24"/>
                <w:szCs w:val="24"/>
                <w:highlight w:val="none"/>
                <w:lang w:val="en-US" w:eastAsia="zh-CN" w:bidi="ar"/>
              </w:rPr>
              <w:t>7</w:t>
            </w:r>
          </w:p>
        </w:tc>
        <w:tc>
          <w:tcPr>
            <w:tcW w:w="149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kern w:val="0"/>
                <w:sz w:val="24"/>
                <w:szCs w:val="24"/>
                <w:highlight w:val="none"/>
                <w:lang w:val="en-US" w:eastAsia="zh-CN" w:bidi="ar"/>
              </w:rPr>
            </w:pPr>
            <w:r>
              <w:rPr>
                <w:rFonts w:hint="eastAsia" w:ascii="仿宋" w:hAnsi="仿宋" w:eastAsia="仿宋" w:cs="仿宋"/>
                <w:color w:val="000000"/>
                <w:kern w:val="0"/>
                <w:sz w:val="24"/>
                <w:szCs w:val="24"/>
                <w:highlight w:val="none"/>
                <w:lang w:val="en-US" w:eastAsia="zh-CN" w:bidi="ar"/>
              </w:rPr>
              <w:t>7</w:t>
            </w:r>
          </w:p>
        </w:tc>
      </w:tr>
      <w:tr>
        <w:tblPrEx>
          <w:tblCellMar>
            <w:top w:w="15" w:type="dxa"/>
            <w:left w:w="15" w:type="dxa"/>
            <w:bottom w:w="15" w:type="dxa"/>
            <w:right w:w="15" w:type="dxa"/>
          </w:tblCellMar>
        </w:tblPrEx>
        <w:trPr>
          <w:trHeight w:val="835" w:hRule="exact"/>
          <w:jc w:val="center"/>
        </w:trPr>
        <w:tc>
          <w:tcPr>
            <w:tcW w:w="159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 w:val="24"/>
                <w:szCs w:val="24"/>
                <w:highlight w:val="none"/>
              </w:rPr>
            </w:pPr>
          </w:p>
        </w:tc>
        <w:tc>
          <w:tcPr>
            <w:tcW w:w="1489"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 w:val="24"/>
                <w:szCs w:val="24"/>
                <w:highlight w:val="none"/>
              </w:rPr>
            </w:pPr>
          </w:p>
        </w:tc>
        <w:tc>
          <w:tcPr>
            <w:tcW w:w="258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lang w:val="en-US" w:eastAsia="zh-CN"/>
              </w:rPr>
              <w:t>社会公众满意度</w:t>
            </w:r>
          </w:p>
        </w:tc>
        <w:tc>
          <w:tcPr>
            <w:tcW w:w="14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kern w:val="0"/>
                <w:sz w:val="24"/>
                <w:szCs w:val="24"/>
                <w:highlight w:val="none"/>
                <w:lang w:val="en-US" w:eastAsia="zh-CN" w:bidi="ar"/>
              </w:rPr>
              <w:t>6</w:t>
            </w:r>
          </w:p>
        </w:tc>
        <w:tc>
          <w:tcPr>
            <w:tcW w:w="149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kern w:val="0"/>
                <w:sz w:val="24"/>
                <w:szCs w:val="24"/>
                <w:highlight w:val="none"/>
                <w:lang w:val="en-US" w:eastAsia="zh-CN" w:bidi="ar"/>
              </w:rPr>
              <w:t>6</w:t>
            </w:r>
          </w:p>
        </w:tc>
      </w:tr>
      <w:tr>
        <w:tblPrEx>
          <w:tblCellMar>
            <w:top w:w="15" w:type="dxa"/>
            <w:left w:w="15" w:type="dxa"/>
            <w:bottom w:w="15" w:type="dxa"/>
            <w:right w:w="15" w:type="dxa"/>
          </w:tblCellMar>
        </w:tblPrEx>
        <w:trPr>
          <w:trHeight w:val="596" w:hRule="exact"/>
          <w:jc w:val="center"/>
        </w:trPr>
        <w:tc>
          <w:tcPr>
            <w:tcW w:w="5668"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kern w:val="0"/>
                <w:sz w:val="24"/>
                <w:szCs w:val="24"/>
                <w:highlight w:val="none"/>
                <w:lang w:bidi="ar"/>
              </w:rPr>
            </w:pPr>
            <w:r>
              <w:rPr>
                <w:rFonts w:hint="eastAsia" w:ascii="仿宋" w:hAnsi="仿宋" w:eastAsia="仿宋" w:cs="仿宋"/>
                <w:color w:val="000000"/>
                <w:kern w:val="0"/>
                <w:sz w:val="24"/>
                <w:szCs w:val="24"/>
                <w:highlight w:val="none"/>
                <w:lang w:bidi="ar"/>
              </w:rPr>
              <w:t>合  计</w:t>
            </w:r>
          </w:p>
        </w:tc>
        <w:tc>
          <w:tcPr>
            <w:tcW w:w="14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default" w:ascii="仿宋" w:hAnsi="仿宋" w:eastAsia="仿宋" w:cs="仿宋"/>
                <w:color w:val="000000"/>
                <w:kern w:val="0"/>
                <w:sz w:val="24"/>
                <w:szCs w:val="24"/>
                <w:highlight w:val="none"/>
                <w:lang w:val="en-US" w:eastAsia="zh-CN" w:bidi="ar"/>
              </w:rPr>
            </w:pPr>
            <w:r>
              <w:rPr>
                <w:rFonts w:hint="eastAsia" w:ascii="仿宋" w:hAnsi="仿宋" w:eastAsia="仿宋" w:cs="仿宋"/>
                <w:color w:val="000000"/>
                <w:kern w:val="0"/>
                <w:sz w:val="24"/>
                <w:szCs w:val="24"/>
                <w:highlight w:val="none"/>
                <w:lang w:val="en-US" w:eastAsia="zh-CN" w:bidi="ar"/>
              </w:rPr>
              <w:t>28</w:t>
            </w:r>
          </w:p>
        </w:tc>
        <w:tc>
          <w:tcPr>
            <w:tcW w:w="149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default" w:ascii="仿宋" w:hAnsi="仿宋" w:eastAsia="仿宋" w:cs="仿宋"/>
                <w:color w:val="000000"/>
                <w:kern w:val="0"/>
                <w:sz w:val="24"/>
                <w:szCs w:val="24"/>
                <w:highlight w:val="none"/>
                <w:lang w:val="en-US" w:eastAsia="zh-CN" w:bidi="ar"/>
              </w:rPr>
            </w:pPr>
            <w:r>
              <w:rPr>
                <w:rFonts w:hint="eastAsia" w:ascii="仿宋" w:hAnsi="仿宋" w:eastAsia="仿宋" w:cs="仿宋"/>
                <w:color w:val="000000"/>
                <w:kern w:val="0"/>
                <w:sz w:val="24"/>
                <w:szCs w:val="24"/>
                <w:highlight w:val="none"/>
                <w:lang w:val="en-US" w:eastAsia="zh-CN" w:bidi="ar"/>
              </w:rPr>
              <w:t>28</w:t>
            </w:r>
          </w:p>
        </w:tc>
      </w:tr>
    </w:tbl>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1.社会效益（7分）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该指标主要评价该项目实施对社会发展所带来的直接或间接影响情况。</w:t>
      </w:r>
    </w:p>
    <w:p>
      <w:pPr>
        <w:pageBreakBefore w:val="0"/>
        <w:kinsoku/>
        <w:wordWrap/>
        <w:overflowPunct/>
        <w:topLinePunct w:val="0"/>
        <w:autoSpaceDE/>
        <w:autoSpaceDN/>
        <w:bidi w:val="0"/>
        <w:adjustRightInd/>
        <w:snapToGrid/>
        <w:spacing w:line="560" w:lineRule="exact"/>
        <w:ind w:firstLine="600" w:firstLineChars="200"/>
        <w:jc w:val="left"/>
        <w:rPr>
          <w:rFonts w:hint="default"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经评价，项目的实施，通过河道底泥清理、垃圾清运、河底绿化及生态浮岛修复孟良河水生态环境，改善河道沿线12个村及曲阳县城共计10 万人的人居环境，取得了较好的社会效益。</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该项指标实际得分7分。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2.生态效益（8分）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该指标主要评价项目实施对生态环境所带来的直接或间接影响情况。</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经评价，项目实施，通过人工湿地中水生植物、土壤、人工介质、微生物的物理、化学、生物三重协同作用，进一步去除污水处理厂中水中含有的有机物、氮、磷等污染物，通过河道底泥清理、垃圾清运、河底绿化及生态浮岛修复孟良河水生态环境，保证大寺头监测断面的考核水质达标，补充河道生态基流，修复河道生态，提高中水资源化利用率，节约用水，改善曲阳县城及河道沿线的生态环境，生态效益显著。</w:t>
      </w:r>
    </w:p>
    <w:p>
      <w:pPr>
        <w:pageBreakBefore w:val="0"/>
        <w:kinsoku/>
        <w:wordWrap/>
        <w:overflowPunct/>
        <w:topLinePunct w:val="0"/>
        <w:autoSpaceDE/>
        <w:autoSpaceDN/>
        <w:bidi w:val="0"/>
        <w:adjustRightInd/>
        <w:snapToGrid/>
        <w:spacing w:line="560" w:lineRule="exact"/>
        <w:ind w:firstLine="600" w:firstLineChars="200"/>
        <w:jc w:val="left"/>
        <w:rPr>
          <w:rFonts w:hint="default"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该项指标实际得分8分。</w:t>
      </w:r>
    </w:p>
    <w:p>
      <w:pPr>
        <w:pageBreakBefore w:val="0"/>
        <w:numPr>
          <w:ilvl w:val="0"/>
          <w:numId w:val="0"/>
        </w:numPr>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3.可持续影响力（7分）</w:t>
      </w:r>
    </w:p>
    <w:p>
      <w:pPr>
        <w:pageBreakBefore w:val="0"/>
        <w:kinsoku/>
        <w:wordWrap/>
        <w:overflowPunct/>
        <w:topLinePunct w:val="0"/>
        <w:autoSpaceDE/>
        <w:autoSpaceDN/>
        <w:bidi w:val="0"/>
        <w:adjustRightInd/>
        <w:snapToGrid/>
        <w:spacing w:line="560" w:lineRule="exact"/>
        <w:ind w:firstLine="600" w:firstLineChars="200"/>
        <w:jc w:val="left"/>
        <w:rPr>
          <w:rFonts w:hint="default"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该指标主要评价</w:t>
      </w:r>
      <w:r>
        <w:rPr>
          <w:rFonts w:hint="default" w:ascii="仿宋" w:hAnsi="仿宋" w:eastAsia="仿宋" w:cs="仿宋"/>
          <w:sz w:val="30"/>
          <w:szCs w:val="30"/>
          <w:highlight w:val="none"/>
          <w:lang w:val="en-US" w:eastAsia="zh-CN"/>
        </w:rPr>
        <w:t>项目后续运行及成效发挥的可持续影响情况。</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经评价，通过项目实施，改善曲阳县城及河道沿线的生态环境，对保证入淀河流水质无害，进而改善白洋淀水质具有重要意义，可持续影响效果较好。</w:t>
      </w:r>
    </w:p>
    <w:p>
      <w:pPr>
        <w:pageBreakBefore w:val="0"/>
        <w:kinsoku/>
        <w:wordWrap/>
        <w:overflowPunct/>
        <w:topLinePunct w:val="0"/>
        <w:autoSpaceDE/>
        <w:autoSpaceDN/>
        <w:bidi w:val="0"/>
        <w:adjustRightInd/>
        <w:snapToGrid/>
        <w:spacing w:line="560" w:lineRule="exact"/>
        <w:ind w:firstLine="600" w:firstLineChars="200"/>
        <w:jc w:val="left"/>
        <w:rPr>
          <w:rFonts w:hint="default"/>
          <w:highlight w:val="none"/>
          <w:lang w:val="en-US" w:eastAsia="zh-CN"/>
        </w:rPr>
      </w:pPr>
      <w:r>
        <w:rPr>
          <w:rFonts w:hint="eastAsia" w:ascii="仿宋" w:hAnsi="仿宋" w:eastAsia="仿宋" w:cs="仿宋"/>
          <w:sz w:val="30"/>
          <w:szCs w:val="30"/>
          <w:highlight w:val="none"/>
          <w:lang w:val="en-US" w:eastAsia="zh-CN"/>
        </w:rPr>
        <w:t>该项指标实际得分7分。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lang w:val="en-US" w:eastAsia="zh-CN"/>
        </w:rPr>
        <w:t>4</w:t>
      </w:r>
      <w:r>
        <w:rPr>
          <w:rFonts w:hint="eastAsia" w:ascii="仿宋" w:hAnsi="仿宋" w:eastAsia="仿宋" w:cs="仿宋"/>
          <w:sz w:val="30"/>
          <w:szCs w:val="30"/>
          <w:highlight w:val="none"/>
        </w:rPr>
        <w:t>.</w:t>
      </w:r>
      <w:r>
        <w:rPr>
          <w:rFonts w:hint="eastAsia" w:ascii="仿宋" w:hAnsi="仿宋" w:eastAsia="仿宋" w:cs="仿宋"/>
          <w:sz w:val="30"/>
          <w:szCs w:val="30"/>
          <w:highlight w:val="none"/>
          <w:lang w:val="en-US" w:eastAsia="zh-CN"/>
        </w:rPr>
        <w:t>社会公众或服务对象满意度</w:t>
      </w:r>
      <w:r>
        <w:rPr>
          <w:rFonts w:hint="eastAsia" w:ascii="仿宋" w:hAnsi="仿宋" w:eastAsia="仿宋" w:cs="仿宋"/>
          <w:sz w:val="30"/>
          <w:szCs w:val="30"/>
          <w:highlight w:val="none"/>
        </w:rPr>
        <w:t>（</w:t>
      </w:r>
      <w:r>
        <w:rPr>
          <w:rFonts w:hint="eastAsia" w:ascii="仿宋" w:hAnsi="仿宋" w:eastAsia="仿宋" w:cs="仿宋"/>
          <w:sz w:val="30"/>
          <w:szCs w:val="30"/>
          <w:highlight w:val="none"/>
          <w:lang w:val="en-US" w:eastAsia="zh-CN"/>
        </w:rPr>
        <w:t>6</w:t>
      </w:r>
      <w:r>
        <w:rPr>
          <w:rFonts w:hint="eastAsia" w:ascii="仿宋" w:hAnsi="仿宋" w:eastAsia="仿宋" w:cs="仿宋"/>
          <w:sz w:val="30"/>
          <w:szCs w:val="30"/>
          <w:highlight w:val="none"/>
        </w:rPr>
        <w:t>分）</w:t>
      </w:r>
    </w:p>
    <w:p>
      <w:pPr>
        <w:spacing w:after="0" w:line="360" w:lineRule="auto"/>
        <w:ind w:firstLine="600" w:firstLineChars="200"/>
        <w:jc w:val="both"/>
        <w:textAlignment w:val="baseline"/>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该指标主要评价社会公众或服务对象对项目实施效果的满意程度</w:t>
      </w:r>
      <w:r>
        <w:rPr>
          <w:rFonts w:hint="eastAsia" w:ascii="仿宋" w:hAnsi="仿宋" w:eastAsia="仿宋" w:cs="仿宋"/>
          <w:sz w:val="30"/>
          <w:szCs w:val="30"/>
          <w:highlight w:val="none"/>
        </w:rPr>
        <w:t>。</w:t>
      </w:r>
      <w:r>
        <w:rPr>
          <w:rFonts w:hint="eastAsia" w:ascii="仿宋" w:hAnsi="仿宋" w:eastAsia="仿宋" w:cs="仿宋"/>
          <w:sz w:val="30"/>
          <w:szCs w:val="30"/>
          <w:highlight w:val="none"/>
          <w:lang w:val="en-US" w:eastAsia="zh-CN"/>
        </w:rPr>
        <w:t>针对该指标，我们随机选取了10个调查对象进行了问卷调查，具体调查情况如下：</w:t>
      </w:r>
    </w:p>
    <w:p>
      <w:pPr>
        <w:pStyle w:val="5"/>
        <w:pageBreakBefore w:val="0"/>
        <w:numPr>
          <w:ilvl w:val="0"/>
          <w:numId w:val="2"/>
        </w:numPr>
        <w:kinsoku/>
        <w:wordWrap/>
        <w:overflowPunct/>
        <w:topLinePunct w:val="0"/>
        <w:autoSpaceDE/>
        <w:autoSpaceDN/>
        <w:bidi w:val="0"/>
        <w:adjustRightInd/>
        <w:snapToGrid/>
        <w:spacing w:before="0" w:line="560" w:lineRule="exact"/>
        <w:ind w:firstLine="600" w:firstLineChars="200"/>
        <w:jc w:val="both"/>
        <w:rPr>
          <w:rFonts w:hint="eastAsia" w:ascii="仿宋" w:hAnsi="仿宋" w:eastAsia="仿宋" w:cs="仿宋"/>
          <w:kern w:val="2"/>
          <w:sz w:val="30"/>
          <w:szCs w:val="30"/>
          <w:highlight w:val="none"/>
          <w:lang w:eastAsia="zh-CN"/>
        </w:rPr>
      </w:pPr>
      <w:r>
        <w:rPr>
          <w:rFonts w:hint="eastAsia" w:ascii="仿宋" w:hAnsi="仿宋" w:eastAsia="仿宋" w:cs="仿宋"/>
          <w:kern w:val="2"/>
          <w:sz w:val="30"/>
          <w:szCs w:val="30"/>
          <w:highlight w:val="none"/>
          <w:lang w:eastAsia="zh-CN"/>
        </w:rPr>
        <w:t>受益对象满意度调查一览表</w:t>
      </w:r>
    </w:p>
    <w:tbl>
      <w:tblPr>
        <w:tblStyle w:val="17"/>
        <w:tblW w:w="5000" w:type="pct"/>
        <w:jc w:val="center"/>
        <w:tblLayout w:type="autofit"/>
        <w:tblCellMar>
          <w:top w:w="15" w:type="dxa"/>
          <w:left w:w="15" w:type="dxa"/>
          <w:bottom w:w="15" w:type="dxa"/>
          <w:right w:w="15" w:type="dxa"/>
        </w:tblCellMar>
      </w:tblPr>
      <w:tblGrid>
        <w:gridCol w:w="5874"/>
        <w:gridCol w:w="886"/>
        <w:gridCol w:w="1040"/>
        <w:gridCol w:w="1025"/>
        <w:gridCol w:w="843"/>
      </w:tblGrid>
      <w:tr>
        <w:tblPrEx>
          <w:tblCellMar>
            <w:top w:w="15" w:type="dxa"/>
            <w:left w:w="15" w:type="dxa"/>
            <w:bottom w:w="15" w:type="dxa"/>
            <w:right w:w="15" w:type="dxa"/>
          </w:tblCellMar>
        </w:tblPrEx>
        <w:trPr>
          <w:trHeight w:val="330" w:hRule="atLeast"/>
          <w:jc w:val="center"/>
        </w:trPr>
        <w:tc>
          <w:tcPr>
            <w:tcW w:w="5000" w:type="pct"/>
            <w:gridSpan w:val="5"/>
            <w:tcBorders>
              <w:top w:val="nil"/>
              <w:left w:val="nil"/>
              <w:bottom w:val="single" w:color="auto" w:sz="4" w:space="0"/>
              <w:right w:val="nil"/>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b/>
                <w:color w:val="000000"/>
                <w:sz w:val="24"/>
                <w:szCs w:val="24"/>
                <w:highlight w:val="none"/>
              </w:rPr>
            </w:pPr>
            <w:r>
              <w:rPr>
                <w:rFonts w:hint="eastAsia" w:ascii="仿宋" w:hAnsi="仿宋" w:eastAsia="仿宋" w:cs="仿宋"/>
                <w:b/>
                <w:color w:val="000000"/>
                <w:kern w:val="0"/>
                <w:sz w:val="24"/>
                <w:szCs w:val="24"/>
                <w:highlight w:val="none"/>
              </w:rPr>
              <w:t>受益对象满意度调查问卷汇总表</w:t>
            </w:r>
          </w:p>
        </w:tc>
      </w:tr>
      <w:tr>
        <w:tblPrEx>
          <w:tblCellMar>
            <w:top w:w="15" w:type="dxa"/>
            <w:left w:w="15" w:type="dxa"/>
            <w:bottom w:w="15" w:type="dxa"/>
            <w:right w:w="15" w:type="dxa"/>
          </w:tblCellMar>
        </w:tblPrEx>
        <w:trPr>
          <w:trHeight w:val="525" w:hRule="atLeast"/>
          <w:jc w:val="center"/>
        </w:trPr>
        <w:tc>
          <w:tcPr>
            <w:tcW w:w="3038" w:type="pct"/>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b/>
                <w:color w:val="000000"/>
                <w:sz w:val="24"/>
                <w:szCs w:val="24"/>
                <w:highlight w:val="none"/>
              </w:rPr>
            </w:pPr>
            <w:r>
              <w:rPr>
                <w:rFonts w:hint="eastAsia" w:ascii="仿宋" w:hAnsi="仿宋" w:eastAsia="仿宋" w:cs="仿宋"/>
                <w:b/>
                <w:color w:val="000000"/>
                <w:kern w:val="0"/>
                <w:sz w:val="24"/>
                <w:szCs w:val="24"/>
                <w:highlight w:val="none"/>
              </w:rPr>
              <w:t>调查项目</w:t>
            </w:r>
          </w:p>
        </w:tc>
        <w:tc>
          <w:tcPr>
            <w:tcW w:w="458" w:type="pct"/>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b/>
                <w:color w:val="000000"/>
                <w:kern w:val="0"/>
                <w:sz w:val="24"/>
                <w:szCs w:val="24"/>
                <w:highlight w:val="none"/>
              </w:rPr>
            </w:pPr>
            <w:r>
              <w:rPr>
                <w:rFonts w:hint="eastAsia" w:ascii="仿宋" w:hAnsi="仿宋" w:eastAsia="仿宋" w:cs="仿宋"/>
                <w:b/>
                <w:color w:val="000000"/>
                <w:kern w:val="0"/>
                <w:sz w:val="24"/>
                <w:szCs w:val="24"/>
                <w:highlight w:val="none"/>
              </w:rPr>
              <w:t>满意/</w:t>
            </w:r>
          </w:p>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b/>
                <w:color w:val="000000"/>
                <w:sz w:val="24"/>
                <w:szCs w:val="24"/>
                <w:highlight w:val="none"/>
              </w:rPr>
            </w:pPr>
            <w:r>
              <w:rPr>
                <w:rFonts w:hint="eastAsia" w:ascii="仿宋" w:hAnsi="仿宋" w:eastAsia="仿宋" w:cs="仿宋"/>
                <w:b/>
                <w:color w:val="000000"/>
                <w:kern w:val="0"/>
                <w:sz w:val="24"/>
                <w:szCs w:val="24"/>
                <w:highlight w:val="none"/>
              </w:rPr>
              <w:t>人次</w:t>
            </w:r>
          </w:p>
        </w:tc>
        <w:tc>
          <w:tcPr>
            <w:tcW w:w="538" w:type="pct"/>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b/>
                <w:color w:val="000000"/>
                <w:kern w:val="0"/>
                <w:sz w:val="24"/>
                <w:szCs w:val="24"/>
                <w:highlight w:val="none"/>
              </w:rPr>
            </w:pPr>
            <w:r>
              <w:rPr>
                <w:rFonts w:hint="eastAsia" w:ascii="仿宋" w:hAnsi="仿宋" w:eastAsia="仿宋" w:cs="仿宋"/>
                <w:b/>
                <w:color w:val="000000"/>
                <w:kern w:val="0"/>
                <w:sz w:val="24"/>
                <w:szCs w:val="24"/>
                <w:highlight w:val="none"/>
              </w:rPr>
              <w:t>一般/</w:t>
            </w:r>
          </w:p>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b/>
                <w:color w:val="000000"/>
                <w:sz w:val="24"/>
                <w:szCs w:val="24"/>
                <w:highlight w:val="none"/>
              </w:rPr>
            </w:pPr>
            <w:r>
              <w:rPr>
                <w:rFonts w:hint="eastAsia" w:ascii="仿宋" w:hAnsi="仿宋" w:eastAsia="仿宋" w:cs="仿宋"/>
                <w:b/>
                <w:color w:val="000000"/>
                <w:kern w:val="0"/>
                <w:sz w:val="24"/>
                <w:szCs w:val="24"/>
                <w:highlight w:val="none"/>
              </w:rPr>
              <w:t>人次</w:t>
            </w:r>
          </w:p>
        </w:tc>
        <w:tc>
          <w:tcPr>
            <w:tcW w:w="530" w:type="pct"/>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b/>
                <w:color w:val="000000"/>
                <w:kern w:val="0"/>
                <w:sz w:val="24"/>
                <w:szCs w:val="24"/>
                <w:highlight w:val="none"/>
              </w:rPr>
            </w:pPr>
            <w:r>
              <w:rPr>
                <w:rFonts w:hint="eastAsia" w:ascii="仿宋" w:hAnsi="仿宋" w:eastAsia="仿宋" w:cs="仿宋"/>
                <w:b/>
                <w:color w:val="000000"/>
                <w:kern w:val="0"/>
                <w:sz w:val="24"/>
                <w:szCs w:val="24"/>
                <w:highlight w:val="none"/>
              </w:rPr>
              <w:t>不满意/</w:t>
            </w:r>
          </w:p>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b/>
                <w:color w:val="000000"/>
                <w:sz w:val="24"/>
                <w:szCs w:val="24"/>
                <w:highlight w:val="none"/>
              </w:rPr>
            </w:pPr>
            <w:r>
              <w:rPr>
                <w:rFonts w:hint="eastAsia" w:ascii="仿宋" w:hAnsi="仿宋" w:eastAsia="仿宋" w:cs="仿宋"/>
                <w:b/>
                <w:color w:val="000000"/>
                <w:kern w:val="0"/>
                <w:sz w:val="24"/>
                <w:szCs w:val="24"/>
                <w:highlight w:val="none"/>
              </w:rPr>
              <w:t>人次</w:t>
            </w:r>
          </w:p>
        </w:tc>
        <w:tc>
          <w:tcPr>
            <w:tcW w:w="433" w:type="pct"/>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b/>
                <w:color w:val="000000"/>
                <w:kern w:val="0"/>
                <w:sz w:val="24"/>
                <w:szCs w:val="24"/>
                <w:highlight w:val="none"/>
              </w:rPr>
            </w:pPr>
            <w:r>
              <w:rPr>
                <w:rFonts w:hint="eastAsia" w:ascii="仿宋" w:hAnsi="仿宋" w:eastAsia="仿宋" w:cs="仿宋"/>
                <w:b/>
                <w:color w:val="000000"/>
                <w:kern w:val="0"/>
                <w:sz w:val="24"/>
                <w:szCs w:val="24"/>
                <w:highlight w:val="none"/>
              </w:rPr>
              <w:t>合计/</w:t>
            </w:r>
          </w:p>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b/>
                <w:color w:val="000000"/>
                <w:sz w:val="24"/>
                <w:szCs w:val="24"/>
                <w:highlight w:val="none"/>
              </w:rPr>
            </w:pPr>
            <w:r>
              <w:rPr>
                <w:rFonts w:hint="eastAsia" w:ascii="仿宋" w:hAnsi="仿宋" w:eastAsia="仿宋" w:cs="仿宋"/>
                <w:b/>
                <w:color w:val="000000"/>
                <w:kern w:val="0"/>
                <w:sz w:val="24"/>
                <w:szCs w:val="24"/>
                <w:highlight w:val="none"/>
              </w:rPr>
              <w:t>人次</w:t>
            </w:r>
          </w:p>
        </w:tc>
      </w:tr>
      <w:tr>
        <w:tblPrEx>
          <w:tblCellMar>
            <w:top w:w="15" w:type="dxa"/>
            <w:left w:w="15" w:type="dxa"/>
            <w:bottom w:w="15" w:type="dxa"/>
            <w:right w:w="15" w:type="dxa"/>
          </w:tblCellMar>
        </w:tblPrEx>
        <w:trPr>
          <w:trHeight w:val="90" w:hRule="atLeast"/>
          <w:jc w:val="center"/>
        </w:trPr>
        <w:tc>
          <w:tcPr>
            <w:tcW w:w="3038"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440" w:lineRule="atLeast"/>
              <w:jc w:val="center"/>
              <w:textAlignment w:val="center"/>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项目实施后水质的改善情况</w:t>
            </w:r>
          </w:p>
        </w:tc>
        <w:tc>
          <w:tcPr>
            <w:tcW w:w="458"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10</w:t>
            </w:r>
          </w:p>
        </w:tc>
        <w:tc>
          <w:tcPr>
            <w:tcW w:w="538"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highlight w:val="none"/>
              </w:rPr>
            </w:pPr>
          </w:p>
        </w:tc>
        <w:tc>
          <w:tcPr>
            <w:tcW w:w="530"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highlight w:val="none"/>
              </w:rPr>
            </w:pPr>
          </w:p>
        </w:tc>
        <w:tc>
          <w:tcPr>
            <w:tcW w:w="433"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10</w:t>
            </w:r>
          </w:p>
        </w:tc>
      </w:tr>
      <w:tr>
        <w:tblPrEx>
          <w:tblCellMar>
            <w:top w:w="15" w:type="dxa"/>
            <w:left w:w="15" w:type="dxa"/>
            <w:bottom w:w="15" w:type="dxa"/>
            <w:right w:w="15" w:type="dxa"/>
          </w:tblCellMar>
        </w:tblPrEx>
        <w:trPr>
          <w:trHeight w:val="90" w:hRule="atLeast"/>
          <w:jc w:val="center"/>
        </w:trPr>
        <w:tc>
          <w:tcPr>
            <w:tcW w:w="3038"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440" w:lineRule="atLeast"/>
              <w:jc w:val="center"/>
              <w:textAlignment w:val="center"/>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项目实施对环境的改善情况</w:t>
            </w:r>
          </w:p>
        </w:tc>
        <w:tc>
          <w:tcPr>
            <w:tcW w:w="458"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default"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10</w:t>
            </w:r>
          </w:p>
        </w:tc>
        <w:tc>
          <w:tcPr>
            <w:tcW w:w="538"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highlight w:val="none"/>
              </w:rPr>
            </w:pPr>
          </w:p>
        </w:tc>
        <w:tc>
          <w:tcPr>
            <w:tcW w:w="530"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highlight w:val="none"/>
              </w:rPr>
            </w:pPr>
          </w:p>
        </w:tc>
        <w:tc>
          <w:tcPr>
            <w:tcW w:w="843" w:type="dxa"/>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10</w:t>
            </w:r>
          </w:p>
        </w:tc>
      </w:tr>
      <w:tr>
        <w:tblPrEx>
          <w:tblCellMar>
            <w:top w:w="15" w:type="dxa"/>
            <w:left w:w="15" w:type="dxa"/>
            <w:bottom w:w="15" w:type="dxa"/>
            <w:right w:w="15" w:type="dxa"/>
          </w:tblCellMar>
        </w:tblPrEx>
        <w:trPr>
          <w:trHeight w:val="90" w:hRule="atLeast"/>
          <w:jc w:val="center"/>
        </w:trPr>
        <w:tc>
          <w:tcPr>
            <w:tcW w:w="3038"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440" w:lineRule="atLeast"/>
              <w:jc w:val="center"/>
              <w:textAlignment w:val="center"/>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对项目实施的总体满意度</w:t>
            </w:r>
          </w:p>
        </w:tc>
        <w:tc>
          <w:tcPr>
            <w:tcW w:w="458"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default"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10</w:t>
            </w:r>
          </w:p>
        </w:tc>
        <w:tc>
          <w:tcPr>
            <w:tcW w:w="538"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highlight w:val="none"/>
              </w:rPr>
            </w:pPr>
          </w:p>
        </w:tc>
        <w:tc>
          <w:tcPr>
            <w:tcW w:w="530"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highlight w:val="none"/>
              </w:rPr>
            </w:pPr>
          </w:p>
        </w:tc>
        <w:tc>
          <w:tcPr>
            <w:tcW w:w="843" w:type="dxa"/>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lang w:val="en-US" w:eastAsia="zh-CN"/>
              </w:rPr>
              <w:t>10</w:t>
            </w:r>
          </w:p>
        </w:tc>
      </w:tr>
    </w:tbl>
    <w:p>
      <w:pPr>
        <w:spacing w:after="0" w:line="360" w:lineRule="auto"/>
        <w:ind w:firstLine="600" w:firstLineChars="200"/>
        <w:jc w:val="both"/>
        <w:textAlignment w:val="baseline"/>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调查问卷共分为3个单项，每个单项满分为10分，其中：满意为10分，一般为5分，不满意为0分。</w:t>
      </w:r>
    </w:p>
    <w:p>
      <w:pPr>
        <w:spacing w:after="0" w:line="360" w:lineRule="auto"/>
        <w:ind w:firstLine="600" w:firstLineChars="200"/>
        <w:jc w:val="both"/>
        <w:textAlignment w:val="baseline"/>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单项满意度得分=总分数/总人数</w:t>
      </w:r>
    </w:p>
    <w:p>
      <w:pPr>
        <w:spacing w:after="0" w:line="360" w:lineRule="auto"/>
        <w:ind w:firstLine="600" w:firstLineChars="200"/>
        <w:jc w:val="both"/>
        <w:textAlignment w:val="baseline"/>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总体满意度得分=∑1/3各单项满意度得分</w:t>
      </w:r>
    </w:p>
    <w:p>
      <w:pPr>
        <w:spacing w:after="0" w:line="360" w:lineRule="auto"/>
        <w:ind w:firstLine="600" w:firstLineChars="200"/>
        <w:jc w:val="both"/>
        <w:textAlignment w:val="baseline"/>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经计算，总体得分为10分。通过抽查，问卷调查统计发现，目前对该项目的实施满意度较高。</w:t>
      </w:r>
    </w:p>
    <w:p>
      <w:pPr>
        <w:pageBreakBefore w:val="0"/>
        <w:kinsoku/>
        <w:wordWrap/>
        <w:overflowPunct/>
        <w:topLinePunct w:val="0"/>
        <w:autoSpaceDE/>
        <w:autoSpaceDN/>
        <w:bidi w:val="0"/>
        <w:adjustRightInd/>
        <w:snapToGrid/>
        <w:spacing w:line="560" w:lineRule="exact"/>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 xml:space="preserve">    该指标实际得分</w:t>
      </w:r>
      <w:r>
        <w:rPr>
          <w:rFonts w:hint="eastAsia" w:ascii="仿宋" w:hAnsi="仿宋" w:eastAsia="仿宋" w:cs="仿宋"/>
          <w:sz w:val="30"/>
          <w:szCs w:val="30"/>
          <w:highlight w:val="none"/>
          <w:lang w:val="en-US" w:eastAsia="zh-CN"/>
        </w:rPr>
        <w:t>6</w:t>
      </w:r>
      <w:r>
        <w:rPr>
          <w:rFonts w:hint="eastAsia" w:ascii="仿宋" w:hAnsi="仿宋" w:eastAsia="仿宋" w:cs="仿宋"/>
          <w:sz w:val="30"/>
          <w:szCs w:val="30"/>
          <w:highlight w:val="none"/>
        </w:rPr>
        <w:t>分。</w:t>
      </w:r>
    </w:p>
    <w:p>
      <w:pPr>
        <w:pStyle w:val="3"/>
        <w:pageBreakBefore w:val="0"/>
        <w:kinsoku/>
        <w:wordWrap/>
        <w:overflowPunct/>
        <w:topLinePunct w:val="0"/>
        <w:autoSpaceDE/>
        <w:autoSpaceDN/>
        <w:bidi w:val="0"/>
        <w:adjustRightInd/>
        <w:snapToGrid/>
        <w:spacing w:beforeAutospacing="0" w:afterAutospacing="0" w:line="560" w:lineRule="exact"/>
        <w:ind w:firstLine="643" w:firstLineChars="200"/>
        <w:rPr>
          <w:rFonts w:hint="eastAsia" w:ascii="仿宋" w:hAnsi="仿宋" w:eastAsia="仿宋" w:cs="仿宋"/>
          <w:sz w:val="32"/>
          <w:szCs w:val="32"/>
          <w:highlight w:val="none"/>
        </w:rPr>
      </w:pPr>
      <w:bookmarkStart w:id="74" w:name="_Toc501368363"/>
      <w:bookmarkStart w:id="75" w:name="_Toc6602"/>
      <w:bookmarkStart w:id="76" w:name="_Toc83631048"/>
      <w:bookmarkStart w:id="77" w:name="_Toc12802"/>
      <w:bookmarkStart w:id="78" w:name="_Toc2211"/>
      <w:bookmarkStart w:id="79" w:name="_Toc10985"/>
      <w:bookmarkStart w:id="80" w:name="_Toc24878"/>
      <w:bookmarkStart w:id="81" w:name="_Toc83630434"/>
      <w:r>
        <w:rPr>
          <w:rFonts w:hint="eastAsia" w:ascii="仿宋" w:hAnsi="仿宋" w:eastAsia="仿宋" w:cs="仿宋"/>
          <w:sz w:val="32"/>
          <w:szCs w:val="32"/>
          <w:highlight w:val="none"/>
          <w:lang w:val="en-US" w:eastAsia="zh-CN"/>
        </w:rPr>
        <w:t>六</w:t>
      </w:r>
      <w:r>
        <w:rPr>
          <w:rFonts w:hint="eastAsia" w:ascii="仿宋" w:hAnsi="仿宋" w:eastAsia="仿宋" w:cs="仿宋"/>
          <w:sz w:val="32"/>
          <w:szCs w:val="32"/>
          <w:highlight w:val="none"/>
        </w:rPr>
        <w:t>、项目综合评价</w:t>
      </w:r>
      <w:bookmarkEnd w:id="74"/>
      <w:bookmarkEnd w:id="75"/>
      <w:r>
        <w:rPr>
          <w:rFonts w:hint="eastAsia" w:ascii="仿宋" w:hAnsi="仿宋" w:eastAsia="仿宋" w:cs="仿宋"/>
          <w:sz w:val="32"/>
          <w:szCs w:val="32"/>
          <w:highlight w:val="none"/>
        </w:rPr>
        <w:t>结论和评价等级</w:t>
      </w:r>
      <w:bookmarkEnd w:id="76"/>
      <w:bookmarkEnd w:id="77"/>
      <w:bookmarkEnd w:id="78"/>
      <w:bookmarkEnd w:id="79"/>
      <w:bookmarkEnd w:id="80"/>
      <w:bookmarkEnd w:id="81"/>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val="en-US" w:eastAsia="zh-CN"/>
        </w:rPr>
      </w:pPr>
      <w:bookmarkStart w:id="82" w:name="_Toc501368364"/>
      <w:r>
        <w:rPr>
          <w:rFonts w:hint="eastAsia" w:ascii="仿宋" w:hAnsi="仿宋" w:eastAsia="仿宋" w:cs="仿宋"/>
          <w:sz w:val="30"/>
          <w:szCs w:val="30"/>
          <w:highlight w:val="none"/>
        </w:rPr>
        <w:t>1.</w:t>
      </w:r>
      <w:r>
        <w:rPr>
          <w:rFonts w:hint="eastAsia" w:ascii="仿宋" w:hAnsi="仿宋" w:eastAsia="仿宋" w:cs="仿宋"/>
          <w:sz w:val="30"/>
          <w:szCs w:val="30"/>
          <w:highlight w:val="none"/>
          <w:lang w:val="en-US" w:eastAsia="zh-CN"/>
        </w:rPr>
        <w:t>确定</w:t>
      </w:r>
      <w:r>
        <w:rPr>
          <w:rFonts w:hint="eastAsia" w:ascii="仿宋" w:hAnsi="仿宋" w:eastAsia="仿宋" w:cs="仿宋"/>
          <w:sz w:val="30"/>
          <w:szCs w:val="30"/>
          <w:highlight w:val="none"/>
        </w:rPr>
        <w:t>评</w:t>
      </w:r>
      <w:bookmarkEnd w:id="82"/>
      <w:r>
        <w:rPr>
          <w:rFonts w:hint="eastAsia" w:ascii="仿宋" w:hAnsi="仿宋" w:eastAsia="仿宋" w:cs="仿宋"/>
          <w:sz w:val="30"/>
          <w:szCs w:val="30"/>
          <w:highlight w:val="none"/>
          <w:lang w:val="en-US" w:eastAsia="zh-CN"/>
        </w:rPr>
        <w:t>价分值：95分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rPr>
        <w:t>2.评价等级</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lang w:val="en-US" w:eastAsia="zh-CN"/>
        </w:rPr>
        <w:t>优</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3.项目综合评价结论</w:t>
      </w:r>
    </w:p>
    <w:p>
      <w:pPr>
        <w:pageBreakBefore w:val="0"/>
        <w:kinsoku/>
        <w:wordWrap/>
        <w:overflowPunct/>
        <w:topLinePunct w:val="0"/>
        <w:autoSpaceDE/>
        <w:autoSpaceDN/>
        <w:bidi w:val="0"/>
        <w:adjustRightInd/>
        <w:snapToGrid/>
        <w:spacing w:line="560" w:lineRule="exact"/>
        <w:ind w:firstLine="588" w:firstLineChars="196"/>
        <w:outlineLvl w:val="0"/>
        <w:rPr>
          <w:rFonts w:hint="eastAsia" w:ascii="仿宋" w:hAnsi="仿宋" w:eastAsia="仿宋" w:cs="仿宋"/>
          <w:sz w:val="30"/>
          <w:szCs w:val="30"/>
          <w:highlight w:val="none"/>
        </w:rPr>
      </w:pPr>
      <w:bookmarkStart w:id="83" w:name="_Toc83631049"/>
      <w:bookmarkStart w:id="84" w:name="_Toc83630435"/>
      <w:bookmarkStart w:id="85" w:name="_Toc28969"/>
      <w:bookmarkStart w:id="86" w:name="_Toc25027"/>
      <w:r>
        <w:rPr>
          <w:rFonts w:hint="eastAsia" w:ascii="仿宋" w:hAnsi="仿宋" w:eastAsia="仿宋" w:cs="仿宋"/>
          <w:sz w:val="30"/>
          <w:szCs w:val="30"/>
          <w:highlight w:val="none"/>
        </w:rPr>
        <w:t>该项目严格</w:t>
      </w:r>
      <w:r>
        <w:rPr>
          <w:rFonts w:hint="eastAsia" w:ascii="仿宋" w:hAnsi="仿宋" w:eastAsia="仿宋" w:cs="仿宋"/>
          <w:sz w:val="30"/>
          <w:szCs w:val="30"/>
          <w:highlight w:val="none"/>
          <w:lang w:val="en-US" w:eastAsia="zh-CN"/>
        </w:rPr>
        <w:t>专项债券</w:t>
      </w:r>
      <w:r>
        <w:rPr>
          <w:rFonts w:hint="eastAsia" w:ascii="仿宋" w:hAnsi="仿宋" w:eastAsia="仿宋" w:cs="仿宋"/>
          <w:sz w:val="30"/>
          <w:szCs w:val="30"/>
          <w:highlight w:val="none"/>
        </w:rPr>
        <w:t>资金使用管理，</w:t>
      </w:r>
      <w:bookmarkEnd w:id="83"/>
      <w:bookmarkEnd w:id="84"/>
      <w:bookmarkEnd w:id="85"/>
      <w:bookmarkEnd w:id="86"/>
      <w:r>
        <w:rPr>
          <w:rFonts w:hint="eastAsia" w:ascii="仿宋" w:hAnsi="仿宋" w:eastAsia="仿宋" w:cs="仿宋"/>
          <w:sz w:val="30"/>
          <w:szCs w:val="30"/>
          <w:highlight w:val="none"/>
          <w:lang w:val="en-US" w:eastAsia="zh-CN"/>
        </w:rPr>
        <w:t>专项债券资金于2022年度完成支付，全部为工程款支出，</w:t>
      </w:r>
      <w:r>
        <w:rPr>
          <w:rFonts w:hint="eastAsia" w:ascii="仿宋" w:hAnsi="仿宋" w:eastAsia="仿宋" w:cs="仿宋"/>
          <w:sz w:val="30"/>
          <w:szCs w:val="30"/>
          <w:highlight w:val="none"/>
        </w:rPr>
        <w:t>专款专用</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lang w:val="en-US" w:eastAsia="zh-CN"/>
        </w:rPr>
        <w:t>无结余资金</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lang w:val="en-US" w:eastAsia="zh-CN"/>
        </w:rPr>
        <w:t>截至评价日，已完成全部项目建设，完成项目初验以及工程结算。项目于2022年8月4日完成固定资产移交，项目后期运营管理单位为曲阳县恒州发展投资有限公司。通过项目实施，</w:t>
      </w:r>
      <w:r>
        <w:rPr>
          <w:rFonts w:hint="eastAsia" w:ascii="仿宋" w:hAnsi="仿宋" w:eastAsia="仿宋" w:cs="仿宋"/>
          <w:sz w:val="30"/>
          <w:szCs w:val="30"/>
          <w:highlight w:val="none"/>
        </w:rPr>
        <w:t>改善</w:t>
      </w:r>
      <w:r>
        <w:rPr>
          <w:rFonts w:hint="eastAsia" w:ascii="仿宋" w:hAnsi="仿宋" w:eastAsia="仿宋" w:cs="仿宋"/>
          <w:sz w:val="30"/>
          <w:szCs w:val="30"/>
          <w:highlight w:val="none"/>
          <w:lang w:val="en-US" w:eastAsia="zh-CN"/>
        </w:rPr>
        <w:t>了</w:t>
      </w:r>
      <w:r>
        <w:rPr>
          <w:rFonts w:hint="eastAsia" w:ascii="仿宋" w:hAnsi="仿宋" w:eastAsia="仿宋" w:cs="仿宋"/>
          <w:sz w:val="30"/>
          <w:szCs w:val="30"/>
          <w:highlight w:val="none"/>
        </w:rPr>
        <w:t>曲阳县城及河道沿线的生态环境，提高了河道沿线村庄及县城的人居环境，</w:t>
      </w:r>
      <w:r>
        <w:rPr>
          <w:rFonts w:hint="eastAsia" w:ascii="仿宋" w:hAnsi="仿宋" w:eastAsia="仿宋" w:cs="仿宋"/>
          <w:sz w:val="30"/>
          <w:szCs w:val="30"/>
          <w:highlight w:val="none"/>
          <w:lang w:val="en-US" w:eastAsia="zh-CN"/>
        </w:rPr>
        <w:t>保证入淀河流水质无害，可持续影响效果较好</w:t>
      </w:r>
      <w:r>
        <w:rPr>
          <w:rFonts w:hint="eastAsia" w:ascii="仿宋" w:hAnsi="仿宋" w:eastAsia="仿宋" w:cs="仿宋"/>
          <w:sz w:val="30"/>
          <w:szCs w:val="30"/>
          <w:highlight w:val="none"/>
        </w:rPr>
        <w:t>。</w:t>
      </w:r>
    </w:p>
    <w:p>
      <w:pPr>
        <w:pStyle w:val="3"/>
        <w:pageBreakBefore w:val="0"/>
        <w:kinsoku/>
        <w:wordWrap/>
        <w:overflowPunct/>
        <w:topLinePunct w:val="0"/>
        <w:autoSpaceDE/>
        <w:autoSpaceDN/>
        <w:bidi w:val="0"/>
        <w:adjustRightInd/>
        <w:snapToGrid/>
        <w:spacing w:beforeAutospacing="0" w:afterAutospacing="0" w:line="560" w:lineRule="exact"/>
        <w:ind w:firstLine="643" w:firstLineChars="200"/>
        <w:rPr>
          <w:rFonts w:hint="eastAsia" w:ascii="仿宋" w:hAnsi="仿宋" w:eastAsia="仿宋" w:cs="仿宋"/>
          <w:bCs/>
          <w:sz w:val="32"/>
          <w:szCs w:val="32"/>
          <w:highlight w:val="none"/>
        </w:rPr>
      </w:pPr>
      <w:bookmarkStart w:id="87" w:name="_Toc83630436"/>
      <w:bookmarkStart w:id="88" w:name="_Toc30518"/>
      <w:bookmarkStart w:id="89" w:name="_Toc7207"/>
      <w:bookmarkStart w:id="90" w:name="_Toc27278"/>
      <w:bookmarkStart w:id="91" w:name="_Toc22941"/>
      <w:bookmarkStart w:id="92" w:name="_Toc83631050"/>
      <w:r>
        <w:rPr>
          <w:rFonts w:hint="eastAsia" w:ascii="仿宋" w:hAnsi="仿宋" w:eastAsia="仿宋" w:cs="仿宋"/>
          <w:bCs/>
          <w:sz w:val="32"/>
          <w:szCs w:val="32"/>
          <w:highlight w:val="none"/>
          <w:lang w:val="en-US" w:eastAsia="zh-CN"/>
        </w:rPr>
        <w:t>七</w:t>
      </w:r>
      <w:r>
        <w:rPr>
          <w:rFonts w:hint="eastAsia" w:ascii="仿宋" w:hAnsi="仿宋" w:eastAsia="仿宋" w:cs="仿宋"/>
          <w:bCs/>
          <w:sz w:val="32"/>
          <w:szCs w:val="32"/>
          <w:highlight w:val="none"/>
        </w:rPr>
        <w:t>、存在的问题</w:t>
      </w:r>
      <w:bookmarkEnd w:id="87"/>
      <w:bookmarkEnd w:id="88"/>
      <w:bookmarkEnd w:id="89"/>
      <w:bookmarkEnd w:id="90"/>
      <w:bookmarkEnd w:id="91"/>
      <w:bookmarkEnd w:id="92"/>
    </w:p>
    <w:p>
      <w:pPr>
        <w:pageBreakBefore w:val="0"/>
        <w:kinsoku/>
        <w:wordWrap/>
        <w:overflowPunct/>
        <w:topLinePunct w:val="0"/>
        <w:autoSpaceDE/>
        <w:autoSpaceDN/>
        <w:bidi w:val="0"/>
        <w:adjustRightInd/>
        <w:snapToGrid/>
        <w:spacing w:line="560" w:lineRule="exact"/>
        <w:ind w:firstLine="645" w:firstLineChars="215"/>
        <w:rPr>
          <w:rFonts w:hint="eastAsia" w:ascii="仿宋" w:hAnsi="仿宋" w:eastAsia="仿宋" w:cs="仿宋"/>
          <w:sz w:val="30"/>
          <w:szCs w:val="30"/>
          <w:highlight w:val="none"/>
        </w:rPr>
      </w:pPr>
      <w:r>
        <w:rPr>
          <w:rFonts w:hint="eastAsia" w:ascii="仿宋" w:hAnsi="仿宋" w:eastAsia="仿宋" w:cs="仿宋"/>
          <w:sz w:val="30"/>
          <w:szCs w:val="30"/>
          <w:highlight w:val="none"/>
        </w:rPr>
        <w:t>该项目取得的成绩是肯定的，但在实现绩效目标过程中也存在一些不足之处，具体归纳为：</w:t>
      </w:r>
    </w:p>
    <w:p>
      <w:pPr>
        <w:keepNext w:val="0"/>
        <w:keepLines w:val="0"/>
        <w:pageBreakBefore w:val="0"/>
        <w:numPr>
          <w:ilvl w:val="0"/>
          <w:numId w:val="0"/>
        </w:numPr>
        <w:kinsoku/>
        <w:wordWrap/>
        <w:overflowPunct/>
        <w:topLinePunct w:val="0"/>
        <w:autoSpaceDE/>
        <w:autoSpaceDN/>
        <w:bidi w:val="0"/>
        <w:adjustRightInd/>
        <w:snapToGrid/>
        <w:spacing w:line="560" w:lineRule="atLeast"/>
        <w:ind w:firstLine="600" w:firstLineChars="200"/>
        <w:jc w:val="left"/>
        <w:textAlignment w:val="auto"/>
        <w:rPr>
          <w:rFonts w:hint="eastAsia" w:ascii="仿宋" w:hAnsi="仿宋" w:eastAsia="仿宋" w:cs="仿宋"/>
          <w:sz w:val="30"/>
          <w:szCs w:val="30"/>
          <w:highlight w:val="none"/>
          <w:lang w:eastAsia="zh-CN"/>
        </w:rPr>
      </w:pPr>
      <w:bookmarkStart w:id="93" w:name="_Toc23781"/>
      <w:bookmarkStart w:id="94" w:name="_Toc83631051"/>
      <w:bookmarkStart w:id="95" w:name="_Toc6530"/>
      <w:bookmarkStart w:id="96" w:name="_Toc83630437"/>
      <w:r>
        <w:rPr>
          <w:rFonts w:hint="eastAsia" w:ascii="仿宋" w:hAnsi="仿宋" w:eastAsia="仿宋" w:cs="仿宋"/>
          <w:sz w:val="30"/>
          <w:szCs w:val="30"/>
          <w:highlight w:val="none"/>
          <w:lang w:eastAsia="zh-CN"/>
        </w:rPr>
        <w:t>（一）绩效指标设定</w:t>
      </w:r>
      <w:r>
        <w:rPr>
          <w:rFonts w:hint="eastAsia" w:ascii="仿宋" w:hAnsi="仿宋" w:eastAsia="仿宋" w:cs="仿宋"/>
          <w:sz w:val="30"/>
          <w:szCs w:val="30"/>
          <w:highlight w:val="none"/>
          <w:lang w:val="en-US" w:eastAsia="zh-CN"/>
        </w:rPr>
        <w:t>方面</w:t>
      </w:r>
    </w:p>
    <w:p>
      <w:pPr>
        <w:keepNext w:val="0"/>
        <w:keepLines w:val="0"/>
        <w:pageBreakBefore w:val="0"/>
        <w:numPr>
          <w:ilvl w:val="0"/>
          <w:numId w:val="0"/>
        </w:numPr>
        <w:kinsoku/>
        <w:wordWrap/>
        <w:overflowPunct/>
        <w:topLinePunct w:val="0"/>
        <w:autoSpaceDE/>
        <w:autoSpaceDN/>
        <w:bidi w:val="0"/>
        <w:adjustRightInd/>
        <w:snapToGrid/>
        <w:spacing w:line="560" w:lineRule="atLeast"/>
        <w:ind w:firstLine="600" w:firstLineChars="200"/>
        <w:jc w:val="left"/>
        <w:textAlignment w:val="auto"/>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val="en-US" w:eastAsia="zh-CN"/>
        </w:rPr>
        <w:t>项目绩效自评表中绩效指标的明确性有待加强，</w:t>
      </w:r>
      <w:r>
        <w:rPr>
          <w:rFonts w:hint="eastAsia" w:ascii="仿宋" w:hAnsi="仿宋" w:eastAsia="仿宋" w:cs="仿宋"/>
          <w:sz w:val="30"/>
          <w:szCs w:val="30"/>
          <w:highlight w:val="none"/>
          <w:lang w:eastAsia="zh-CN"/>
        </w:rPr>
        <w:t>产出指标估计不足，指标</w:t>
      </w:r>
      <w:r>
        <w:rPr>
          <w:rFonts w:hint="eastAsia" w:ascii="仿宋" w:hAnsi="仿宋" w:eastAsia="仿宋" w:cs="仿宋"/>
          <w:sz w:val="30"/>
          <w:szCs w:val="30"/>
          <w:highlight w:val="none"/>
          <w:lang w:val="en-US" w:eastAsia="zh-CN"/>
        </w:rPr>
        <w:t>设置</w:t>
      </w:r>
      <w:r>
        <w:rPr>
          <w:rFonts w:hint="eastAsia" w:ascii="仿宋" w:hAnsi="仿宋" w:eastAsia="仿宋" w:cs="仿宋"/>
          <w:sz w:val="30"/>
          <w:szCs w:val="30"/>
          <w:highlight w:val="none"/>
          <w:lang w:eastAsia="zh-CN"/>
        </w:rPr>
        <w:t>不够细化，指标值</w:t>
      </w:r>
      <w:r>
        <w:rPr>
          <w:rFonts w:hint="eastAsia" w:ascii="仿宋" w:hAnsi="仿宋" w:eastAsia="仿宋" w:cs="仿宋"/>
          <w:sz w:val="30"/>
          <w:szCs w:val="30"/>
          <w:highlight w:val="none"/>
          <w:lang w:val="en-US" w:eastAsia="zh-CN"/>
        </w:rPr>
        <w:t>未能与年度工作任务相匹配，不利于考核年度任务完成情况</w:t>
      </w:r>
      <w:r>
        <w:rPr>
          <w:rFonts w:hint="eastAsia" w:ascii="仿宋" w:hAnsi="仿宋" w:eastAsia="仿宋" w:cs="仿宋"/>
          <w:sz w:val="30"/>
          <w:szCs w:val="30"/>
          <w:highlight w:val="none"/>
          <w:lang w:eastAsia="zh-CN"/>
        </w:rPr>
        <w:t>。</w:t>
      </w:r>
    </w:p>
    <w:p>
      <w:pPr>
        <w:keepNext w:val="0"/>
        <w:keepLines w:val="0"/>
        <w:pageBreakBefore w:val="0"/>
        <w:numPr>
          <w:ilvl w:val="0"/>
          <w:numId w:val="0"/>
        </w:numPr>
        <w:kinsoku/>
        <w:wordWrap/>
        <w:overflowPunct/>
        <w:topLinePunct w:val="0"/>
        <w:autoSpaceDE/>
        <w:autoSpaceDN/>
        <w:bidi w:val="0"/>
        <w:adjustRightInd/>
        <w:snapToGrid/>
        <w:spacing w:line="560" w:lineRule="atLeast"/>
        <w:ind w:firstLine="600" w:firstLineChars="200"/>
        <w:jc w:val="left"/>
        <w:textAlignment w:val="auto"/>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（二）项目档案保管情况</w:t>
      </w:r>
    </w:p>
    <w:p>
      <w:pPr>
        <w:keepNext w:val="0"/>
        <w:keepLines w:val="0"/>
        <w:pageBreakBefore w:val="0"/>
        <w:numPr>
          <w:ilvl w:val="0"/>
          <w:numId w:val="0"/>
        </w:numPr>
        <w:kinsoku/>
        <w:wordWrap/>
        <w:overflowPunct/>
        <w:topLinePunct w:val="0"/>
        <w:autoSpaceDE/>
        <w:autoSpaceDN/>
        <w:bidi w:val="0"/>
        <w:adjustRightInd/>
        <w:snapToGrid/>
        <w:spacing w:line="560" w:lineRule="atLeast"/>
        <w:ind w:firstLine="600" w:firstLineChars="200"/>
        <w:jc w:val="left"/>
        <w:textAlignment w:val="auto"/>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项目实施单位项目档案资料管理工作有待加强，工程建设未按计划工期进行，存在延期的情况，未针对工程延期签订补充协议。</w:t>
      </w:r>
    </w:p>
    <w:p>
      <w:pPr>
        <w:keepNext w:val="0"/>
        <w:keepLines w:val="0"/>
        <w:pageBreakBefore w:val="0"/>
        <w:numPr>
          <w:ilvl w:val="0"/>
          <w:numId w:val="0"/>
        </w:numPr>
        <w:kinsoku/>
        <w:wordWrap/>
        <w:overflowPunct/>
        <w:topLinePunct w:val="0"/>
        <w:autoSpaceDE/>
        <w:autoSpaceDN/>
        <w:bidi w:val="0"/>
        <w:adjustRightInd/>
        <w:snapToGrid/>
        <w:spacing w:line="560" w:lineRule="atLeast"/>
        <w:ind w:firstLine="560"/>
        <w:jc w:val="left"/>
        <w:textAlignment w:val="auto"/>
        <w:rPr>
          <w:rFonts w:hint="eastAsia" w:ascii="仿宋" w:hAnsi="仿宋" w:eastAsia="仿宋" w:cs="仿宋"/>
          <w:b/>
          <w:bCs/>
          <w:sz w:val="30"/>
          <w:szCs w:val="30"/>
          <w:highlight w:val="none"/>
          <w:lang w:val="en-US" w:eastAsia="zh-CN"/>
        </w:rPr>
      </w:pPr>
      <w:r>
        <w:rPr>
          <w:rFonts w:hint="eastAsia" w:ascii="仿宋" w:hAnsi="仿宋" w:eastAsia="仿宋" w:cs="仿宋"/>
          <w:b/>
          <w:bCs/>
          <w:sz w:val="30"/>
          <w:szCs w:val="30"/>
          <w:highlight w:val="none"/>
          <w:lang w:val="en-US" w:eastAsia="zh-CN"/>
        </w:rPr>
        <w:t>八、建议及改进措施</w:t>
      </w:r>
    </w:p>
    <w:p>
      <w:pPr>
        <w:keepNext w:val="0"/>
        <w:keepLines w:val="0"/>
        <w:pageBreakBefore w:val="0"/>
        <w:numPr>
          <w:ilvl w:val="0"/>
          <w:numId w:val="0"/>
        </w:numPr>
        <w:kinsoku/>
        <w:wordWrap/>
        <w:overflowPunct/>
        <w:topLinePunct w:val="0"/>
        <w:autoSpaceDE/>
        <w:autoSpaceDN/>
        <w:bidi w:val="0"/>
        <w:adjustRightInd/>
        <w:snapToGrid/>
        <w:spacing w:line="560" w:lineRule="atLeast"/>
        <w:ind w:firstLine="600" w:firstLineChars="200"/>
        <w:jc w:val="left"/>
        <w:textAlignment w:val="auto"/>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（一）针对项目绩效指标未能与年度工作任务相匹配方面问题，建议项目实施单位细化绩效指标设置，对跨年度实施的项目，明确年度工作任务，制定合理的年度目标任务，从而更好的考核项目完成进度情况。</w:t>
      </w:r>
    </w:p>
    <w:p>
      <w:pPr>
        <w:keepNext w:val="0"/>
        <w:keepLines w:val="0"/>
        <w:pageBreakBefore w:val="0"/>
        <w:numPr>
          <w:ilvl w:val="0"/>
          <w:numId w:val="0"/>
        </w:numPr>
        <w:kinsoku/>
        <w:wordWrap/>
        <w:overflowPunct/>
        <w:topLinePunct w:val="0"/>
        <w:autoSpaceDE/>
        <w:autoSpaceDN/>
        <w:bidi w:val="0"/>
        <w:adjustRightInd/>
        <w:snapToGrid/>
        <w:spacing w:line="560" w:lineRule="atLeast"/>
        <w:ind w:firstLine="600" w:firstLineChars="200"/>
        <w:jc w:val="left"/>
        <w:textAlignment w:val="auto"/>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 xml:space="preserve">（二）针对项目档案管理方面，建议项目实施单位加强档案管理审核工作，增强档案资料的完整度。    </w:t>
      </w:r>
    </w:p>
    <w:p>
      <w:pPr>
        <w:rPr>
          <w:rFonts w:hint="eastAsia"/>
          <w:highlight w:val="none"/>
          <w:lang w:val="en-US" w:eastAsia="zh-CN"/>
        </w:rPr>
      </w:pPr>
    </w:p>
    <w:bookmarkEnd w:id="93"/>
    <w:bookmarkEnd w:id="94"/>
    <w:bookmarkEnd w:id="95"/>
    <w:bookmarkEnd w:id="96"/>
    <w:p>
      <w:pPr>
        <w:ind w:firstLine="7200" w:firstLineChars="2400"/>
        <w:rPr>
          <w:rFonts w:hint="eastAsia"/>
          <w:lang w:val="en-US" w:eastAsia="zh-CN"/>
        </w:rPr>
      </w:pPr>
      <w:r>
        <w:rPr>
          <w:rFonts w:hint="eastAsia" w:ascii="仿宋" w:hAnsi="仿宋" w:eastAsia="仿宋" w:cs="仿宋"/>
          <w:sz w:val="30"/>
          <w:szCs w:val="30"/>
          <w:highlight w:val="none"/>
          <w:lang w:val="en-US" w:eastAsia="zh-CN"/>
        </w:rPr>
        <w:t>曲阳县财政局</w:t>
      </w:r>
    </w:p>
    <w:p>
      <w:pPr>
        <w:pageBreakBefore w:val="0"/>
        <w:kinsoku/>
        <w:wordWrap/>
        <w:overflowPunct/>
        <w:topLinePunct w:val="0"/>
        <w:autoSpaceDE/>
        <w:autoSpaceDN/>
        <w:bidi w:val="0"/>
        <w:adjustRightInd/>
        <w:snapToGrid/>
        <w:spacing w:line="560" w:lineRule="exact"/>
        <w:ind w:firstLine="7200" w:firstLineChars="24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2023年</w:t>
      </w:r>
      <w:r>
        <w:rPr>
          <w:rFonts w:hint="eastAsia" w:ascii="仿宋" w:hAnsi="仿宋" w:eastAsia="仿宋" w:cs="仿宋"/>
          <w:sz w:val="30"/>
          <w:szCs w:val="30"/>
          <w:highlight w:val="none"/>
          <w:lang w:val="en-US" w:eastAsia="zh-CN"/>
        </w:rPr>
        <w:t>6</w:t>
      </w:r>
      <w:r>
        <w:rPr>
          <w:rFonts w:hint="eastAsia" w:ascii="仿宋" w:hAnsi="仿宋" w:eastAsia="仿宋" w:cs="仿宋"/>
          <w:sz w:val="30"/>
          <w:szCs w:val="30"/>
          <w:highlight w:val="none"/>
          <w:lang w:eastAsia="zh-CN"/>
        </w:rPr>
        <w:t>月</w:t>
      </w:r>
      <w:r>
        <w:rPr>
          <w:rFonts w:hint="eastAsia" w:ascii="仿宋" w:hAnsi="仿宋" w:eastAsia="仿宋" w:cs="仿宋"/>
          <w:sz w:val="30"/>
          <w:szCs w:val="30"/>
          <w:highlight w:val="none"/>
          <w:lang w:val="en-US" w:eastAsia="zh-CN"/>
        </w:rPr>
        <w:t>5</w:t>
      </w:r>
      <w:r>
        <w:rPr>
          <w:rFonts w:hint="eastAsia" w:ascii="仿宋" w:hAnsi="仿宋" w:eastAsia="仿宋" w:cs="仿宋"/>
          <w:sz w:val="30"/>
          <w:szCs w:val="30"/>
          <w:highlight w:val="none"/>
          <w:lang w:eastAsia="zh-CN"/>
        </w:rPr>
        <w:t>日</w:t>
      </w:r>
    </w:p>
    <w:sectPr>
      <w:pgSz w:w="11906" w:h="16838"/>
      <w:pgMar w:top="964" w:right="1134" w:bottom="964" w:left="1134" w:header="1134" w:footer="680" w:gutter="0"/>
      <w:pgBorders>
        <w:top w:val="none" w:sz="0" w:space="0"/>
        <w:left w:val="none" w:sz="0" w:space="0"/>
        <w:bottom w:val="none" w:sz="0" w:space="0"/>
        <w:right w:val="none" w:sz="0" w:space="0"/>
      </w:pgBorders>
      <w:pgNumType w:start="1"/>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319868D"/>
    <w:multiLevelType w:val="singleLevel"/>
    <w:tmpl w:val="D319868D"/>
    <w:lvl w:ilvl="0" w:tentative="0">
      <w:start w:val="1"/>
      <w:numFmt w:val="decimal"/>
      <w:suff w:val="nothing"/>
      <w:lvlText w:val="（%1）"/>
      <w:lvlJc w:val="left"/>
    </w:lvl>
  </w:abstractNum>
  <w:abstractNum w:abstractNumId="1">
    <w:nsid w:val="061C7303"/>
    <w:multiLevelType w:val="singleLevel"/>
    <w:tmpl w:val="061C7303"/>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5"/>
  <w:drawingGridHorizontalSpacing w:val="105"/>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UyYWFlYmY1MDgzZjVkMTIyZDNjNGU3MzRhOTU3MzYifQ=="/>
  </w:docVars>
  <w:rsids>
    <w:rsidRoot w:val="00172A27"/>
    <w:rsid w:val="00001E81"/>
    <w:rsid w:val="00002FE3"/>
    <w:rsid w:val="0001237A"/>
    <w:rsid w:val="00012B1F"/>
    <w:rsid w:val="00013039"/>
    <w:rsid w:val="00016780"/>
    <w:rsid w:val="00016877"/>
    <w:rsid w:val="00022151"/>
    <w:rsid w:val="00025856"/>
    <w:rsid w:val="0002621F"/>
    <w:rsid w:val="00033AA9"/>
    <w:rsid w:val="0003796B"/>
    <w:rsid w:val="00040467"/>
    <w:rsid w:val="00045C4A"/>
    <w:rsid w:val="00051E6A"/>
    <w:rsid w:val="000526B1"/>
    <w:rsid w:val="000545E4"/>
    <w:rsid w:val="00061A9C"/>
    <w:rsid w:val="00061CE6"/>
    <w:rsid w:val="0006219F"/>
    <w:rsid w:val="000708F8"/>
    <w:rsid w:val="0007441F"/>
    <w:rsid w:val="0007465C"/>
    <w:rsid w:val="00074D40"/>
    <w:rsid w:val="000755AD"/>
    <w:rsid w:val="00075E9A"/>
    <w:rsid w:val="00077141"/>
    <w:rsid w:val="00085E3D"/>
    <w:rsid w:val="0009369D"/>
    <w:rsid w:val="0009497A"/>
    <w:rsid w:val="00097090"/>
    <w:rsid w:val="000A0869"/>
    <w:rsid w:val="000A1167"/>
    <w:rsid w:val="000A3E44"/>
    <w:rsid w:val="000A4680"/>
    <w:rsid w:val="000B0D5C"/>
    <w:rsid w:val="000B155D"/>
    <w:rsid w:val="000B1E0C"/>
    <w:rsid w:val="000B20C4"/>
    <w:rsid w:val="000B2F28"/>
    <w:rsid w:val="000C0219"/>
    <w:rsid w:val="000C04B4"/>
    <w:rsid w:val="000D406E"/>
    <w:rsid w:val="000D62DD"/>
    <w:rsid w:val="000D7C44"/>
    <w:rsid w:val="000D7C62"/>
    <w:rsid w:val="000E2FF4"/>
    <w:rsid w:val="000E55B5"/>
    <w:rsid w:val="000E7041"/>
    <w:rsid w:val="000F06E0"/>
    <w:rsid w:val="000F4DB6"/>
    <w:rsid w:val="000F6F4D"/>
    <w:rsid w:val="000F7314"/>
    <w:rsid w:val="00102339"/>
    <w:rsid w:val="00103596"/>
    <w:rsid w:val="0010607C"/>
    <w:rsid w:val="0010686E"/>
    <w:rsid w:val="00107E9D"/>
    <w:rsid w:val="001118A5"/>
    <w:rsid w:val="001129D8"/>
    <w:rsid w:val="00117D1C"/>
    <w:rsid w:val="00123040"/>
    <w:rsid w:val="00123913"/>
    <w:rsid w:val="00127425"/>
    <w:rsid w:val="001337FE"/>
    <w:rsid w:val="00135522"/>
    <w:rsid w:val="0014634C"/>
    <w:rsid w:val="001471EC"/>
    <w:rsid w:val="00151E0E"/>
    <w:rsid w:val="00153236"/>
    <w:rsid w:val="00155639"/>
    <w:rsid w:val="00157B84"/>
    <w:rsid w:val="00161CEF"/>
    <w:rsid w:val="00163C86"/>
    <w:rsid w:val="0016529A"/>
    <w:rsid w:val="0016552F"/>
    <w:rsid w:val="00165B00"/>
    <w:rsid w:val="00167578"/>
    <w:rsid w:val="00172A27"/>
    <w:rsid w:val="001730CC"/>
    <w:rsid w:val="00175C51"/>
    <w:rsid w:val="001775FA"/>
    <w:rsid w:val="00177706"/>
    <w:rsid w:val="00181EDE"/>
    <w:rsid w:val="00196D03"/>
    <w:rsid w:val="001973EC"/>
    <w:rsid w:val="001A0FA2"/>
    <w:rsid w:val="001A47A9"/>
    <w:rsid w:val="001A6DAC"/>
    <w:rsid w:val="001A6DCF"/>
    <w:rsid w:val="001A7692"/>
    <w:rsid w:val="001B348D"/>
    <w:rsid w:val="001B48F3"/>
    <w:rsid w:val="001B5178"/>
    <w:rsid w:val="001B55E7"/>
    <w:rsid w:val="001C05EB"/>
    <w:rsid w:val="001C0981"/>
    <w:rsid w:val="001C0A70"/>
    <w:rsid w:val="001C370C"/>
    <w:rsid w:val="001C5733"/>
    <w:rsid w:val="001C587B"/>
    <w:rsid w:val="001D420F"/>
    <w:rsid w:val="001D7CB3"/>
    <w:rsid w:val="001E3AEC"/>
    <w:rsid w:val="001E5575"/>
    <w:rsid w:val="001E6191"/>
    <w:rsid w:val="001E6D7F"/>
    <w:rsid w:val="001F37F7"/>
    <w:rsid w:val="001F3B46"/>
    <w:rsid w:val="002019BF"/>
    <w:rsid w:val="00204D34"/>
    <w:rsid w:val="00205B2A"/>
    <w:rsid w:val="002061DE"/>
    <w:rsid w:val="00206E4A"/>
    <w:rsid w:val="00211650"/>
    <w:rsid w:val="00212B85"/>
    <w:rsid w:val="00214D2D"/>
    <w:rsid w:val="00217674"/>
    <w:rsid w:val="002238F1"/>
    <w:rsid w:val="0022441E"/>
    <w:rsid w:val="002262ED"/>
    <w:rsid w:val="00227687"/>
    <w:rsid w:val="00231583"/>
    <w:rsid w:val="00231E73"/>
    <w:rsid w:val="00232C0B"/>
    <w:rsid w:val="00236FF9"/>
    <w:rsid w:val="002371BA"/>
    <w:rsid w:val="00241DDA"/>
    <w:rsid w:val="0024577B"/>
    <w:rsid w:val="002477B2"/>
    <w:rsid w:val="002478F4"/>
    <w:rsid w:val="002513BE"/>
    <w:rsid w:val="00256A4B"/>
    <w:rsid w:val="00264E36"/>
    <w:rsid w:val="00266F46"/>
    <w:rsid w:val="002678E2"/>
    <w:rsid w:val="0027048A"/>
    <w:rsid w:val="00270705"/>
    <w:rsid w:val="00271949"/>
    <w:rsid w:val="00274702"/>
    <w:rsid w:val="0027470D"/>
    <w:rsid w:val="002762DA"/>
    <w:rsid w:val="00280437"/>
    <w:rsid w:val="002837BF"/>
    <w:rsid w:val="0028433C"/>
    <w:rsid w:val="00287E1A"/>
    <w:rsid w:val="002938D8"/>
    <w:rsid w:val="00294650"/>
    <w:rsid w:val="00294ED2"/>
    <w:rsid w:val="00297960"/>
    <w:rsid w:val="002A4C4D"/>
    <w:rsid w:val="002A5E76"/>
    <w:rsid w:val="002A68A6"/>
    <w:rsid w:val="002B37B6"/>
    <w:rsid w:val="002B45E5"/>
    <w:rsid w:val="002C1CA4"/>
    <w:rsid w:val="002E02E3"/>
    <w:rsid w:val="002E2613"/>
    <w:rsid w:val="002E2C1A"/>
    <w:rsid w:val="002E45FD"/>
    <w:rsid w:val="002E7CB4"/>
    <w:rsid w:val="002F0A16"/>
    <w:rsid w:val="002F2D01"/>
    <w:rsid w:val="002F72F6"/>
    <w:rsid w:val="00303ADF"/>
    <w:rsid w:val="00306C5A"/>
    <w:rsid w:val="00307390"/>
    <w:rsid w:val="00307D5B"/>
    <w:rsid w:val="00311278"/>
    <w:rsid w:val="00313749"/>
    <w:rsid w:val="00313C79"/>
    <w:rsid w:val="0032011B"/>
    <w:rsid w:val="003225CE"/>
    <w:rsid w:val="00323DE4"/>
    <w:rsid w:val="00325654"/>
    <w:rsid w:val="00327721"/>
    <w:rsid w:val="00330324"/>
    <w:rsid w:val="00330AA2"/>
    <w:rsid w:val="003362FC"/>
    <w:rsid w:val="0033673E"/>
    <w:rsid w:val="00344370"/>
    <w:rsid w:val="00350222"/>
    <w:rsid w:val="00350722"/>
    <w:rsid w:val="00351B3C"/>
    <w:rsid w:val="00354F98"/>
    <w:rsid w:val="00355135"/>
    <w:rsid w:val="003559E9"/>
    <w:rsid w:val="00360C3A"/>
    <w:rsid w:val="00361A21"/>
    <w:rsid w:val="00361C36"/>
    <w:rsid w:val="00371E92"/>
    <w:rsid w:val="003722A1"/>
    <w:rsid w:val="00375B5C"/>
    <w:rsid w:val="003776F3"/>
    <w:rsid w:val="0038027C"/>
    <w:rsid w:val="00382AC7"/>
    <w:rsid w:val="0039160E"/>
    <w:rsid w:val="003918F6"/>
    <w:rsid w:val="003933E7"/>
    <w:rsid w:val="00395AAD"/>
    <w:rsid w:val="0039616C"/>
    <w:rsid w:val="00397291"/>
    <w:rsid w:val="00397784"/>
    <w:rsid w:val="003A468C"/>
    <w:rsid w:val="003A5D20"/>
    <w:rsid w:val="003B0599"/>
    <w:rsid w:val="003B506F"/>
    <w:rsid w:val="003B55FC"/>
    <w:rsid w:val="003C2817"/>
    <w:rsid w:val="003D5A13"/>
    <w:rsid w:val="003E4CEC"/>
    <w:rsid w:val="003E58F6"/>
    <w:rsid w:val="003F5AA4"/>
    <w:rsid w:val="0040171A"/>
    <w:rsid w:val="0040642B"/>
    <w:rsid w:val="00411120"/>
    <w:rsid w:val="00412B46"/>
    <w:rsid w:val="00421AA7"/>
    <w:rsid w:val="004220AA"/>
    <w:rsid w:val="0043069F"/>
    <w:rsid w:val="00431254"/>
    <w:rsid w:val="00432102"/>
    <w:rsid w:val="00435890"/>
    <w:rsid w:val="00437563"/>
    <w:rsid w:val="0045092F"/>
    <w:rsid w:val="0045268D"/>
    <w:rsid w:val="00455858"/>
    <w:rsid w:val="0045663E"/>
    <w:rsid w:val="00460005"/>
    <w:rsid w:val="004603D0"/>
    <w:rsid w:val="00464C8B"/>
    <w:rsid w:val="00464E7C"/>
    <w:rsid w:val="00471474"/>
    <w:rsid w:val="00474E33"/>
    <w:rsid w:val="00476CA9"/>
    <w:rsid w:val="00477A0A"/>
    <w:rsid w:val="004837D1"/>
    <w:rsid w:val="00484031"/>
    <w:rsid w:val="004949BB"/>
    <w:rsid w:val="00494D2C"/>
    <w:rsid w:val="00495D03"/>
    <w:rsid w:val="00496C00"/>
    <w:rsid w:val="004A6E0D"/>
    <w:rsid w:val="004B34D2"/>
    <w:rsid w:val="004B36EF"/>
    <w:rsid w:val="004B60B0"/>
    <w:rsid w:val="004C077B"/>
    <w:rsid w:val="004C16C1"/>
    <w:rsid w:val="004C42FF"/>
    <w:rsid w:val="004D3E55"/>
    <w:rsid w:val="004E1A51"/>
    <w:rsid w:val="004E4D3D"/>
    <w:rsid w:val="004E78EF"/>
    <w:rsid w:val="004F05AB"/>
    <w:rsid w:val="004F1584"/>
    <w:rsid w:val="004F6320"/>
    <w:rsid w:val="005035A0"/>
    <w:rsid w:val="00503F54"/>
    <w:rsid w:val="00504D24"/>
    <w:rsid w:val="00506B53"/>
    <w:rsid w:val="0050755A"/>
    <w:rsid w:val="00525EA6"/>
    <w:rsid w:val="00525F5C"/>
    <w:rsid w:val="005262DE"/>
    <w:rsid w:val="0053461A"/>
    <w:rsid w:val="00535CEF"/>
    <w:rsid w:val="005443B3"/>
    <w:rsid w:val="005511A7"/>
    <w:rsid w:val="0055165F"/>
    <w:rsid w:val="0055189E"/>
    <w:rsid w:val="005605EF"/>
    <w:rsid w:val="0056126D"/>
    <w:rsid w:val="00573D78"/>
    <w:rsid w:val="00577454"/>
    <w:rsid w:val="00580E0D"/>
    <w:rsid w:val="00581141"/>
    <w:rsid w:val="00587B04"/>
    <w:rsid w:val="00587DA6"/>
    <w:rsid w:val="00596FA9"/>
    <w:rsid w:val="005975A7"/>
    <w:rsid w:val="005A0AFA"/>
    <w:rsid w:val="005A1FA5"/>
    <w:rsid w:val="005A2809"/>
    <w:rsid w:val="005A4668"/>
    <w:rsid w:val="005B0ABE"/>
    <w:rsid w:val="005B2098"/>
    <w:rsid w:val="005B5D50"/>
    <w:rsid w:val="005B604D"/>
    <w:rsid w:val="005C6CF3"/>
    <w:rsid w:val="005D4511"/>
    <w:rsid w:val="005D511C"/>
    <w:rsid w:val="005D6237"/>
    <w:rsid w:val="005D6295"/>
    <w:rsid w:val="005E0754"/>
    <w:rsid w:val="005E12F4"/>
    <w:rsid w:val="005E4912"/>
    <w:rsid w:val="005E5A26"/>
    <w:rsid w:val="005E5BF3"/>
    <w:rsid w:val="005F109C"/>
    <w:rsid w:val="005F702A"/>
    <w:rsid w:val="0060053D"/>
    <w:rsid w:val="00601408"/>
    <w:rsid w:val="00606C8F"/>
    <w:rsid w:val="00610D3F"/>
    <w:rsid w:val="006153F8"/>
    <w:rsid w:val="00617B84"/>
    <w:rsid w:val="00620728"/>
    <w:rsid w:val="00626BD6"/>
    <w:rsid w:val="0063198C"/>
    <w:rsid w:val="0063202E"/>
    <w:rsid w:val="006334E7"/>
    <w:rsid w:val="00635205"/>
    <w:rsid w:val="006355C2"/>
    <w:rsid w:val="00637149"/>
    <w:rsid w:val="00640245"/>
    <w:rsid w:val="006474D2"/>
    <w:rsid w:val="006526B7"/>
    <w:rsid w:val="006528E7"/>
    <w:rsid w:val="0066512C"/>
    <w:rsid w:val="0066533C"/>
    <w:rsid w:val="006726C0"/>
    <w:rsid w:val="00677E52"/>
    <w:rsid w:val="0068590D"/>
    <w:rsid w:val="00685CC1"/>
    <w:rsid w:val="00687599"/>
    <w:rsid w:val="0069340F"/>
    <w:rsid w:val="00695DF0"/>
    <w:rsid w:val="006A1A90"/>
    <w:rsid w:val="006B14A2"/>
    <w:rsid w:val="006B6D32"/>
    <w:rsid w:val="006B7630"/>
    <w:rsid w:val="006C4007"/>
    <w:rsid w:val="006C4F4C"/>
    <w:rsid w:val="006C6718"/>
    <w:rsid w:val="006D0B17"/>
    <w:rsid w:val="006D102D"/>
    <w:rsid w:val="006D6EC8"/>
    <w:rsid w:val="006D7836"/>
    <w:rsid w:val="006E16C9"/>
    <w:rsid w:val="006E3BE1"/>
    <w:rsid w:val="006E6313"/>
    <w:rsid w:val="006E6AEF"/>
    <w:rsid w:val="006E7061"/>
    <w:rsid w:val="006F03CB"/>
    <w:rsid w:val="006F3E20"/>
    <w:rsid w:val="006F4C35"/>
    <w:rsid w:val="006F585B"/>
    <w:rsid w:val="00704022"/>
    <w:rsid w:val="00707385"/>
    <w:rsid w:val="007105B6"/>
    <w:rsid w:val="007118CE"/>
    <w:rsid w:val="0071448D"/>
    <w:rsid w:val="00717AF6"/>
    <w:rsid w:val="00725607"/>
    <w:rsid w:val="00726DC9"/>
    <w:rsid w:val="00730116"/>
    <w:rsid w:val="00731011"/>
    <w:rsid w:val="00732D83"/>
    <w:rsid w:val="00734070"/>
    <w:rsid w:val="0073497B"/>
    <w:rsid w:val="00735F2F"/>
    <w:rsid w:val="00743F08"/>
    <w:rsid w:val="00747C52"/>
    <w:rsid w:val="007511E3"/>
    <w:rsid w:val="0076471E"/>
    <w:rsid w:val="007762CE"/>
    <w:rsid w:val="00780B07"/>
    <w:rsid w:val="0078765B"/>
    <w:rsid w:val="00795A90"/>
    <w:rsid w:val="007A3B28"/>
    <w:rsid w:val="007A4F6D"/>
    <w:rsid w:val="007A6F84"/>
    <w:rsid w:val="007B3C17"/>
    <w:rsid w:val="007B7DF5"/>
    <w:rsid w:val="007B7E86"/>
    <w:rsid w:val="007C28A6"/>
    <w:rsid w:val="007C4661"/>
    <w:rsid w:val="007D2F68"/>
    <w:rsid w:val="007D3D44"/>
    <w:rsid w:val="007D560A"/>
    <w:rsid w:val="007D5CC0"/>
    <w:rsid w:val="007D6665"/>
    <w:rsid w:val="007D6692"/>
    <w:rsid w:val="007E2B66"/>
    <w:rsid w:val="007F0132"/>
    <w:rsid w:val="007F02D1"/>
    <w:rsid w:val="007F08E0"/>
    <w:rsid w:val="00803AB6"/>
    <w:rsid w:val="0080468A"/>
    <w:rsid w:val="00806336"/>
    <w:rsid w:val="0081237C"/>
    <w:rsid w:val="0081741F"/>
    <w:rsid w:val="008218D6"/>
    <w:rsid w:val="008252BD"/>
    <w:rsid w:val="008270C5"/>
    <w:rsid w:val="00827186"/>
    <w:rsid w:val="00827902"/>
    <w:rsid w:val="008317D2"/>
    <w:rsid w:val="00831E38"/>
    <w:rsid w:val="00833C82"/>
    <w:rsid w:val="00837564"/>
    <w:rsid w:val="0084040A"/>
    <w:rsid w:val="008418C4"/>
    <w:rsid w:val="0084365C"/>
    <w:rsid w:val="0084490C"/>
    <w:rsid w:val="00845C99"/>
    <w:rsid w:val="0084691A"/>
    <w:rsid w:val="00847274"/>
    <w:rsid w:val="008576D9"/>
    <w:rsid w:val="008626C1"/>
    <w:rsid w:val="00863446"/>
    <w:rsid w:val="00870DE1"/>
    <w:rsid w:val="00882D5B"/>
    <w:rsid w:val="00884402"/>
    <w:rsid w:val="00886A98"/>
    <w:rsid w:val="00890C6C"/>
    <w:rsid w:val="008A1ABB"/>
    <w:rsid w:val="008A2EDD"/>
    <w:rsid w:val="008A5256"/>
    <w:rsid w:val="008B11CB"/>
    <w:rsid w:val="008B2164"/>
    <w:rsid w:val="008B31E9"/>
    <w:rsid w:val="008B43F7"/>
    <w:rsid w:val="008B693D"/>
    <w:rsid w:val="008B6CC8"/>
    <w:rsid w:val="008B7945"/>
    <w:rsid w:val="008B7EA3"/>
    <w:rsid w:val="008C34DF"/>
    <w:rsid w:val="008C4E78"/>
    <w:rsid w:val="008C6BD0"/>
    <w:rsid w:val="008C71D6"/>
    <w:rsid w:val="008D2C8F"/>
    <w:rsid w:val="008D41B3"/>
    <w:rsid w:val="008D70D4"/>
    <w:rsid w:val="008D743B"/>
    <w:rsid w:val="008E0755"/>
    <w:rsid w:val="008F1A99"/>
    <w:rsid w:val="008F1BDB"/>
    <w:rsid w:val="008F2F12"/>
    <w:rsid w:val="00900305"/>
    <w:rsid w:val="0090326A"/>
    <w:rsid w:val="00904477"/>
    <w:rsid w:val="00904A01"/>
    <w:rsid w:val="00912D2E"/>
    <w:rsid w:val="00913359"/>
    <w:rsid w:val="00917252"/>
    <w:rsid w:val="00924661"/>
    <w:rsid w:val="00924F2A"/>
    <w:rsid w:val="00924F8C"/>
    <w:rsid w:val="009250C7"/>
    <w:rsid w:val="0092512C"/>
    <w:rsid w:val="009258A4"/>
    <w:rsid w:val="0093087E"/>
    <w:rsid w:val="00935039"/>
    <w:rsid w:val="00936FCD"/>
    <w:rsid w:val="009444BB"/>
    <w:rsid w:val="0094494F"/>
    <w:rsid w:val="009474C6"/>
    <w:rsid w:val="0095178C"/>
    <w:rsid w:val="00955E76"/>
    <w:rsid w:val="00955FD6"/>
    <w:rsid w:val="009737D8"/>
    <w:rsid w:val="00973C01"/>
    <w:rsid w:val="00977FBC"/>
    <w:rsid w:val="00980669"/>
    <w:rsid w:val="00984C16"/>
    <w:rsid w:val="00984CCE"/>
    <w:rsid w:val="00991A94"/>
    <w:rsid w:val="009944B4"/>
    <w:rsid w:val="0099465A"/>
    <w:rsid w:val="009959AC"/>
    <w:rsid w:val="009A0DF7"/>
    <w:rsid w:val="009A1232"/>
    <w:rsid w:val="009A3761"/>
    <w:rsid w:val="009B33B3"/>
    <w:rsid w:val="009B4723"/>
    <w:rsid w:val="009B53B3"/>
    <w:rsid w:val="009B61CB"/>
    <w:rsid w:val="009D06CE"/>
    <w:rsid w:val="009D4F29"/>
    <w:rsid w:val="009D5BA9"/>
    <w:rsid w:val="009E3A54"/>
    <w:rsid w:val="009E4C36"/>
    <w:rsid w:val="009E74B1"/>
    <w:rsid w:val="009F26D4"/>
    <w:rsid w:val="009F69B1"/>
    <w:rsid w:val="009F69D8"/>
    <w:rsid w:val="00A02D53"/>
    <w:rsid w:val="00A031AB"/>
    <w:rsid w:val="00A03725"/>
    <w:rsid w:val="00A05142"/>
    <w:rsid w:val="00A1354F"/>
    <w:rsid w:val="00A13D82"/>
    <w:rsid w:val="00A15FE0"/>
    <w:rsid w:val="00A216ED"/>
    <w:rsid w:val="00A315AC"/>
    <w:rsid w:val="00A35407"/>
    <w:rsid w:val="00A370C2"/>
    <w:rsid w:val="00A4018F"/>
    <w:rsid w:val="00A436E7"/>
    <w:rsid w:val="00A4517C"/>
    <w:rsid w:val="00A51D4D"/>
    <w:rsid w:val="00A522AD"/>
    <w:rsid w:val="00A54887"/>
    <w:rsid w:val="00A578EB"/>
    <w:rsid w:val="00A57DDD"/>
    <w:rsid w:val="00A6170A"/>
    <w:rsid w:val="00A64359"/>
    <w:rsid w:val="00A67DE5"/>
    <w:rsid w:val="00A72467"/>
    <w:rsid w:val="00A736A2"/>
    <w:rsid w:val="00A77D60"/>
    <w:rsid w:val="00A80257"/>
    <w:rsid w:val="00A820FC"/>
    <w:rsid w:val="00A85BE0"/>
    <w:rsid w:val="00A90F4C"/>
    <w:rsid w:val="00A92B31"/>
    <w:rsid w:val="00A938F4"/>
    <w:rsid w:val="00A94484"/>
    <w:rsid w:val="00A977FD"/>
    <w:rsid w:val="00AA06F9"/>
    <w:rsid w:val="00AA2C06"/>
    <w:rsid w:val="00AA7C05"/>
    <w:rsid w:val="00AB0F07"/>
    <w:rsid w:val="00AC4D96"/>
    <w:rsid w:val="00AC52FA"/>
    <w:rsid w:val="00AD0798"/>
    <w:rsid w:val="00AD50B9"/>
    <w:rsid w:val="00AD6B17"/>
    <w:rsid w:val="00AD7D2F"/>
    <w:rsid w:val="00AE31CD"/>
    <w:rsid w:val="00AE3FED"/>
    <w:rsid w:val="00AE45E0"/>
    <w:rsid w:val="00AE4933"/>
    <w:rsid w:val="00AE6FB4"/>
    <w:rsid w:val="00AF025F"/>
    <w:rsid w:val="00AF7605"/>
    <w:rsid w:val="00B0350D"/>
    <w:rsid w:val="00B06FC2"/>
    <w:rsid w:val="00B175CE"/>
    <w:rsid w:val="00B1766A"/>
    <w:rsid w:val="00B20AC8"/>
    <w:rsid w:val="00B22073"/>
    <w:rsid w:val="00B24854"/>
    <w:rsid w:val="00B27D5F"/>
    <w:rsid w:val="00B357D9"/>
    <w:rsid w:val="00B41697"/>
    <w:rsid w:val="00B452F9"/>
    <w:rsid w:val="00B45D04"/>
    <w:rsid w:val="00B46AAD"/>
    <w:rsid w:val="00B561A3"/>
    <w:rsid w:val="00B60B6A"/>
    <w:rsid w:val="00B6723C"/>
    <w:rsid w:val="00B716AD"/>
    <w:rsid w:val="00B72444"/>
    <w:rsid w:val="00B760E5"/>
    <w:rsid w:val="00B80C9E"/>
    <w:rsid w:val="00B959F2"/>
    <w:rsid w:val="00B95AAB"/>
    <w:rsid w:val="00B96034"/>
    <w:rsid w:val="00B97746"/>
    <w:rsid w:val="00BA1E35"/>
    <w:rsid w:val="00BA356D"/>
    <w:rsid w:val="00BA4A20"/>
    <w:rsid w:val="00BB54BD"/>
    <w:rsid w:val="00BB63F9"/>
    <w:rsid w:val="00BB7272"/>
    <w:rsid w:val="00BC3E03"/>
    <w:rsid w:val="00BC6158"/>
    <w:rsid w:val="00BD2307"/>
    <w:rsid w:val="00BD2901"/>
    <w:rsid w:val="00BD5644"/>
    <w:rsid w:val="00BD589B"/>
    <w:rsid w:val="00BD62CC"/>
    <w:rsid w:val="00BE4093"/>
    <w:rsid w:val="00BE73F7"/>
    <w:rsid w:val="00BF0521"/>
    <w:rsid w:val="00BF6113"/>
    <w:rsid w:val="00C021CE"/>
    <w:rsid w:val="00C05D86"/>
    <w:rsid w:val="00C071B2"/>
    <w:rsid w:val="00C10F97"/>
    <w:rsid w:val="00C1251F"/>
    <w:rsid w:val="00C15E6D"/>
    <w:rsid w:val="00C2633C"/>
    <w:rsid w:val="00C30185"/>
    <w:rsid w:val="00C337E4"/>
    <w:rsid w:val="00C35279"/>
    <w:rsid w:val="00C37115"/>
    <w:rsid w:val="00C37717"/>
    <w:rsid w:val="00C37A13"/>
    <w:rsid w:val="00C402B1"/>
    <w:rsid w:val="00C41B37"/>
    <w:rsid w:val="00C53438"/>
    <w:rsid w:val="00C631CD"/>
    <w:rsid w:val="00C64E13"/>
    <w:rsid w:val="00C657E6"/>
    <w:rsid w:val="00C66572"/>
    <w:rsid w:val="00C6722E"/>
    <w:rsid w:val="00C67735"/>
    <w:rsid w:val="00C76BC8"/>
    <w:rsid w:val="00C808CD"/>
    <w:rsid w:val="00C81737"/>
    <w:rsid w:val="00C847CF"/>
    <w:rsid w:val="00C93435"/>
    <w:rsid w:val="00CA0FF6"/>
    <w:rsid w:val="00CA1456"/>
    <w:rsid w:val="00CA7BF4"/>
    <w:rsid w:val="00CC1421"/>
    <w:rsid w:val="00CC43C2"/>
    <w:rsid w:val="00CC75FA"/>
    <w:rsid w:val="00CD0298"/>
    <w:rsid w:val="00CD18CC"/>
    <w:rsid w:val="00CD2449"/>
    <w:rsid w:val="00CE0C7E"/>
    <w:rsid w:val="00CE1D6A"/>
    <w:rsid w:val="00CE1D8F"/>
    <w:rsid w:val="00CE6077"/>
    <w:rsid w:val="00CE6446"/>
    <w:rsid w:val="00CF0C84"/>
    <w:rsid w:val="00CF45BE"/>
    <w:rsid w:val="00CF5E7C"/>
    <w:rsid w:val="00CF6BF4"/>
    <w:rsid w:val="00D007B7"/>
    <w:rsid w:val="00D04C6B"/>
    <w:rsid w:val="00D13256"/>
    <w:rsid w:val="00D13829"/>
    <w:rsid w:val="00D153CF"/>
    <w:rsid w:val="00D2643F"/>
    <w:rsid w:val="00D27BC5"/>
    <w:rsid w:val="00D34CDD"/>
    <w:rsid w:val="00D36AB4"/>
    <w:rsid w:val="00D36AC2"/>
    <w:rsid w:val="00D45DE3"/>
    <w:rsid w:val="00D46895"/>
    <w:rsid w:val="00D47F71"/>
    <w:rsid w:val="00D53364"/>
    <w:rsid w:val="00D605E4"/>
    <w:rsid w:val="00D615EB"/>
    <w:rsid w:val="00D7205C"/>
    <w:rsid w:val="00D72934"/>
    <w:rsid w:val="00D748CA"/>
    <w:rsid w:val="00D75DE5"/>
    <w:rsid w:val="00D83950"/>
    <w:rsid w:val="00D84226"/>
    <w:rsid w:val="00D862E1"/>
    <w:rsid w:val="00D87E6D"/>
    <w:rsid w:val="00DA4E61"/>
    <w:rsid w:val="00DA5DB0"/>
    <w:rsid w:val="00DA691D"/>
    <w:rsid w:val="00DB0327"/>
    <w:rsid w:val="00DB03B8"/>
    <w:rsid w:val="00DB7DA1"/>
    <w:rsid w:val="00DC07A9"/>
    <w:rsid w:val="00DC2EEA"/>
    <w:rsid w:val="00DC3A4A"/>
    <w:rsid w:val="00DD3585"/>
    <w:rsid w:val="00DE602A"/>
    <w:rsid w:val="00DF3C90"/>
    <w:rsid w:val="00DF44F9"/>
    <w:rsid w:val="00DF5954"/>
    <w:rsid w:val="00DF69EE"/>
    <w:rsid w:val="00E023F5"/>
    <w:rsid w:val="00E06F2F"/>
    <w:rsid w:val="00E07928"/>
    <w:rsid w:val="00E1602F"/>
    <w:rsid w:val="00E1654D"/>
    <w:rsid w:val="00E2611B"/>
    <w:rsid w:val="00E26F1D"/>
    <w:rsid w:val="00E3404B"/>
    <w:rsid w:val="00E36DDE"/>
    <w:rsid w:val="00E40DE1"/>
    <w:rsid w:val="00E4162B"/>
    <w:rsid w:val="00E47B9D"/>
    <w:rsid w:val="00E47D72"/>
    <w:rsid w:val="00E5073B"/>
    <w:rsid w:val="00E5496C"/>
    <w:rsid w:val="00E54A5A"/>
    <w:rsid w:val="00E55442"/>
    <w:rsid w:val="00E55C12"/>
    <w:rsid w:val="00E56181"/>
    <w:rsid w:val="00E67C8B"/>
    <w:rsid w:val="00E74616"/>
    <w:rsid w:val="00E74D9A"/>
    <w:rsid w:val="00E818EA"/>
    <w:rsid w:val="00E87C9B"/>
    <w:rsid w:val="00E87CFA"/>
    <w:rsid w:val="00E93944"/>
    <w:rsid w:val="00E945E6"/>
    <w:rsid w:val="00E9664D"/>
    <w:rsid w:val="00E9720D"/>
    <w:rsid w:val="00EA5CFA"/>
    <w:rsid w:val="00EA76B4"/>
    <w:rsid w:val="00EA7D67"/>
    <w:rsid w:val="00EB1B57"/>
    <w:rsid w:val="00EB38C6"/>
    <w:rsid w:val="00EC5A80"/>
    <w:rsid w:val="00EC62E6"/>
    <w:rsid w:val="00EE706B"/>
    <w:rsid w:val="00EE7F0D"/>
    <w:rsid w:val="00EF1460"/>
    <w:rsid w:val="00EF45F7"/>
    <w:rsid w:val="00EF4D51"/>
    <w:rsid w:val="00F0129C"/>
    <w:rsid w:val="00F01563"/>
    <w:rsid w:val="00F0254F"/>
    <w:rsid w:val="00F04BFE"/>
    <w:rsid w:val="00F071CB"/>
    <w:rsid w:val="00F1167E"/>
    <w:rsid w:val="00F1229F"/>
    <w:rsid w:val="00F124AE"/>
    <w:rsid w:val="00F153DC"/>
    <w:rsid w:val="00F20147"/>
    <w:rsid w:val="00F209EB"/>
    <w:rsid w:val="00F21DBA"/>
    <w:rsid w:val="00F264EF"/>
    <w:rsid w:val="00F27F87"/>
    <w:rsid w:val="00F3212D"/>
    <w:rsid w:val="00F32DC2"/>
    <w:rsid w:val="00F40C25"/>
    <w:rsid w:val="00F43FF0"/>
    <w:rsid w:val="00F44735"/>
    <w:rsid w:val="00F44ADC"/>
    <w:rsid w:val="00F44C8B"/>
    <w:rsid w:val="00F46576"/>
    <w:rsid w:val="00F47A21"/>
    <w:rsid w:val="00F50B74"/>
    <w:rsid w:val="00F525F8"/>
    <w:rsid w:val="00F57BBB"/>
    <w:rsid w:val="00F64C8B"/>
    <w:rsid w:val="00F70989"/>
    <w:rsid w:val="00F747CC"/>
    <w:rsid w:val="00F81AD0"/>
    <w:rsid w:val="00F82BBB"/>
    <w:rsid w:val="00F83AF9"/>
    <w:rsid w:val="00F8434F"/>
    <w:rsid w:val="00F850F0"/>
    <w:rsid w:val="00F855FE"/>
    <w:rsid w:val="00F865F4"/>
    <w:rsid w:val="00F86B76"/>
    <w:rsid w:val="00F92C03"/>
    <w:rsid w:val="00F930C3"/>
    <w:rsid w:val="00F95F3C"/>
    <w:rsid w:val="00F96CD1"/>
    <w:rsid w:val="00FA1D9A"/>
    <w:rsid w:val="00FA275B"/>
    <w:rsid w:val="00FB15C4"/>
    <w:rsid w:val="00FC1747"/>
    <w:rsid w:val="00FC2FCA"/>
    <w:rsid w:val="00FC5532"/>
    <w:rsid w:val="00FC6631"/>
    <w:rsid w:val="00FC7E65"/>
    <w:rsid w:val="00FD3E76"/>
    <w:rsid w:val="00FD6E29"/>
    <w:rsid w:val="00FD6FEF"/>
    <w:rsid w:val="00FE13D4"/>
    <w:rsid w:val="00FE2CF2"/>
    <w:rsid w:val="00FE3BCB"/>
    <w:rsid w:val="00FE7C05"/>
    <w:rsid w:val="00FF14BA"/>
    <w:rsid w:val="00FF253C"/>
    <w:rsid w:val="00FF4832"/>
    <w:rsid w:val="00FF6D34"/>
    <w:rsid w:val="00FF726D"/>
    <w:rsid w:val="01441BB9"/>
    <w:rsid w:val="04141B96"/>
    <w:rsid w:val="098E39B9"/>
    <w:rsid w:val="0ADA152D"/>
    <w:rsid w:val="0D9E1C0C"/>
    <w:rsid w:val="0E4B143D"/>
    <w:rsid w:val="0EF02E72"/>
    <w:rsid w:val="0F481A23"/>
    <w:rsid w:val="10814158"/>
    <w:rsid w:val="112F3D99"/>
    <w:rsid w:val="12844DC1"/>
    <w:rsid w:val="142E56E9"/>
    <w:rsid w:val="1823357E"/>
    <w:rsid w:val="187036B2"/>
    <w:rsid w:val="1B1A3889"/>
    <w:rsid w:val="1C850D11"/>
    <w:rsid w:val="1E145C1F"/>
    <w:rsid w:val="1F94354A"/>
    <w:rsid w:val="21460153"/>
    <w:rsid w:val="21DA3F9D"/>
    <w:rsid w:val="223D0F22"/>
    <w:rsid w:val="23FA42D0"/>
    <w:rsid w:val="24743B37"/>
    <w:rsid w:val="25470B20"/>
    <w:rsid w:val="29483C47"/>
    <w:rsid w:val="2A713062"/>
    <w:rsid w:val="2A8314C1"/>
    <w:rsid w:val="2A8F3BCE"/>
    <w:rsid w:val="2B872E60"/>
    <w:rsid w:val="2BCE0FAE"/>
    <w:rsid w:val="2CAF4831"/>
    <w:rsid w:val="2DFC5A4D"/>
    <w:rsid w:val="2F1D0509"/>
    <w:rsid w:val="3161561E"/>
    <w:rsid w:val="31AA78D1"/>
    <w:rsid w:val="321B7CF6"/>
    <w:rsid w:val="38963FA8"/>
    <w:rsid w:val="3A186A29"/>
    <w:rsid w:val="3E792B8A"/>
    <w:rsid w:val="42924646"/>
    <w:rsid w:val="436D3360"/>
    <w:rsid w:val="45361007"/>
    <w:rsid w:val="48A44F3A"/>
    <w:rsid w:val="494A68AB"/>
    <w:rsid w:val="4D03459A"/>
    <w:rsid w:val="4E2540DD"/>
    <w:rsid w:val="4F0928DF"/>
    <w:rsid w:val="52381F73"/>
    <w:rsid w:val="53387659"/>
    <w:rsid w:val="55104550"/>
    <w:rsid w:val="57F3068C"/>
    <w:rsid w:val="58D20590"/>
    <w:rsid w:val="5D410D65"/>
    <w:rsid w:val="5E5B23C1"/>
    <w:rsid w:val="5E660CC1"/>
    <w:rsid w:val="5E6C52B2"/>
    <w:rsid w:val="5E8C78A8"/>
    <w:rsid w:val="5F6F6A11"/>
    <w:rsid w:val="60792F5F"/>
    <w:rsid w:val="632A16BD"/>
    <w:rsid w:val="657965BE"/>
    <w:rsid w:val="661D5A78"/>
    <w:rsid w:val="663566D9"/>
    <w:rsid w:val="663B1AE6"/>
    <w:rsid w:val="67B21F12"/>
    <w:rsid w:val="67D461F9"/>
    <w:rsid w:val="6B300AA0"/>
    <w:rsid w:val="6B9306BB"/>
    <w:rsid w:val="6E2053BF"/>
    <w:rsid w:val="6E215540"/>
    <w:rsid w:val="6E3D39F9"/>
    <w:rsid w:val="6F860363"/>
    <w:rsid w:val="6FA81A09"/>
    <w:rsid w:val="70350492"/>
    <w:rsid w:val="706C20E6"/>
    <w:rsid w:val="71D44901"/>
    <w:rsid w:val="720924FA"/>
    <w:rsid w:val="73007C27"/>
    <w:rsid w:val="74B13A97"/>
    <w:rsid w:val="74DE6D70"/>
    <w:rsid w:val="75435570"/>
    <w:rsid w:val="76171091"/>
    <w:rsid w:val="790C5BF2"/>
    <w:rsid w:val="7A1A6C48"/>
    <w:rsid w:val="7AFE135D"/>
    <w:rsid w:val="7CEF1D89"/>
    <w:rsid w:val="7E494DA3"/>
    <w:rsid w:val="7FC43B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iPriority="39" w:semiHidden="0" w:name="toc 2"/>
    <w:lsdException w:qFormat="1"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basedOn w:val="1"/>
    <w:next w:val="1"/>
    <w:qFormat/>
    <w:uiPriority w:val="0"/>
    <w:pPr>
      <w:spacing w:beforeAutospacing="1" w:afterAutospacing="1"/>
      <w:jc w:val="left"/>
      <w:outlineLvl w:val="0"/>
    </w:pPr>
    <w:rPr>
      <w:rFonts w:hint="eastAsia" w:ascii="宋体" w:hAnsi="宋体"/>
      <w:b/>
      <w:kern w:val="44"/>
      <w:sz w:val="48"/>
      <w:szCs w:val="48"/>
    </w:rPr>
  </w:style>
  <w:style w:type="paragraph" w:styleId="4">
    <w:name w:val="heading 2"/>
    <w:basedOn w:val="1"/>
    <w:next w:val="1"/>
    <w:qFormat/>
    <w:uiPriority w:val="0"/>
    <w:pPr>
      <w:keepNext/>
      <w:keepLines/>
      <w:spacing w:before="260" w:after="260" w:line="416" w:lineRule="auto"/>
      <w:outlineLvl w:val="1"/>
    </w:pPr>
    <w:rPr>
      <w:rFonts w:ascii="Cambria" w:hAnsi="Cambria"/>
      <w:b/>
      <w:bCs/>
      <w:sz w:val="32"/>
      <w:szCs w:val="32"/>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2">
    <w:name w:val="toc 2"/>
    <w:basedOn w:val="1"/>
    <w:next w:val="1"/>
    <w:unhideWhenUsed/>
    <w:qFormat/>
    <w:uiPriority w:val="39"/>
    <w:pPr>
      <w:widowControl/>
      <w:spacing w:after="100" w:line="276" w:lineRule="auto"/>
      <w:ind w:left="220"/>
      <w:jc w:val="left"/>
    </w:pPr>
    <w:rPr>
      <w:rFonts w:ascii="Calibri" w:hAnsi="Calibri"/>
      <w:kern w:val="0"/>
      <w:sz w:val="22"/>
    </w:rPr>
  </w:style>
  <w:style w:type="paragraph" w:styleId="5">
    <w:name w:val="Body Text"/>
    <w:basedOn w:val="1"/>
    <w:next w:val="6"/>
    <w:unhideWhenUsed/>
    <w:qFormat/>
    <w:uiPriority w:val="1"/>
    <w:pPr>
      <w:spacing w:before="41"/>
      <w:ind w:left="121"/>
      <w:jc w:val="left"/>
    </w:pPr>
    <w:rPr>
      <w:rFonts w:ascii="仿宋" w:hAnsi="仿宋" w:eastAsia="仿宋"/>
      <w:kern w:val="0"/>
      <w:sz w:val="28"/>
      <w:szCs w:val="28"/>
      <w:lang w:eastAsia="en-US"/>
    </w:rPr>
  </w:style>
  <w:style w:type="paragraph" w:customStyle="1" w:styleId="6">
    <w:name w:val="_Style 2"/>
    <w:basedOn w:val="1"/>
    <w:qFormat/>
    <w:uiPriority w:val="0"/>
    <w:pPr>
      <w:ind w:firstLine="420" w:firstLineChars="200"/>
    </w:pPr>
  </w:style>
  <w:style w:type="paragraph" w:styleId="7">
    <w:name w:val="Body Text Indent"/>
    <w:basedOn w:val="1"/>
    <w:qFormat/>
    <w:uiPriority w:val="0"/>
    <w:pPr>
      <w:spacing w:line="380" w:lineRule="exact"/>
      <w:ind w:firstLine="480" w:firstLineChars="200"/>
    </w:pPr>
    <w:rPr>
      <w:rFonts w:ascii="宋体" w:hAnsi="宋体"/>
      <w:sz w:val="24"/>
    </w:rPr>
  </w:style>
  <w:style w:type="paragraph" w:styleId="8">
    <w:name w:val="toc 3"/>
    <w:basedOn w:val="1"/>
    <w:next w:val="1"/>
    <w:unhideWhenUsed/>
    <w:qFormat/>
    <w:uiPriority w:val="39"/>
    <w:pPr>
      <w:widowControl/>
      <w:spacing w:after="100" w:line="276" w:lineRule="auto"/>
      <w:ind w:left="440"/>
      <w:jc w:val="left"/>
    </w:pPr>
    <w:rPr>
      <w:rFonts w:asciiTheme="minorHAnsi" w:hAnsiTheme="minorHAnsi" w:eastAsiaTheme="minorEastAsia" w:cstheme="minorBidi"/>
      <w:kern w:val="0"/>
      <w:sz w:val="22"/>
      <w:szCs w:val="22"/>
    </w:rPr>
  </w:style>
  <w:style w:type="paragraph" w:styleId="9">
    <w:name w:val="Plain Text"/>
    <w:basedOn w:val="1"/>
    <w:qFormat/>
    <w:uiPriority w:val="0"/>
    <w:rPr>
      <w:rFonts w:ascii="宋体" w:hAnsi="Courier New" w:cs="Courier New"/>
      <w:szCs w:val="21"/>
    </w:rPr>
  </w:style>
  <w:style w:type="paragraph" w:styleId="10">
    <w:name w:val="Date"/>
    <w:basedOn w:val="1"/>
    <w:next w:val="1"/>
    <w:qFormat/>
    <w:uiPriority w:val="0"/>
    <w:pPr>
      <w:ind w:left="100" w:leftChars="2500"/>
    </w:pPr>
    <w:rPr>
      <w:rFonts w:ascii="宋体" w:hAnsi="宋体"/>
      <w:sz w:val="24"/>
    </w:rPr>
  </w:style>
  <w:style w:type="paragraph" w:styleId="11">
    <w:name w:val="Balloon Text"/>
    <w:basedOn w:val="1"/>
    <w:link w:val="26"/>
    <w:qFormat/>
    <w:uiPriority w:val="0"/>
    <w:rPr>
      <w:sz w:val="18"/>
      <w:szCs w:val="18"/>
    </w:rPr>
  </w:style>
  <w:style w:type="paragraph" w:styleId="12">
    <w:name w:val="footer"/>
    <w:basedOn w:val="1"/>
    <w:link w:val="25"/>
    <w:qFormat/>
    <w:uiPriority w:val="99"/>
    <w:pPr>
      <w:tabs>
        <w:tab w:val="center" w:pos="4153"/>
        <w:tab w:val="right" w:pos="8306"/>
      </w:tabs>
      <w:snapToGrid w:val="0"/>
      <w:jc w:val="left"/>
    </w:pPr>
    <w:rPr>
      <w:sz w:val="18"/>
      <w:szCs w:val="18"/>
    </w:rPr>
  </w:style>
  <w:style w:type="paragraph" w:styleId="13">
    <w:name w:val="header"/>
    <w:basedOn w:val="1"/>
    <w:link w:val="27"/>
    <w:qFormat/>
    <w:uiPriority w:val="99"/>
    <w:pPr>
      <w:pBdr>
        <w:bottom w:val="single" w:color="auto" w:sz="6" w:space="1"/>
      </w:pBdr>
      <w:tabs>
        <w:tab w:val="center" w:pos="4153"/>
        <w:tab w:val="right" w:pos="8306"/>
      </w:tabs>
      <w:snapToGrid w:val="0"/>
      <w:jc w:val="center"/>
    </w:pPr>
    <w:rPr>
      <w:sz w:val="18"/>
      <w:szCs w:val="18"/>
    </w:rPr>
  </w:style>
  <w:style w:type="paragraph" w:styleId="14">
    <w:name w:val="toc 1"/>
    <w:basedOn w:val="1"/>
    <w:next w:val="1"/>
    <w:unhideWhenUsed/>
    <w:qFormat/>
    <w:uiPriority w:val="39"/>
  </w:style>
  <w:style w:type="paragraph" w:styleId="15">
    <w:name w:val="footnote text"/>
    <w:basedOn w:val="1"/>
    <w:link w:val="28"/>
    <w:qFormat/>
    <w:uiPriority w:val="0"/>
    <w:pPr>
      <w:snapToGrid w:val="0"/>
      <w:jc w:val="left"/>
    </w:pPr>
    <w:rPr>
      <w:sz w:val="18"/>
      <w:szCs w:val="18"/>
    </w:rPr>
  </w:style>
  <w:style w:type="paragraph" w:styleId="16">
    <w:name w:val="Normal (Web)"/>
    <w:basedOn w:val="1"/>
    <w:qFormat/>
    <w:uiPriority w:val="0"/>
    <w:pPr>
      <w:spacing w:beforeAutospacing="1" w:afterAutospacing="1"/>
      <w:jc w:val="left"/>
    </w:pPr>
    <w:rPr>
      <w:kern w:val="0"/>
      <w:sz w:val="24"/>
    </w:rPr>
  </w:style>
  <w:style w:type="table" w:styleId="18">
    <w:name w:val="Table Grid"/>
    <w:basedOn w:val="1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0">
    <w:name w:val="page number"/>
    <w:basedOn w:val="19"/>
    <w:qFormat/>
    <w:uiPriority w:val="0"/>
  </w:style>
  <w:style w:type="character" w:styleId="21">
    <w:name w:val="Hyperlink"/>
    <w:basedOn w:val="19"/>
    <w:unhideWhenUsed/>
    <w:qFormat/>
    <w:uiPriority w:val="99"/>
    <w:rPr>
      <w:color w:val="0000FF" w:themeColor="hyperlink"/>
      <w:u w:val="single"/>
      <w14:textFill>
        <w14:solidFill>
          <w14:schemeClr w14:val="hlink"/>
        </w14:solidFill>
      </w14:textFill>
    </w:rPr>
  </w:style>
  <w:style w:type="character" w:styleId="22">
    <w:name w:val="footnote reference"/>
    <w:basedOn w:val="19"/>
    <w:qFormat/>
    <w:uiPriority w:val="0"/>
    <w:rPr>
      <w:vertAlign w:val="superscript"/>
    </w:rPr>
  </w:style>
  <w:style w:type="character" w:customStyle="1" w:styleId="23">
    <w:name w:val="无间隔 Char"/>
    <w:basedOn w:val="19"/>
    <w:link w:val="24"/>
    <w:qFormat/>
    <w:uiPriority w:val="1"/>
    <w:rPr>
      <w:rFonts w:ascii="Calibri" w:hAnsi="Calibri"/>
      <w:sz w:val="22"/>
      <w:szCs w:val="22"/>
      <w:lang w:val="en-US" w:eastAsia="zh-CN" w:bidi="ar-SA"/>
    </w:rPr>
  </w:style>
  <w:style w:type="paragraph" w:styleId="24">
    <w:name w:val="No Spacing"/>
    <w:link w:val="23"/>
    <w:qFormat/>
    <w:uiPriority w:val="1"/>
    <w:rPr>
      <w:rFonts w:ascii="Calibri" w:hAnsi="Calibri" w:eastAsia="宋体" w:cs="Times New Roman"/>
      <w:sz w:val="22"/>
      <w:szCs w:val="22"/>
      <w:lang w:val="en-US" w:eastAsia="zh-CN" w:bidi="ar-SA"/>
    </w:rPr>
  </w:style>
  <w:style w:type="character" w:customStyle="1" w:styleId="25">
    <w:name w:val="页脚 Char"/>
    <w:basedOn w:val="19"/>
    <w:link w:val="12"/>
    <w:qFormat/>
    <w:uiPriority w:val="99"/>
    <w:rPr>
      <w:kern w:val="2"/>
      <w:sz w:val="18"/>
      <w:szCs w:val="18"/>
    </w:rPr>
  </w:style>
  <w:style w:type="character" w:customStyle="1" w:styleId="26">
    <w:name w:val="批注框文本 Char"/>
    <w:basedOn w:val="19"/>
    <w:link w:val="11"/>
    <w:qFormat/>
    <w:uiPriority w:val="0"/>
    <w:rPr>
      <w:kern w:val="2"/>
      <w:sz w:val="18"/>
      <w:szCs w:val="18"/>
    </w:rPr>
  </w:style>
  <w:style w:type="character" w:customStyle="1" w:styleId="27">
    <w:name w:val="页眉 Char"/>
    <w:basedOn w:val="19"/>
    <w:link w:val="13"/>
    <w:qFormat/>
    <w:uiPriority w:val="99"/>
    <w:rPr>
      <w:kern w:val="2"/>
      <w:sz w:val="18"/>
      <w:szCs w:val="18"/>
    </w:rPr>
  </w:style>
  <w:style w:type="character" w:customStyle="1" w:styleId="28">
    <w:name w:val="脚注文本 Char"/>
    <w:basedOn w:val="19"/>
    <w:link w:val="15"/>
    <w:qFormat/>
    <w:uiPriority w:val="0"/>
    <w:rPr>
      <w:kern w:val="2"/>
      <w:sz w:val="18"/>
      <w:szCs w:val="18"/>
    </w:rPr>
  </w:style>
  <w:style w:type="paragraph" w:customStyle="1" w:styleId="29">
    <w:name w:val="Other|2"/>
    <w:basedOn w:val="1"/>
    <w:qFormat/>
    <w:uiPriority w:val="0"/>
    <w:pPr>
      <w:jc w:val="center"/>
    </w:pPr>
    <w:rPr>
      <w:rFonts w:ascii="宋体" w:hAnsi="宋体" w:cs="宋体"/>
      <w:sz w:val="20"/>
      <w:lang w:val="zh-TW" w:eastAsia="zh-TW" w:bidi="zh-TW"/>
    </w:rPr>
  </w:style>
  <w:style w:type="paragraph" w:customStyle="1" w:styleId="30">
    <w:name w:val="Other|1"/>
    <w:basedOn w:val="1"/>
    <w:qFormat/>
    <w:uiPriority w:val="0"/>
    <w:pPr>
      <w:spacing w:line="401" w:lineRule="auto"/>
      <w:ind w:firstLine="400"/>
    </w:pPr>
    <w:rPr>
      <w:rFonts w:ascii="宋体" w:hAnsi="宋体" w:cs="宋体"/>
      <w:sz w:val="30"/>
      <w:szCs w:val="30"/>
      <w:lang w:val="zh-TW" w:eastAsia="zh-TW" w:bidi="zh-TW"/>
    </w:rPr>
  </w:style>
  <w:style w:type="paragraph" w:customStyle="1" w:styleId="31">
    <w:name w:val="Header or footer|2"/>
    <w:basedOn w:val="1"/>
    <w:qFormat/>
    <w:uiPriority w:val="0"/>
    <w:rPr>
      <w:sz w:val="20"/>
      <w:lang w:val="zh-TW" w:eastAsia="zh-TW" w:bidi="zh-TW"/>
    </w:rPr>
  </w:style>
  <w:style w:type="paragraph" w:customStyle="1" w:styleId="32">
    <w:name w:val="TOC Heading"/>
    <w:basedOn w:val="3"/>
    <w:next w:val="1"/>
    <w:semiHidden/>
    <w:unhideWhenUsed/>
    <w:qFormat/>
    <w:uiPriority w:val="39"/>
    <w:pPr>
      <w:keepNext/>
      <w:keepLines/>
      <w:widowControl/>
      <w:spacing w:before="480" w:beforeAutospacing="0" w:afterAutospacing="0" w:line="276" w:lineRule="auto"/>
      <w:outlineLvl w:val="9"/>
    </w:pPr>
    <w:rPr>
      <w:rFonts w:hint="default" w:asciiTheme="majorHAnsi" w:hAnsiTheme="majorHAnsi" w:eastAsiaTheme="majorEastAsia" w:cstheme="majorBidi"/>
      <w:bCs/>
      <w:color w:val="376092" w:themeColor="accent1" w:themeShade="BF"/>
      <w:kern w:val="0"/>
      <w:sz w:val="28"/>
      <w:szCs w:val="28"/>
    </w:rPr>
  </w:style>
  <w:style w:type="paragraph" w:customStyle="1" w:styleId="33">
    <w:name w:val="WPSOffice手动目录 1"/>
    <w:qFormat/>
    <w:uiPriority w:val="0"/>
    <w:pPr>
      <w:ind w:leftChars="0"/>
    </w:pPr>
    <w:rPr>
      <w:rFonts w:asciiTheme="minorHAnsi" w:hAnsiTheme="minorHAnsi" w:eastAsiaTheme="minorEastAsia" w:cstheme="minorBidi"/>
      <w:sz w:val="20"/>
      <w:szCs w:val="20"/>
    </w:rPr>
  </w:style>
  <w:style w:type="paragraph" w:customStyle="1" w:styleId="34">
    <w:name w:val="Default"/>
    <w:basedOn w:val="1"/>
    <w:qFormat/>
    <w:uiPriority w:val="0"/>
    <w:pPr>
      <w:autoSpaceDE w:val="0"/>
      <w:autoSpaceDN w:val="0"/>
      <w:adjustRightInd w:val="0"/>
      <w:spacing w:line="240" w:lineRule="auto"/>
      <w:ind w:firstLine="0" w:firstLineChars="0"/>
      <w:jc w:val="left"/>
    </w:pPr>
    <w:rPr>
      <w:rFonts w:ascii="宋体" w:hAnsi="宋体" w:cs="宋体"/>
      <w:kern w:val="0"/>
    </w:rPr>
  </w:style>
  <w:style w:type="paragraph" w:styleId="35">
    <w:name w:val="List Paragraph"/>
    <w:basedOn w:val="1"/>
    <w:qFormat/>
    <w:uiPriority w:val="34"/>
    <w:pPr>
      <w:ind w:firstLine="420" w:firstLineChars="200"/>
    </w:pPr>
  </w:style>
  <w:style w:type="paragraph" w:customStyle="1" w:styleId="36">
    <w:name w:val="Body text|1"/>
    <w:basedOn w:val="1"/>
    <w:qFormat/>
    <w:uiPriority w:val="0"/>
    <w:pPr>
      <w:widowControl w:val="0"/>
      <w:shd w:val="clear" w:color="auto" w:fill="auto"/>
      <w:spacing w:line="329" w:lineRule="auto"/>
      <w:ind w:firstLine="400"/>
    </w:pPr>
    <w:rPr>
      <w:rFonts w:ascii="宋体" w:hAnsi="宋体" w:eastAsia="宋体" w:cs="宋体"/>
      <w:sz w:val="28"/>
      <w:szCs w:val="28"/>
      <w:u w:val="none"/>
      <w:shd w:val="clear" w:color="auto" w:fill="auto"/>
      <w:lang w:val="zh-TW" w:eastAsia="zh-TW" w:bidi="zh-TW"/>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D73DF80-32D0-48B6-BDC2-042DA4015297}">
  <ds:schemaRefs/>
</ds:datastoreItem>
</file>

<file path=docProps/app.xml><?xml version="1.0" encoding="utf-8"?>
<Properties xmlns="http://schemas.openxmlformats.org/officeDocument/2006/extended-properties" xmlns:vt="http://schemas.openxmlformats.org/officeDocument/2006/docPropsVTypes">
  <Template>Normal</Template>
  <Company>HP</Company>
  <Pages>20</Pages>
  <Words>9162</Words>
  <Characters>9832</Characters>
  <Lines>90</Lines>
  <Paragraphs>25</Paragraphs>
  <TotalTime>0</TotalTime>
  <ScaleCrop>false</ScaleCrop>
  <LinksUpToDate>false</LinksUpToDate>
  <CharactersWithSpaces>10130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2014-04-21T00:28:00Z</dcterms:created>
  <dc:creator>中兴科技</dc:creator>
  <cp:lastModifiedBy>晨曦</cp:lastModifiedBy>
  <cp:lastPrinted>2022-10-28T01:18:00Z</cp:lastPrinted>
  <dcterms:modified xsi:type="dcterms:W3CDTF">2023-11-07T08:30:31Z</dcterms:modified>
  <dc:title>审 计 报 告</dc:title>
  <cp:revision>52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AA9140AAE1504A9893CA11E9B8F00E6C</vt:lpwstr>
  </property>
</Properties>
</file>