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highlight w:val="none"/>
        </w:rPr>
      </w:pPr>
    </w:p>
    <w:p>
      <w:pPr>
        <w:rPr>
          <w:rFonts w:ascii="宋体" w:hAnsi="宋体"/>
          <w:sz w:val="36"/>
          <w:szCs w:val="36"/>
          <w:highlight w:val="none"/>
        </w:rPr>
      </w:pPr>
    </w:p>
    <w:p>
      <w:pPr>
        <w:jc w:val="center"/>
        <w:rPr>
          <w:rFonts w:ascii="宋体" w:hAnsi="宋体"/>
          <w:szCs w:val="21"/>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cs="宋体"/>
          <w:b/>
          <w:bCs w:val="0"/>
          <w:sz w:val="44"/>
          <w:szCs w:val="44"/>
          <w:highlight w:val="none"/>
          <w:lang w:val="en-US" w:eastAsia="zh-CN"/>
        </w:rPr>
      </w:pPr>
      <w:r>
        <w:rPr>
          <w:rFonts w:hint="eastAsia" w:ascii="宋体" w:hAnsi="宋体" w:cs="宋体"/>
          <w:b/>
          <w:bCs w:val="0"/>
          <w:sz w:val="44"/>
          <w:szCs w:val="44"/>
          <w:highlight w:val="none"/>
          <w:lang w:val="en-US" w:eastAsia="zh-CN"/>
        </w:rPr>
        <w:t>曲阳县木道沟综合整治工程</w:t>
      </w:r>
    </w:p>
    <w:p>
      <w:pPr>
        <w:pStyle w:val="16"/>
        <w:rPr>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eastAsia="宋体" w:cs="宋体"/>
          <w:b/>
          <w:bCs w:val="0"/>
          <w:sz w:val="44"/>
          <w:szCs w:val="44"/>
          <w:highlight w:val="none"/>
          <w:lang w:val="en-US" w:eastAsia="zh-CN"/>
        </w:rPr>
      </w:pPr>
      <w:r>
        <w:rPr>
          <w:rFonts w:hint="eastAsia" w:ascii="宋体" w:hAnsi="宋体" w:cs="宋体"/>
          <w:b/>
          <w:bCs w:val="0"/>
          <w:sz w:val="44"/>
          <w:szCs w:val="44"/>
          <w:highlight w:val="none"/>
          <w:lang w:val="en-US" w:eastAsia="zh-CN"/>
        </w:rPr>
        <w:t>绩效评价报告</w:t>
      </w:r>
    </w:p>
    <w:p>
      <w:pPr>
        <w:pStyle w:val="16"/>
        <w:ind w:left="0" w:leftChars="0" w:firstLine="0" w:firstLineChars="0"/>
        <w:rPr>
          <w:highlight w:val="none"/>
        </w:rPr>
      </w:pPr>
    </w:p>
    <w:p>
      <w:pPr>
        <w:pStyle w:val="16"/>
        <w:rPr>
          <w:highlight w:val="none"/>
        </w:rPr>
      </w:pPr>
    </w:p>
    <w:p>
      <w:pPr>
        <w:rPr>
          <w:highlight w:val="none"/>
        </w:rPr>
      </w:pPr>
    </w:p>
    <w:p>
      <w:pPr>
        <w:pStyle w:val="2"/>
      </w:pPr>
    </w:p>
    <w:p>
      <w:pPr>
        <w:rPr>
          <w:highlight w:val="none"/>
        </w:rPr>
      </w:pPr>
    </w:p>
    <w:p>
      <w:pPr>
        <w:pStyle w:val="16"/>
        <w:rPr>
          <w:highlight w:val="none"/>
        </w:rPr>
      </w:pPr>
    </w:p>
    <w:p>
      <w:pPr>
        <w:rPr>
          <w:highlight w:val="none"/>
        </w:rPr>
      </w:pP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单位：</w:t>
      </w:r>
      <w:r>
        <w:rPr>
          <w:rFonts w:hint="eastAsia" w:ascii="仿宋" w:hAnsi="仿宋" w:eastAsia="仿宋" w:cs="仿宋"/>
          <w:sz w:val="32"/>
          <w:szCs w:val="32"/>
          <w:highlight w:val="none"/>
          <w:lang w:eastAsia="zh-CN"/>
        </w:rPr>
        <w:t>曲阳县财政局</w:t>
      </w: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项目名称：</w:t>
      </w:r>
      <w:r>
        <w:rPr>
          <w:rFonts w:hint="eastAsia" w:ascii="仿宋" w:hAnsi="仿宋" w:eastAsia="仿宋" w:cs="仿宋"/>
          <w:sz w:val="32"/>
          <w:szCs w:val="32"/>
          <w:highlight w:val="none"/>
          <w:lang w:eastAsia="zh-CN"/>
        </w:rPr>
        <w:t>曲阳县木道沟综合整治工程</w:t>
      </w:r>
    </w:p>
    <w:p>
      <w:pPr>
        <w:spacing w:line="900" w:lineRule="exact"/>
        <w:ind w:firstLine="1280" w:firstLineChars="4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项目实施主体：曲阳县住房和城乡建设局</w:t>
      </w:r>
    </w:p>
    <w:p>
      <w:pPr>
        <w:spacing w:line="900" w:lineRule="exact"/>
        <w:ind w:firstLine="1280" w:firstLineChars="4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 估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lang w:eastAsia="zh-CN"/>
        </w:rPr>
        <w:t>日</w:t>
      </w: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报 告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日</w:t>
      </w:r>
    </w:p>
    <w:p>
      <w:pPr>
        <w:spacing w:before="0" w:beforeLines="0" w:after="0" w:afterLines="0" w:line="240" w:lineRule="auto"/>
        <w:ind w:left="0" w:leftChars="0" w:right="0" w:rightChars="0" w:firstLine="0" w:firstLineChars="0"/>
        <w:jc w:val="both"/>
        <w:rPr>
          <w:rFonts w:hint="eastAsia" w:ascii="仿宋" w:hAnsi="仿宋" w:eastAsia="仿宋" w:cs="仿宋"/>
          <w:sz w:val="30"/>
          <w:szCs w:val="30"/>
          <w:highlight w:val="none"/>
        </w:rPr>
      </w:pPr>
    </w:p>
    <w:p>
      <w:pPr>
        <w:pStyle w:val="16"/>
        <w:rPr>
          <w:rFonts w:hint="eastAsia"/>
          <w:highlight w:val="none"/>
        </w:rPr>
      </w:pPr>
    </w:p>
    <w:p>
      <w:pPr>
        <w:rPr>
          <w:rFonts w:hint="eastAsia"/>
          <w:highlight w:val="none"/>
        </w:rPr>
      </w:pPr>
    </w:p>
    <w:p>
      <w:pPr>
        <w:pStyle w:val="2"/>
        <w:rPr>
          <w:rFonts w:hint="eastAsia"/>
        </w:rPr>
      </w:pPr>
    </w:p>
    <w:p>
      <w:pPr>
        <w:pStyle w:val="16"/>
        <w:rPr>
          <w:highlight w:val="none"/>
        </w:rPr>
      </w:pPr>
    </w:p>
    <w:p>
      <w:pPr>
        <w:rPr>
          <w:highlight w:val="none"/>
        </w:rPr>
      </w:pPr>
    </w:p>
    <w:p>
      <w:pPr>
        <w:pStyle w:val="2"/>
        <w:rPr>
          <w:highlight w:val="none"/>
        </w:rPr>
      </w:pPr>
    </w:p>
    <w:p>
      <w:pPr>
        <w:rPr>
          <w:highlight w:val="none"/>
        </w:rPr>
      </w:pPr>
    </w:p>
    <w:p>
      <w:pPr>
        <w:pStyle w:val="2"/>
        <w:rPr>
          <w:highlight w:val="none"/>
        </w:rPr>
      </w:pPr>
    </w:p>
    <w:p/>
    <w:p/>
    <w:p>
      <w:pPr>
        <w:spacing w:line="560" w:lineRule="exact"/>
        <w:jc w:val="center"/>
        <w:outlineLvl w:val="0"/>
        <w:rPr>
          <w:rFonts w:hint="eastAsia" w:ascii="仿宋" w:hAnsi="仿宋" w:eastAsia="仿宋" w:cs="仿宋"/>
          <w:b/>
          <w:bCs w:val="0"/>
          <w:sz w:val="36"/>
          <w:szCs w:val="36"/>
          <w:highlight w:val="none"/>
          <w:lang w:eastAsia="zh-CN"/>
        </w:rPr>
      </w:pPr>
      <w:r>
        <w:rPr>
          <w:rFonts w:hint="eastAsia" w:ascii="仿宋" w:hAnsi="仿宋" w:eastAsia="仿宋" w:cs="仿宋"/>
          <w:b/>
          <w:bCs w:val="0"/>
          <w:sz w:val="36"/>
          <w:szCs w:val="36"/>
          <w:highlight w:val="none"/>
          <w:lang w:eastAsia="zh-CN"/>
        </w:rPr>
        <w:t>曲阳县木道沟综合整治工程</w:t>
      </w:r>
    </w:p>
    <w:p>
      <w:pPr>
        <w:spacing w:after="156" w:line="560" w:lineRule="exact"/>
        <w:ind w:left="-359" w:leftChars="-171" w:firstLine="361" w:firstLineChars="100"/>
        <w:jc w:val="center"/>
        <w:outlineLvl w:val="0"/>
        <w:rPr>
          <w:rFonts w:hint="eastAsia" w:ascii="仿宋" w:hAnsi="仿宋" w:eastAsia="仿宋" w:cs="仿宋"/>
          <w:sz w:val="32"/>
          <w:szCs w:val="32"/>
          <w:highlight w:val="none"/>
        </w:rPr>
      </w:pPr>
      <w:r>
        <w:rPr>
          <w:rFonts w:hint="eastAsia" w:ascii="仿宋" w:hAnsi="仿宋" w:eastAsia="仿宋" w:cs="仿宋"/>
          <w:b/>
          <w:bCs w:val="0"/>
          <w:sz w:val="36"/>
          <w:szCs w:val="36"/>
          <w:highlight w:val="none"/>
          <w:lang w:eastAsia="zh-CN"/>
        </w:rPr>
        <w:t>绩效评估报告</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bookmarkStart w:id="0" w:name="_Toc83630317"/>
      <w:bookmarkStart w:id="1" w:name="_Toc83631027"/>
      <w:bookmarkStart w:id="2" w:name="_Toc8967"/>
      <w:bookmarkStart w:id="3" w:name="_Toc30480"/>
      <w:r>
        <w:rPr>
          <w:rFonts w:hint="eastAsia" w:ascii="仿宋" w:hAnsi="仿宋" w:eastAsia="仿宋" w:cs="仿宋"/>
          <w:kern w:val="2"/>
          <w:sz w:val="32"/>
          <w:szCs w:val="32"/>
          <w:highlight w:val="none"/>
          <w:u w:val="none"/>
          <w:shd w:val="clear" w:color="auto" w:fill="auto"/>
          <w:lang w:val="en-US" w:eastAsia="zh-CN" w:bidi="ar-SA"/>
        </w:rPr>
        <w:t>我局对2022年度木道沟综合整治工程专项债券资金进行了绩效评价，项目实施单位和相关单位提供与绩效评价有关的项目资料，并对其真实性、完整性、合法性负责。我局对该项目的项目决策、项目过程、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color w:val="000000"/>
          <w:sz w:val="30"/>
          <w:szCs w:val="30"/>
          <w:highlight w:val="none"/>
        </w:rPr>
      </w:pPr>
      <w:r>
        <w:rPr>
          <w:rFonts w:hint="eastAsia" w:ascii="仿宋" w:hAnsi="仿宋" w:eastAsia="仿宋" w:cs="仿宋"/>
          <w:kern w:val="2"/>
          <w:sz w:val="32"/>
          <w:szCs w:val="32"/>
          <w:highlight w:val="none"/>
          <w:u w:val="none"/>
          <w:shd w:val="clear" w:color="auto" w:fill="auto"/>
          <w:lang w:val="en-US" w:eastAsia="zh-CN" w:bidi="ar-SA"/>
        </w:rPr>
        <w:t>我们的绩效评价工作是依据河北省政府债券资金绩效管理办法等相关规定进行的，对本年度债券项目进行全覆盖评价。在评价工作中，我们结合项目的实际情况制定了绩效评价指标体系，实施了包括资料查看、问询、现场检查、问卷调查等我们认为必要的评价手段。绩效评价工作现已完成，具体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val="en-US" w:eastAsia="zh-CN"/>
        </w:rPr>
        <w:t>一、</w:t>
      </w:r>
      <w:r>
        <w:rPr>
          <w:rFonts w:hint="eastAsia" w:ascii="仿宋" w:hAnsi="仿宋" w:eastAsia="仿宋" w:cs="仿宋"/>
          <w:b/>
          <w:bCs/>
          <w:sz w:val="32"/>
          <w:szCs w:val="32"/>
          <w:highlight w:val="none"/>
        </w:rPr>
        <w:t>项目</w:t>
      </w:r>
      <w:bookmarkEnd w:id="0"/>
      <w:bookmarkEnd w:id="1"/>
      <w:bookmarkEnd w:id="2"/>
      <w:bookmarkEnd w:id="3"/>
      <w:r>
        <w:rPr>
          <w:rFonts w:hint="eastAsia" w:ascii="仿宋" w:hAnsi="仿宋" w:eastAsia="仿宋" w:cs="仿宋"/>
          <w:b/>
          <w:bCs/>
          <w:sz w:val="32"/>
          <w:szCs w:val="32"/>
          <w:highlight w:val="none"/>
          <w:lang w:eastAsia="zh-CN"/>
        </w:rPr>
        <w:t>建设背景</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bookmarkStart w:id="4" w:name="_Toc22022"/>
      <w:bookmarkStart w:id="5" w:name="_Toc19822"/>
      <w:bookmarkStart w:id="6" w:name="_Toc83630318"/>
      <w:bookmarkStart w:id="7" w:name="_Toc83631028"/>
      <w:bookmarkStart w:id="8" w:name="_Toc22961"/>
      <w:bookmarkStart w:id="9" w:name="_Toc25381"/>
      <w:r>
        <w:rPr>
          <w:rFonts w:hint="default" w:ascii="仿宋" w:hAnsi="仿宋" w:eastAsia="仿宋" w:cs="仿宋"/>
          <w:sz w:val="30"/>
          <w:szCs w:val="30"/>
          <w:highlight w:val="none"/>
          <w:lang w:val="en-US" w:eastAsia="zh-CN"/>
        </w:rPr>
        <w:t>河流是孕育当地文明的摇篮，是生态环境的重要载体，在社会经济发展中发挥着重要作用。到了近代，经济的高速发展给河流造成了诸多压力，严重影响当地居民的生活质量和身体健康。近年来，全国对河流的改造开始转变为景观绿化、水利建设、防污治污等方面的综合治理。营造和谐优美的人居环境，创造可持续发展的生态理念为当地发展带来了新生。工业废水、生活废水含有大量的有机质和各种矿物的混合物，排入河流经过一段时间沉积于水底形成淤泥，再加上大暴雨将地表的土壤颗粒流入河流中，形成较有粘力的淤泥。若长期不进行清淤工作，将会造成河床抬高，排涝泄洪不畅，供水、抗旱能力下降等。随着水质恶化和污染物的沉积，微生物（细菌）大量繁殖，水体中溶解氧量降低，水生生物减少。过多的人工硬化造成自然面积减少，生物多样性降低，物种数量减少，从而造成河流生态环境不断退化，自净能力下降。为了使河道生态系统回归自然、稳定的状态，需要从最基础的环境因子开始控制，加入必要的人工干预，营造适合水陆两生的植物生长空间，保护河流动植物繁殖，保持河流生态系统 的动态平衡。</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default" w:ascii="仿宋" w:hAnsi="仿宋" w:eastAsia="仿宋" w:cs="仿宋"/>
          <w:sz w:val="30"/>
          <w:szCs w:val="30"/>
          <w:highlight w:val="none"/>
          <w:lang w:val="en-US" w:eastAsia="zh-CN"/>
        </w:rPr>
        <w:t>木道沟为大清河流域南支孟良河的一条支流，发源于曲阳县北马古庄附近，流经赵城东、七里庄、西流德、东流德、田家庄、中管头、西么罗、东么罗，于东么罗村东南汇入孟良河。本次曲阳县木道沟主干河道的划界河段全长14.3km 。根据《曲阳县水利综合规划》 木道沟的防洪标准为20 年一遇。木道沟沿岸主要为村庄和耕地，现状无缺少河堤约3公里，河堤损坏4公里，河道内杂草丛生、河道阻塞、垃圾堆放、存在垃圾淤泥约2万方、污水管网长度约3</w:t>
      </w:r>
      <w:r>
        <w:rPr>
          <w:rFonts w:hint="eastAsia" w:ascii="仿宋" w:hAnsi="仿宋" w:eastAsia="仿宋" w:cs="仿宋"/>
          <w:sz w:val="30"/>
          <w:szCs w:val="30"/>
          <w:highlight w:val="none"/>
          <w:lang w:val="en-US" w:eastAsia="zh-CN"/>
        </w:rPr>
        <w:t>,</w:t>
      </w:r>
      <w:r>
        <w:rPr>
          <w:rFonts w:hint="default" w:ascii="仿宋" w:hAnsi="仿宋" w:eastAsia="仿宋" w:cs="仿宋"/>
          <w:sz w:val="30"/>
          <w:szCs w:val="30"/>
          <w:highlight w:val="none"/>
          <w:lang w:val="en-US" w:eastAsia="zh-CN"/>
        </w:rPr>
        <w:t>350米、影响泄洪功能，两侧垃圾堆放、土路积水严重、桥体损坏严重、缺少护栏等各项问题，生态破坏严重，严重影响当地生态及居住环境。</w:t>
      </w:r>
    </w:p>
    <w:p>
      <w:pPr>
        <w:pStyle w:val="16"/>
        <w:ind w:firstLine="600" w:firstLineChars="200"/>
        <w:rPr>
          <w:rFonts w:hint="default" w:ascii="仿宋" w:hAnsi="仿宋" w:eastAsia="仿宋" w:cs="仿宋"/>
          <w:kern w:val="2"/>
          <w:sz w:val="30"/>
          <w:szCs w:val="30"/>
          <w:highlight w:val="none"/>
          <w:lang w:val="en-US" w:eastAsia="zh-CN" w:bidi="ar-SA"/>
        </w:rPr>
      </w:pPr>
      <w:r>
        <w:rPr>
          <w:rFonts w:hint="default" w:ascii="仿宋" w:hAnsi="仿宋" w:eastAsia="仿宋" w:cs="仿宋"/>
          <w:kern w:val="2"/>
          <w:sz w:val="30"/>
          <w:szCs w:val="30"/>
          <w:highlight w:val="none"/>
          <w:lang w:val="en-US" w:eastAsia="zh-CN" w:bidi="ar-SA"/>
        </w:rPr>
        <w:t>综上所述，曲阳县住房和城乡建设局为了改善木道沟生态环境推进当地水系建设，提出了曲阳县木道沟综合整治工程，本次涉及范围起点位于曲阳县北环路，终点至污水处理厂，总长约7</w:t>
      </w:r>
      <w:r>
        <w:rPr>
          <w:rFonts w:hint="eastAsia" w:ascii="仿宋" w:hAnsi="仿宋" w:eastAsia="仿宋" w:cs="仿宋"/>
          <w:kern w:val="2"/>
          <w:sz w:val="30"/>
          <w:szCs w:val="30"/>
          <w:highlight w:val="none"/>
          <w:lang w:val="en-US" w:eastAsia="zh-CN" w:bidi="ar-SA"/>
        </w:rPr>
        <w:t>,</w:t>
      </w:r>
      <w:r>
        <w:rPr>
          <w:rFonts w:hint="default" w:ascii="仿宋" w:hAnsi="仿宋" w:eastAsia="仿宋" w:cs="仿宋"/>
          <w:kern w:val="2"/>
          <w:sz w:val="30"/>
          <w:szCs w:val="30"/>
          <w:highlight w:val="none"/>
          <w:lang w:val="en-US" w:eastAsia="zh-CN" w:bidi="ar-SA"/>
        </w:rPr>
        <w:t>080米。</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二、</w:t>
      </w:r>
      <w:r>
        <w:rPr>
          <w:rFonts w:hint="eastAsia" w:ascii="仿宋" w:hAnsi="仿宋" w:eastAsia="仿宋" w:cs="仿宋"/>
          <w:b/>
          <w:bCs/>
          <w:sz w:val="32"/>
          <w:szCs w:val="32"/>
          <w:highlight w:val="none"/>
        </w:rPr>
        <w:t>项目实施内容和范围</w:t>
      </w:r>
      <w:bookmarkEnd w:id="4"/>
      <w:bookmarkEnd w:id="5"/>
      <w:bookmarkEnd w:id="6"/>
      <w:bookmarkEnd w:id="7"/>
      <w:bookmarkEnd w:id="8"/>
      <w:bookmarkEnd w:id="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10" w:name="_Toc83630319"/>
      <w:bookmarkStart w:id="11" w:name="_Toc8527"/>
      <w:bookmarkStart w:id="12" w:name="_Toc1525"/>
      <w:bookmarkStart w:id="13" w:name="_Toc24391"/>
      <w:bookmarkStart w:id="14" w:name="_Toc83631029"/>
      <w:bookmarkStart w:id="15" w:name="_Toc17013"/>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项目承担部门：</w:t>
      </w:r>
      <w:r>
        <w:rPr>
          <w:rFonts w:hint="eastAsia" w:ascii="仿宋" w:hAnsi="仿宋" w:eastAsia="仿宋" w:cs="仿宋"/>
          <w:sz w:val="30"/>
          <w:szCs w:val="30"/>
          <w:highlight w:val="none"/>
          <w:lang w:eastAsia="zh-CN"/>
        </w:rPr>
        <w:t>曲阳县住房和城乡建设局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二</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项目实施主体：曲阳县住房和城乡建设局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三</w:t>
      </w:r>
      <w:r>
        <w:rPr>
          <w:rFonts w:hint="eastAsia" w:ascii="仿宋" w:hAnsi="仿宋" w:eastAsia="仿宋" w:cs="仿宋"/>
          <w:sz w:val="30"/>
          <w:szCs w:val="30"/>
          <w:highlight w:val="none"/>
          <w:lang w:eastAsia="zh-CN"/>
        </w:rPr>
        <w:t>）项目建设地点:</w:t>
      </w:r>
      <w:r>
        <w:rPr>
          <w:rFonts w:hint="eastAsia" w:ascii="仿宋" w:hAnsi="仿宋" w:eastAsia="仿宋" w:cs="仿宋"/>
          <w:sz w:val="30"/>
          <w:szCs w:val="30"/>
          <w:highlight w:val="none"/>
          <w:lang w:val="en-US" w:eastAsia="zh-CN"/>
        </w:rPr>
        <w:t>起点位于曲阳县北环路，终点至污水处理厂。</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四</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建设内容及规模：项目修建及整治北环路至污水处理厂7.08 公里的河道及河堤，包括河道清淤、河堤修复与新建、修建拦河堰，满足泄洪功能；修建北环路至南环路之间3,350米河道两侧生态护岸及生态湿地；修建北环路至南环路之间雨污分流工程、照明工程及部分电信工程。</w:t>
      </w:r>
    </w:p>
    <w:p>
      <w:pPr>
        <w:pageBreakBefore w:val="0"/>
        <w:numPr>
          <w:ilvl w:val="0"/>
          <w:numId w:val="1"/>
        </w:numPr>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投资规模及资金来源:项目估算总投资 17,700.00 万元，资金来源为县财政资金和申请上级专项资金。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项目计划</w:t>
      </w:r>
      <w:r>
        <w:rPr>
          <w:rFonts w:hint="default" w:ascii="仿宋" w:hAnsi="仿宋" w:eastAsia="仿宋" w:cs="仿宋"/>
          <w:sz w:val="30"/>
          <w:szCs w:val="30"/>
          <w:highlight w:val="none"/>
          <w:lang w:val="en-US" w:eastAsia="zh-CN"/>
        </w:rPr>
        <w:t>建设期限:</w:t>
      </w:r>
      <w:r>
        <w:rPr>
          <w:rFonts w:hint="eastAsia" w:ascii="仿宋" w:hAnsi="仿宋" w:eastAsia="仿宋" w:cs="仿宋"/>
          <w:sz w:val="30"/>
          <w:szCs w:val="30"/>
          <w:highlight w:val="none"/>
          <w:lang w:val="en-US" w:eastAsia="zh-CN"/>
        </w:rPr>
        <w:t>2022年6月28日订立的勘察设计施工总承包合同显示，项目计划于2022年12月底完工。</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（七）项目绩效目标：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1、曲阳县按期完成</w:t>
      </w:r>
      <w:r>
        <w:rPr>
          <w:rFonts w:hint="eastAsia" w:ascii="仿宋" w:hAnsi="仿宋" w:eastAsia="仿宋" w:cs="仿宋"/>
          <w:sz w:val="30"/>
          <w:szCs w:val="30"/>
          <w:highlight w:val="none"/>
          <w:lang w:eastAsia="zh-CN"/>
        </w:rPr>
        <w:t>曲阳县木道沟综合整治工程项目</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2、通过项目建设，实现更好的经济效益和社会效益。</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三、项目资金使用情况</w:t>
      </w:r>
      <w:bookmarkEnd w:id="10"/>
      <w:bookmarkEnd w:id="11"/>
      <w:bookmarkEnd w:id="12"/>
      <w:bookmarkEnd w:id="13"/>
      <w:bookmarkEnd w:id="14"/>
      <w:bookmarkEnd w:id="1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该项目2022年度共安排专项债券资金3,100.00万元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累计支出金额3,100.00万元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结余资金0.00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具体见下表：</w:t>
      </w:r>
    </w:p>
    <w:p>
      <w:pPr>
        <w:pageBreakBefore w:val="0"/>
        <w:kinsoku/>
        <w:wordWrap/>
        <w:overflowPunct/>
        <w:topLinePunct w:val="0"/>
        <w:autoSpaceDE/>
        <w:autoSpaceDN/>
        <w:bidi w:val="0"/>
        <w:adjustRightInd/>
        <w:snapToGrid/>
        <w:spacing w:line="560" w:lineRule="exact"/>
        <w:jc w:val="center"/>
        <w:rPr>
          <w:rFonts w:hint="eastAsia"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rPr>
        <w:t xml:space="preserve"> </w:t>
      </w:r>
      <w:r>
        <w:rPr>
          <w:rFonts w:hint="eastAsia" w:ascii="仿宋" w:hAnsi="仿宋" w:eastAsia="仿宋" w:cs="仿宋"/>
          <w:sz w:val="30"/>
          <w:szCs w:val="30"/>
          <w:highlight w:val="none"/>
          <w:lang w:val="en-US" w:eastAsia="zh-CN"/>
        </w:rPr>
        <w:t>曲阳县住房和城乡建设局木道沟综合整治工程支出明细表</w:t>
      </w:r>
      <w:r>
        <w:rPr>
          <w:rFonts w:hint="eastAsia" w:ascii="仿宋_GB2312" w:eastAsia="仿宋_GB2312" w:cs="Times New Roman"/>
          <w:b w:val="0"/>
          <w:bCs w:val="0"/>
          <w:color w:val="000000"/>
          <w:sz w:val="24"/>
          <w:szCs w:val="24"/>
          <w:highlight w:val="none"/>
        </w:rPr>
        <w:t xml:space="preserve">                                                     </w:t>
      </w:r>
    </w:p>
    <w:p>
      <w:pPr>
        <w:widowControl/>
        <w:spacing w:line="560" w:lineRule="exact"/>
        <w:jc w:val="center"/>
        <w:textAlignment w:val="center"/>
        <w:rPr>
          <w:rFonts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lang w:val="en-US" w:eastAsia="zh-CN"/>
        </w:rPr>
        <w:t xml:space="preserve">                                                                     </w:t>
      </w:r>
      <w:r>
        <w:rPr>
          <w:rFonts w:hint="eastAsia" w:ascii="仿宋_GB2312" w:eastAsia="仿宋_GB2312" w:cs="Times New Roman"/>
          <w:b w:val="0"/>
          <w:bCs w:val="0"/>
          <w:color w:val="000000"/>
          <w:sz w:val="24"/>
          <w:szCs w:val="24"/>
          <w:highlight w:val="none"/>
        </w:rPr>
        <w:t xml:space="preserve">  单位：万元</w:t>
      </w:r>
    </w:p>
    <w:tbl>
      <w:tblPr>
        <w:tblStyle w:val="19"/>
        <w:tblW w:w="9785" w:type="dxa"/>
        <w:tblInd w:w="60" w:type="dxa"/>
        <w:tblLayout w:type="fixed"/>
        <w:tblCellMar>
          <w:top w:w="0" w:type="dxa"/>
          <w:left w:w="108" w:type="dxa"/>
          <w:bottom w:w="0" w:type="dxa"/>
          <w:right w:w="108" w:type="dxa"/>
        </w:tblCellMar>
      </w:tblPr>
      <w:tblGrid>
        <w:gridCol w:w="800"/>
        <w:gridCol w:w="2375"/>
        <w:gridCol w:w="4265"/>
        <w:gridCol w:w="2345"/>
      </w:tblGrid>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序号</w:t>
            </w:r>
          </w:p>
        </w:tc>
        <w:tc>
          <w:tcPr>
            <w:tcW w:w="237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内容</w:t>
            </w:r>
          </w:p>
        </w:tc>
        <w:tc>
          <w:tcPr>
            <w:tcW w:w="426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公司名称</w:t>
            </w:r>
          </w:p>
        </w:tc>
        <w:tc>
          <w:tcPr>
            <w:tcW w:w="234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累计支付金额</w:t>
            </w:r>
          </w:p>
        </w:tc>
      </w:tr>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bCs/>
                <w:color w:val="000000"/>
                <w:sz w:val="24"/>
                <w:szCs w:val="24"/>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1</w:t>
            </w:r>
          </w:p>
        </w:tc>
        <w:tc>
          <w:tcPr>
            <w:tcW w:w="237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工程款</w:t>
            </w:r>
          </w:p>
        </w:tc>
        <w:tc>
          <w:tcPr>
            <w:tcW w:w="426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石家庄市滹滏工程有限公司</w:t>
            </w:r>
          </w:p>
        </w:tc>
        <w:tc>
          <w:tcPr>
            <w:tcW w:w="234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cs="宋体"/>
                <w:i w:val="0"/>
                <w:iCs w:val="0"/>
                <w:color w:val="000000"/>
                <w:kern w:val="0"/>
                <w:sz w:val="22"/>
                <w:szCs w:val="22"/>
                <w:highlight w:val="none"/>
                <w:u w:val="none"/>
                <w:lang w:val="en-US" w:eastAsia="zh-CN" w:bidi="ar"/>
              </w:rPr>
              <w:t>3,100.00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rPr>
                <w:rFonts w:hint="eastAsia" w:ascii="仿宋_GB2312" w:eastAsia="仿宋_GB2312" w:cs="Times New Roman"/>
                <w:b w:val="0"/>
                <w:bCs w:val="0"/>
                <w:color w:val="000000"/>
                <w:sz w:val="24"/>
                <w:szCs w:val="24"/>
                <w:highlight w:val="none"/>
              </w:rPr>
            </w:pPr>
          </w:p>
        </w:tc>
        <w:tc>
          <w:tcPr>
            <w:tcW w:w="237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kern w:val="2"/>
                <w:sz w:val="24"/>
                <w:szCs w:val="24"/>
                <w:highlight w:val="none"/>
                <w:lang w:val="en-US" w:eastAsia="zh-CN" w:bidi="ar-SA"/>
              </w:rPr>
            </w:pPr>
            <w:r>
              <w:rPr>
                <w:rFonts w:hint="eastAsia" w:ascii="仿宋_GB2312" w:eastAsia="仿宋_GB2312" w:cs="Times New Roman"/>
                <w:b/>
                <w:bCs/>
                <w:color w:val="000000"/>
                <w:sz w:val="24"/>
                <w:szCs w:val="24"/>
                <w:highlight w:val="none"/>
                <w:lang w:val="en-US" w:eastAsia="zh-CN"/>
              </w:rPr>
              <w:t>合计</w:t>
            </w:r>
          </w:p>
        </w:tc>
        <w:tc>
          <w:tcPr>
            <w:tcW w:w="426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3,100.00</w:t>
            </w:r>
          </w:p>
        </w:tc>
      </w:tr>
    </w:tbl>
    <w:p>
      <w:pPr>
        <w:pStyle w:val="16"/>
        <w:rPr>
          <w:rFonts w:hint="eastAsia"/>
          <w:highlight w:val="none"/>
          <w:lang w:val="en-US" w:eastAsia="zh-CN"/>
        </w:rPr>
      </w:pP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曲阳县人民政府《关于2022年政府专项债券限额使用及项目安排的报告》〔2022〕曲府77号文件显示，安排曲阳县木道沟综合整治工程专项债券资金3,100.00万元，预算下达到曲阳县住房和城乡建设局，并由曲阳县住房和城乡建设局进行集中支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2022年度，该项目共计收到专项债券资金3,100.00万元，实际支出3,100.00万元,全部为工程预付款支出。收支明细详见下表：</w:t>
      </w:r>
    </w:p>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专项债券资金收支明细表</w:t>
      </w:r>
    </w:p>
    <w:p>
      <w:pPr>
        <w:pStyle w:val="36"/>
        <w:tabs>
          <w:tab w:val="left" w:pos="312"/>
        </w:tabs>
        <w:spacing w:line="560" w:lineRule="exact"/>
        <w:ind w:left="120" w:firstLine="440"/>
        <w:jc w:val="right"/>
        <w:rPr>
          <w:rFonts w:hint="eastAsia" w:ascii="仿宋" w:hAnsi="仿宋" w:eastAsia="仿宋" w:cs="仿宋"/>
          <w:sz w:val="24"/>
          <w:szCs w:val="24"/>
          <w:highlight w:val="none"/>
        </w:rPr>
      </w:pPr>
      <w:r>
        <w:rPr>
          <w:rFonts w:hint="eastAsia" w:ascii="仿宋" w:hAnsi="仿宋" w:eastAsia="仿宋" w:cs="仿宋"/>
          <w:bCs/>
          <w:kern w:val="0"/>
          <w:sz w:val="24"/>
          <w:szCs w:val="24"/>
          <w:highlight w:val="none"/>
        </w:rPr>
        <w:t>单位：万元</w:t>
      </w:r>
    </w:p>
    <w:tbl>
      <w:tblPr>
        <w:tblStyle w:val="20"/>
        <w:tblW w:w="9757"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736"/>
        <w:gridCol w:w="1905"/>
        <w:gridCol w:w="1306"/>
        <w:gridCol w:w="1623"/>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5020"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收入</w:t>
            </w:r>
          </w:p>
        </w:tc>
        <w:tc>
          <w:tcPr>
            <w:tcW w:w="4737"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73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905"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c>
          <w:tcPr>
            <w:tcW w:w="130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Merge w:val="restart"/>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专项债券资金</w:t>
            </w:r>
          </w:p>
        </w:tc>
        <w:tc>
          <w:tcPr>
            <w:tcW w:w="1736"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2022.6.30</w:t>
            </w:r>
          </w:p>
        </w:tc>
        <w:tc>
          <w:tcPr>
            <w:tcW w:w="1905"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3,000.00</w:t>
            </w:r>
          </w:p>
        </w:tc>
        <w:tc>
          <w:tcPr>
            <w:tcW w:w="1306"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工程预付款</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2022.6.30</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3,000.00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1736"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2022.8.17</w:t>
            </w:r>
          </w:p>
        </w:tc>
        <w:tc>
          <w:tcPr>
            <w:tcW w:w="1905"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100.00</w:t>
            </w:r>
          </w:p>
        </w:tc>
        <w:tc>
          <w:tcPr>
            <w:tcW w:w="1306"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1623"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2022.8.17</w:t>
            </w:r>
          </w:p>
        </w:tc>
        <w:tc>
          <w:tcPr>
            <w:tcW w:w="1808"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3115"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905"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3,100.00</w:t>
            </w:r>
          </w:p>
        </w:tc>
        <w:tc>
          <w:tcPr>
            <w:tcW w:w="2929"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808"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3,100.00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562" w:leftChars="0"/>
        <w:jc w:val="left"/>
        <w:textAlignment w:val="auto"/>
        <w:rPr>
          <w:rFonts w:hint="eastAsia" w:ascii="仿宋" w:hAnsi="仿宋" w:eastAsia="仿宋" w:cs="仿宋"/>
          <w:b/>
          <w:bCs/>
          <w:sz w:val="30"/>
          <w:szCs w:val="30"/>
          <w:highlight w:val="none"/>
          <w:lang w:val="en-US" w:eastAsia="zh-CN"/>
        </w:rPr>
      </w:pPr>
      <w:bookmarkStart w:id="16" w:name="_Toc21403"/>
      <w:bookmarkStart w:id="17" w:name="_Toc21592"/>
      <w:bookmarkStart w:id="18" w:name="_Toc14351"/>
      <w:bookmarkStart w:id="19" w:name="_Toc83631030"/>
      <w:bookmarkStart w:id="20" w:name="_Toc83630320"/>
      <w:bookmarkStart w:id="21" w:name="_Toc18734"/>
      <w:r>
        <w:rPr>
          <w:rFonts w:hint="eastAsia" w:ascii="仿宋" w:hAnsi="仿宋" w:eastAsia="仿宋" w:cs="仿宋"/>
          <w:b/>
          <w:bCs/>
          <w:sz w:val="30"/>
          <w:szCs w:val="30"/>
          <w:highlight w:val="none"/>
          <w:lang w:val="en-US" w:eastAsia="zh-CN"/>
        </w:rPr>
        <w:t>四、绩效评估工作开展情况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（一）绩效评估目的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为了进一步强化部门支出责任，提高部门绩效意识，优化资源配置，控制节约成本，切实提供项目资金管理水平和使用效益，及时掌握项目在执行过程中产生的效果和存在的不足，特别是在资金使用方面，将评估结果与当年预算安排挂钩，作为预算合法有效执行的重要保障，并作为完善政策、分配资金、改善管理的重要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绩效评估设计过程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.收集资料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工作组在项目实施单位收集、整理被评估项目基础资料及相关信息，对项目情况进行初步了解。</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.绩效评估具体实施</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我们通过查看项目相关政策文件，项目</w:t>
      </w:r>
      <w:r>
        <w:rPr>
          <w:rFonts w:hint="eastAsia" w:ascii="仿宋" w:hAnsi="仿宋" w:eastAsia="仿宋" w:cs="仿宋"/>
          <w:sz w:val="30"/>
          <w:szCs w:val="30"/>
          <w:highlight w:val="none"/>
          <w:lang w:val="en-US" w:eastAsia="zh-CN"/>
        </w:rPr>
        <w:t>的相关管理制度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档案资料、</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收付明细账</w:t>
      </w:r>
      <w:r>
        <w:rPr>
          <w:rFonts w:hint="eastAsia" w:ascii="仿宋" w:hAnsi="仿宋" w:eastAsia="仿宋" w:cs="仿宋"/>
          <w:sz w:val="30"/>
          <w:szCs w:val="30"/>
          <w:highlight w:val="none"/>
          <w:lang w:eastAsia="zh-CN"/>
        </w:rPr>
        <w:t>等相关资料，评估项目实施的效果，并按照评估指标体系对相应事项进行分数评定。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3.撰写绩效报告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工作组根据现场核实、数据分析情况，撰写绩效评估报告</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lang w:eastAsia="zh-CN"/>
        </w:rPr>
        <w:t>经过内部讨论、与项目实施单位交换沟通，形成绩效评估项目报告初稿。</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（三）绩效评估框架</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1.绩效评估原则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（1）价值导向原则：财政支出绩效评估体系应能够反映财政支出的经济性、效益性、有效性原则，体现财政部门和项目主管部门的价值导向。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（2）重要性原则：根据指标在整个指标体系的地位和作用进行筛选，选择最具代表性、最能反映评估要求的指标。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（3）可比性原则：在相似项目之间有共同的指标，不同项目之间的衡量结果可以相互比较。</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（4）综合性原则：将定性指标和定量指标相结合，定性分析是定量分析的基础，定量分析是定性分析的深化，两者相结合系统反映财政支出所产生的社会效益。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（5）经济性原则：指标的选取要考虑现实条件及可操作性，数据的获得应符合成本效益原则，在合理成本的基础上收集信息。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2.绩效评估的评估方法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本次评估采取定量和定性评估相结合、综合评估相结合的方式，运用审查法和现场查勘法开展绩效评估工作。</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（1）审查法：通过审查被评估单位的项目档案、项目</w:t>
      </w:r>
      <w:r>
        <w:rPr>
          <w:rFonts w:hint="eastAsia" w:ascii="仿宋" w:hAnsi="仿宋" w:eastAsia="仿宋" w:cs="仿宋"/>
          <w:sz w:val="30"/>
          <w:szCs w:val="30"/>
          <w:highlight w:val="none"/>
          <w:lang w:val="en-US" w:eastAsia="zh-CN"/>
        </w:rPr>
        <w:t>管理制度</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支付凭证</w:t>
      </w:r>
      <w:r>
        <w:rPr>
          <w:rFonts w:hint="eastAsia" w:ascii="仿宋" w:hAnsi="仿宋" w:eastAsia="仿宋" w:cs="仿宋"/>
          <w:sz w:val="30"/>
          <w:szCs w:val="30"/>
          <w:highlight w:val="none"/>
          <w:lang w:eastAsia="zh-CN"/>
        </w:rPr>
        <w:t>、资金支付</w:t>
      </w:r>
      <w:r>
        <w:rPr>
          <w:rFonts w:hint="eastAsia" w:ascii="仿宋" w:hAnsi="仿宋" w:eastAsia="仿宋" w:cs="仿宋"/>
          <w:sz w:val="30"/>
          <w:szCs w:val="30"/>
          <w:highlight w:val="none"/>
          <w:lang w:val="en-US" w:eastAsia="zh-CN"/>
        </w:rPr>
        <w:t>明细账</w:t>
      </w:r>
      <w:r>
        <w:rPr>
          <w:rFonts w:hint="eastAsia" w:ascii="仿宋" w:hAnsi="仿宋" w:eastAsia="仿宋" w:cs="仿宋"/>
          <w:sz w:val="30"/>
          <w:szCs w:val="30"/>
          <w:highlight w:val="none"/>
          <w:lang w:eastAsia="zh-CN"/>
        </w:rPr>
        <w:t>等项目资料，分析资金支出的合理性和合规性。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（2）现场查勘法：通过对项目的现场查勘，了解目标的实施情况，进而评估项目绩效目标的完成情况。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3.绩效评估标准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绩效评估标准：是指衡量财政支出绩效目标完成程度的尺度，绩效评估标准。具体包括：</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（1）计划标准：是指以预先制定的目标、计划、预算、标准等数据作为评估的标准。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（2）行业标准：是指参照国家权威部门公布的行业指标数据制定的评估标准。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（3）历史标准：是指参照同类指标的历史数据制定的评估标准。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（4）其他标准：其他有参考价值的标准。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4.绩效评估依据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22" w:name="_Toc16243"/>
      <w:bookmarkStart w:id="23" w:name="_Toc5980"/>
      <w:bookmarkStart w:id="24" w:name="_Toc12911"/>
      <w:r>
        <w:rPr>
          <w:rFonts w:hint="eastAsia" w:ascii="仿宋" w:hAnsi="仿宋" w:eastAsia="仿宋" w:cs="仿宋"/>
          <w:sz w:val="30"/>
          <w:szCs w:val="30"/>
          <w:highlight w:val="none"/>
        </w:rPr>
        <w:t>（1）《中华人民共和国预算法》(主席令第21号)；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 xml:space="preserve">《中共中央国务院关于全面实施预算绩效管理的意见》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）《关于印发〈财政支出绩效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管理暂行办法〉的通知》（财预〔2011〕285号）；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《河北省财政支出绩效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）《关于印发&lt;预算绩效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 xml:space="preserve">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）《河北省项目支出绩效指标框架体系》（冀财预[2016]</w:t>
      </w:r>
      <w:r>
        <w:rPr>
          <w:rFonts w:hint="eastAsia" w:ascii="仿宋" w:hAnsi="仿宋" w:eastAsia="仿宋" w:cs="仿宋"/>
          <w:sz w:val="30"/>
          <w:szCs w:val="30"/>
          <w:highlight w:val="none"/>
          <w:lang w:eastAsia="zh-CN"/>
        </w:rPr>
        <w:t>94</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管理办法》(财预[2020]10号)；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曲阳县财政局关于印发2023年县级财政重点绩效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计划的通知</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曲财</w:t>
      </w:r>
      <w:r>
        <w:rPr>
          <w:rFonts w:hint="eastAsia" w:ascii="仿宋" w:hAnsi="仿宋" w:eastAsia="仿宋" w:cs="仿宋"/>
          <w:sz w:val="30"/>
          <w:szCs w:val="30"/>
          <w:highlight w:val="none"/>
        </w:rPr>
        <w:t>[20</w:t>
      </w:r>
      <w:r>
        <w:rPr>
          <w:rFonts w:hint="eastAsia" w:ascii="仿宋" w:hAnsi="仿宋" w:eastAsia="仿宋" w:cs="仿宋"/>
          <w:sz w:val="30"/>
          <w:szCs w:val="30"/>
          <w:highlight w:val="none"/>
          <w:lang w:val="en-US" w:eastAsia="zh-CN"/>
        </w:rPr>
        <w:t>23</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rPr>
      </w:pPr>
      <w:r>
        <w:rPr>
          <w:rFonts w:hint="eastAsia" w:ascii="仿宋" w:hAnsi="仿宋" w:eastAsia="仿宋" w:cs="仿宋"/>
          <w:sz w:val="30"/>
          <w:szCs w:val="30"/>
          <w:highlight w:val="none"/>
          <w:lang w:val="en-US" w:eastAsia="zh-CN"/>
        </w:rPr>
        <w:t>（9）相关预算指标文及其他文件依据。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绩效评估指标体系</w:t>
      </w:r>
      <w:bookmarkEnd w:id="22"/>
      <w:bookmarkEnd w:id="23"/>
      <w:bookmarkEnd w:id="2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）指标设定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绩效指标指用于测量公共支出效果的指数或指数体系。绩效指标可以是某一独立指标，也可以是由多项指标组成的体系。科学的绩效指标是实现公共管理科学化的前提。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评估指标体系是根据财政支出项目进行评估的目的、财政支出项目的绩效内容，以及财政支出指标体系的设计原则，采用适当的方法，确定财政支出项目的绩效评估指标，然后，运用适当的方法，确定各个指标相对于项目总体绩效的重要性，并用数量化的方法表示出来，即赋予每个指标一定的权重；确定各个评估指标的参照标准，即明确指标的标准值。</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）指标权重设定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该项目管理类指标占全部权重的</w:t>
      </w:r>
      <w:r>
        <w:rPr>
          <w:rFonts w:hint="eastAsia" w:ascii="仿宋" w:hAnsi="仿宋" w:eastAsia="仿宋" w:cs="仿宋"/>
          <w:sz w:val="30"/>
          <w:szCs w:val="30"/>
          <w:highlight w:val="none"/>
          <w:lang w:val="en-US" w:eastAsia="zh-CN"/>
        </w:rPr>
        <w:t>60</w:t>
      </w:r>
      <w:r>
        <w:rPr>
          <w:rFonts w:hint="eastAsia" w:ascii="仿宋" w:hAnsi="仿宋" w:eastAsia="仿宋" w:cs="仿宋"/>
          <w:sz w:val="30"/>
          <w:szCs w:val="30"/>
          <w:highlight w:val="none"/>
          <w:lang w:eastAsia="zh-CN"/>
        </w:rPr>
        <w:t>%，包括项目立项、项目过程管理；项目绩效类指标占全部权重的</w:t>
      </w:r>
      <w:r>
        <w:rPr>
          <w:rFonts w:hint="eastAsia" w:ascii="仿宋" w:hAnsi="仿宋" w:eastAsia="仿宋" w:cs="仿宋"/>
          <w:sz w:val="30"/>
          <w:szCs w:val="30"/>
          <w:highlight w:val="none"/>
          <w:lang w:val="en-US" w:eastAsia="zh-CN"/>
        </w:rPr>
        <w:t>40</w:t>
      </w:r>
      <w:r>
        <w:rPr>
          <w:rFonts w:hint="eastAsia" w:ascii="仿宋" w:hAnsi="仿宋" w:eastAsia="仿宋" w:cs="仿宋"/>
          <w:sz w:val="30"/>
          <w:szCs w:val="30"/>
          <w:highlight w:val="none"/>
          <w:lang w:eastAsia="zh-CN"/>
        </w:rPr>
        <w:t>%，其中项目产出类指标占</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lang w:eastAsia="zh-CN"/>
        </w:rPr>
        <w:t>%，项目效果类指标占</w:t>
      </w:r>
      <w:r>
        <w:rPr>
          <w:rFonts w:hint="eastAsia" w:ascii="仿宋" w:hAnsi="仿宋" w:eastAsia="仿宋" w:cs="仿宋"/>
          <w:sz w:val="30"/>
          <w:szCs w:val="30"/>
          <w:highlight w:val="none"/>
          <w:lang w:val="en-US" w:eastAsia="zh-CN"/>
        </w:rPr>
        <w:t>30</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 xml:space="preserve"> </w:t>
      </w:r>
      <w:bookmarkStart w:id="25" w:name="_Toc22342"/>
      <w:bookmarkStart w:id="26" w:name="_Toc6963"/>
      <w:bookmarkStart w:id="27" w:name="_Toc27907"/>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评分方法和评分等级</w:t>
      </w:r>
      <w:bookmarkEnd w:id="25"/>
      <w:bookmarkEnd w:id="26"/>
      <w:bookmarkEnd w:id="27"/>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）评分方法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①按照《财政支出绩效评估管理暂行办法》的相关要求和国务院、省、市、县出台</w:t>
      </w:r>
      <w:bookmarkStart w:id="90" w:name="_GoBack"/>
      <w:bookmarkEnd w:id="90"/>
      <w:r>
        <w:rPr>
          <w:rFonts w:hint="eastAsia" w:ascii="仿宋" w:hAnsi="仿宋" w:eastAsia="仿宋" w:cs="仿宋"/>
          <w:sz w:val="30"/>
          <w:szCs w:val="30"/>
          <w:highlight w:val="none"/>
          <w:lang w:eastAsia="zh-CN"/>
        </w:rPr>
        <w:t>的相关规定作为评估标准，采取定量和定性评估相结合的方法，对项目资料进行审核、分析。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②评估中做到重点突出</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在评估工作中，评估人员紧紧抓住评估工作的重点环节，严格按照相关文件和评估方案的要求，实事求是、客观公正地进行绩效评估工作，取得了详实、客观的评估资料。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③客观分析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首先，根据评估项目的实际情况与指标体系进行分析、比对，各项指标根据预期绩效目标值，评判实际达到的绩效目标，并给出适当得分。主要关注以下几方面：项目是否实现了年度绩效目标、项目是否在长期绩效目标上实现了预期进展、是否有助于政府战略目标和部门目标的实现等。然后，根据项目评估综合得分得出综合绩效评估等级，依据各项评估结果，综合各方面因素，填写项目绩效评估综合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）评估等级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指标体系设定满分为100分，绩效评估分值≥9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为优；80≤分值&lt;9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为良；60≤分值&lt;80为合格；60分以下为不合格。按照绩效评估指标对评估结果进行逐级、逐项分析，形成综合评估得分及等级。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28" w:name="_Toc5968"/>
      <w:bookmarkStart w:id="29" w:name="_Toc31732"/>
      <w:bookmarkStart w:id="30" w:name="_Toc12583"/>
      <w:bookmarkStart w:id="31" w:name="_Toc501368350"/>
      <w:r>
        <w:rPr>
          <w:rFonts w:hint="eastAsia" w:ascii="仿宋" w:hAnsi="仿宋" w:eastAsia="仿宋" w:cs="仿宋"/>
          <w:sz w:val="30"/>
          <w:szCs w:val="30"/>
          <w:highlight w:val="none"/>
          <w:lang w:val="en-US" w:eastAsia="zh-CN"/>
        </w:rPr>
        <w:t>（四）</w:t>
      </w:r>
      <w:bookmarkEnd w:id="28"/>
      <w:bookmarkEnd w:id="29"/>
      <w:bookmarkEnd w:id="30"/>
      <w:bookmarkEnd w:id="31"/>
      <w:r>
        <w:rPr>
          <w:rFonts w:hint="eastAsia" w:ascii="仿宋" w:hAnsi="仿宋" w:eastAsia="仿宋" w:cs="仿宋"/>
          <w:sz w:val="30"/>
          <w:szCs w:val="30"/>
          <w:highlight w:val="none"/>
          <w:lang w:val="en-US" w:eastAsia="zh-CN"/>
        </w:rPr>
        <w:t>证据收集方法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评估小组对项目资料进行收集、整理</w:t>
      </w:r>
      <w:r>
        <w:rPr>
          <w:rFonts w:hint="eastAsia" w:ascii="仿宋" w:hAnsi="仿宋" w:eastAsia="仿宋" w:cs="仿宋"/>
          <w:sz w:val="30"/>
          <w:szCs w:val="30"/>
          <w:highlight w:val="none"/>
          <w:lang w:eastAsia="zh-CN"/>
        </w:rPr>
        <w:t>，并进行分析，然后将获取的资料与从现场勘查中获得的资料汇集起来，对同一指标在不同文件资料中的证据进行对比、印证、核实和补充，经过验证和确定后得到了准确、可靠和有效的证据。最后，评估小组对证据进行了判断分析，形成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（五）绩效评估实施过程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前期准备阶段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主要是组建评估工作小组，了解评估项目基本情况，设计有关基础数据表格，下发项目执行单位需要准备的资料清单等。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信息采集复核阶段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执行单位进行初步准备后，评估小组先后深入项目执行单位以实地察看、面访、查阅相关资料、核查财务凭证及账簿等多种形式采集信息，复核基础数据和评估证据，并多次就相关资料的补充、完善进行沟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指标体系设计论证阶段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评估小组在收集各类基础数据，制作基础表格后，根据指定的评估方法，结合项目特点，开始设计项目产出和项目效益类指标。通过评估小组的集体商议，初步形成了既能体现评估意图又切合实际的系列指标。进一步修改完善指标体系，合理确定各指标权重，制定评分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数据分析和报告形成阶段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完成系列基础性、前置性工作后，评估小组开始集中精力进行数据分析及指标计算比较，按规范格式撰写绩效评估报告初稿，并送有关方面征求意见，进一步修改后出具正式报告。</w:t>
      </w:r>
    </w:p>
    <w:bookmarkEnd w:id="16"/>
    <w:bookmarkEnd w:id="17"/>
    <w:bookmarkEnd w:id="18"/>
    <w:bookmarkEnd w:id="19"/>
    <w:bookmarkEnd w:id="20"/>
    <w:bookmarkEnd w:id="21"/>
    <w:p>
      <w:pPr>
        <w:pStyle w:val="3"/>
        <w:spacing w:beforeAutospacing="0" w:afterAutospacing="0" w:line="360" w:lineRule="auto"/>
        <w:ind w:firstLine="602" w:firstLineChars="200"/>
        <w:rPr>
          <w:rFonts w:hint="eastAsia" w:ascii="仿宋" w:hAnsi="仿宋" w:eastAsia="仿宋" w:cs="仿宋"/>
          <w:b w:val="0"/>
          <w:kern w:val="2"/>
          <w:sz w:val="30"/>
          <w:szCs w:val="30"/>
          <w:highlight w:val="none"/>
          <w:lang w:val="en-US" w:eastAsia="zh-CN" w:bidi="ar-SA"/>
        </w:rPr>
      </w:pPr>
      <w:bookmarkStart w:id="32" w:name="_Toc501368358"/>
      <w:bookmarkStart w:id="33" w:name="_Toc8822"/>
      <w:bookmarkStart w:id="34" w:name="_Toc32473"/>
      <w:bookmarkStart w:id="35" w:name="_Toc28493"/>
      <w:bookmarkStart w:id="36" w:name="_Toc32445"/>
      <w:bookmarkStart w:id="37" w:name="_Toc83631040"/>
      <w:bookmarkStart w:id="38" w:name="_Toc501368359"/>
      <w:bookmarkStart w:id="39" w:name="_Toc83630330"/>
      <w:bookmarkStart w:id="40" w:name="_Toc12058"/>
      <w:bookmarkStart w:id="41" w:name="_Toc12908"/>
      <w:r>
        <w:rPr>
          <w:rFonts w:hint="eastAsia" w:ascii="仿宋" w:hAnsi="仿宋" w:eastAsia="仿宋" w:cs="仿宋"/>
          <w:b/>
          <w:bCs/>
          <w:kern w:val="2"/>
          <w:sz w:val="30"/>
          <w:szCs w:val="30"/>
          <w:highlight w:val="none"/>
          <w:lang w:val="en-US" w:eastAsia="zh-CN" w:bidi="ar-SA"/>
        </w:rPr>
        <w:t>五、项目执行及绩效实现情况</w:t>
      </w:r>
      <w:bookmarkEnd w:id="32"/>
      <w:bookmarkEnd w:id="33"/>
      <w:bookmarkEnd w:id="34"/>
      <w:bookmarkEnd w:id="35"/>
    </w:p>
    <w:p>
      <w:pPr>
        <w:spacing w:line="360" w:lineRule="auto"/>
        <w:ind w:firstLine="600" w:firstLineChars="200"/>
        <w:jc w:val="left"/>
        <w:rPr>
          <w:rFonts w:hint="eastAsia" w:ascii="仿宋" w:hAnsi="仿宋" w:eastAsia="仿宋" w:cs="仿宋"/>
          <w:b w:val="0"/>
          <w:kern w:val="2"/>
          <w:sz w:val="30"/>
          <w:szCs w:val="30"/>
          <w:highlight w:val="none"/>
          <w:lang w:val="en-US" w:eastAsia="zh-CN" w:bidi="ar-SA"/>
        </w:rPr>
      </w:pPr>
      <w:r>
        <w:rPr>
          <w:rFonts w:hint="eastAsia" w:ascii="仿宋" w:hAnsi="仿宋" w:eastAsia="仿宋" w:cs="仿宋"/>
          <w:b w:val="0"/>
          <w:kern w:val="2"/>
          <w:sz w:val="30"/>
          <w:szCs w:val="30"/>
          <w:highlight w:val="none"/>
          <w:lang w:val="en-US" w:eastAsia="zh-CN" w:bidi="ar-SA"/>
        </w:rPr>
        <w:t>通过对该单位提供的项目资料和现场实地检查，该项目综合得分82分，评估等级为“良”。各项得分情况明细如下：</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（一）项目立项（</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36"/>
      <w:bookmarkEnd w:id="37"/>
      <w:bookmarkEnd w:id="38"/>
      <w:bookmarkEnd w:id="39"/>
      <w:bookmarkEnd w:id="40"/>
      <w:bookmarkEnd w:id="4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9"/>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决策机制（</w:t>
            </w:r>
            <w:r>
              <w:rPr>
                <w:rFonts w:hint="eastAsia" w:ascii="仿宋" w:hAnsi="仿宋" w:eastAsia="仿宋" w:cs="仿宋"/>
                <w:color w:val="000000"/>
                <w:kern w:val="0"/>
                <w:sz w:val="24"/>
                <w:szCs w:val="24"/>
                <w:highlight w:val="none"/>
                <w:lang w:val="en-US" w:eastAsia="zh-CN"/>
              </w:rPr>
              <w:t>12</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rPr>
              <w:t>项目设立</w:t>
            </w:r>
            <w:r>
              <w:rPr>
                <w:rFonts w:hint="eastAsia" w:ascii="仿宋" w:hAnsi="仿宋" w:eastAsia="仿宋" w:cs="仿宋"/>
                <w:color w:val="000000"/>
                <w:kern w:val="0"/>
                <w:sz w:val="24"/>
                <w:szCs w:val="24"/>
                <w:highlight w:val="none"/>
                <w:lang w:val="en-US" w:eastAsia="zh-CN"/>
              </w:rPr>
              <w:t>规范性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绩效目标（</w:t>
            </w:r>
            <w:r>
              <w:rPr>
                <w:rFonts w:hint="eastAsia" w:ascii="仿宋" w:hAnsi="仿宋" w:eastAsia="仿宋" w:cs="仿宋"/>
                <w:color w:val="000000"/>
                <w:kern w:val="0"/>
                <w:sz w:val="24"/>
                <w:szCs w:val="24"/>
                <w:highlight w:val="none"/>
                <w:lang w:val="en-US" w:eastAsia="zh-CN"/>
              </w:rPr>
              <w:t>8</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0</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14</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1.决策机制（</w:t>
      </w:r>
      <w:r>
        <w:rPr>
          <w:rFonts w:hint="eastAsia" w:ascii="仿宋" w:hAnsi="仿宋" w:eastAsia="仿宋" w:cs="仿宋"/>
          <w:sz w:val="30"/>
          <w:szCs w:val="30"/>
          <w:highlight w:val="none"/>
          <w:lang w:val="en-US" w:eastAsia="zh-CN"/>
        </w:rPr>
        <w:t>12</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项目立项是否符合国家法规、政策规定，符合社会经济发展战略规划；项目内容设置与国家及地方政策、规划、社会需求等相关内容相符程度，决策过程是否规范。</w:t>
      </w:r>
    </w:p>
    <w:p>
      <w:pPr>
        <w:pageBreakBefore w:val="0"/>
        <w:numPr>
          <w:ilvl w:val="0"/>
          <w:numId w:val="2"/>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项目设立</w:t>
      </w:r>
      <w:r>
        <w:rPr>
          <w:rFonts w:hint="eastAsia" w:ascii="仿宋" w:hAnsi="仿宋" w:eastAsia="仿宋" w:cs="仿宋"/>
          <w:sz w:val="30"/>
          <w:szCs w:val="30"/>
          <w:highlight w:val="none"/>
          <w:lang w:val="en-US" w:eastAsia="zh-CN"/>
        </w:rPr>
        <w:t>规范性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该项目立项是否符合国家法规、政策规定，符合社会经济发展战略规划</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bookmarkStart w:id="42" w:name="_Toc83631041"/>
      <w:bookmarkStart w:id="43" w:name="_Toc83630427"/>
      <w:bookmarkStart w:id="44" w:name="_Toc83630331"/>
      <w:bookmarkStart w:id="45" w:name="_Toc25534"/>
      <w:bookmarkStart w:id="46" w:name="_Toc21059"/>
      <w:r>
        <w:rPr>
          <w:rFonts w:hint="eastAsia" w:ascii="仿宋" w:hAnsi="仿宋" w:eastAsia="仿宋" w:cs="仿宋"/>
          <w:sz w:val="30"/>
          <w:szCs w:val="30"/>
          <w:highlight w:val="none"/>
        </w:rPr>
        <w:t>经检查，该项目设立的主要依据</w:t>
      </w:r>
      <w:r>
        <w:rPr>
          <w:rFonts w:hint="eastAsia" w:ascii="仿宋" w:hAnsi="仿宋" w:eastAsia="仿宋" w:cs="仿宋"/>
          <w:sz w:val="30"/>
          <w:szCs w:val="30"/>
          <w:highlight w:val="none"/>
          <w:lang w:val="en-US" w:eastAsia="zh-CN"/>
        </w:rPr>
        <w:t>有</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曲阳县木道沟综合整治工程</w:t>
      </w:r>
      <w:r>
        <w:rPr>
          <w:rFonts w:hint="eastAsia" w:ascii="仿宋" w:hAnsi="仿宋" w:eastAsia="仿宋" w:cs="仿宋"/>
          <w:sz w:val="30"/>
          <w:szCs w:val="30"/>
          <w:highlight w:val="none"/>
        </w:rPr>
        <w:t>可行性研究报告的批复》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2021</w:t>
      </w:r>
      <w:r>
        <w:rPr>
          <w:rFonts w:hint="eastAsia" w:ascii="仿宋" w:hAnsi="仿宋" w:eastAsia="仿宋" w:cs="仿宋"/>
          <w:sz w:val="30"/>
          <w:szCs w:val="30"/>
          <w:highlight w:val="none"/>
          <w:lang w:val="en-US" w:eastAsia="en-US"/>
        </w:rPr>
        <w:t xml:space="preserve">] </w:t>
      </w:r>
      <w:r>
        <w:rPr>
          <w:rFonts w:hint="eastAsia" w:ascii="仿宋" w:hAnsi="仿宋" w:eastAsia="仿宋" w:cs="仿宋"/>
          <w:sz w:val="30"/>
          <w:szCs w:val="30"/>
          <w:highlight w:val="none"/>
          <w:lang w:val="en-US" w:eastAsia="zh-CN"/>
        </w:rPr>
        <w:t>113</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bookmarkEnd w:id="42"/>
      <w:bookmarkEnd w:id="43"/>
      <w:bookmarkEnd w:id="44"/>
      <w:bookmarkEnd w:id="45"/>
      <w:bookmarkEnd w:id="46"/>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曲阳县木道沟综合整治工程初步设计</w:t>
      </w:r>
      <w:r>
        <w:rPr>
          <w:rFonts w:hint="eastAsia" w:ascii="仿宋" w:hAnsi="仿宋" w:eastAsia="仿宋" w:cs="仿宋"/>
          <w:sz w:val="30"/>
          <w:szCs w:val="30"/>
          <w:highlight w:val="none"/>
        </w:rPr>
        <w:t>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2022</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 xml:space="preserve"> 44</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我们认为该项目设定依据充分，</w:t>
      </w:r>
      <w:r>
        <w:rPr>
          <w:rFonts w:hint="eastAsia" w:ascii="仿宋" w:hAnsi="仿宋" w:eastAsia="仿宋" w:cs="仿宋"/>
          <w:sz w:val="30"/>
          <w:szCs w:val="30"/>
          <w:highlight w:val="none"/>
          <w:lang w:val="en-US" w:eastAsia="zh-CN"/>
        </w:rPr>
        <w:t>按照规定的程序申请设立，已经过必要的可行性研究、专家论证等。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（2）项目决策必要性（</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47" w:name="_Toc83630332"/>
      <w:bookmarkStart w:id="48" w:name="_Toc83630428"/>
      <w:bookmarkStart w:id="49" w:name="_Toc32149"/>
      <w:bookmarkStart w:id="50" w:name="_Toc83631042"/>
      <w:bookmarkStart w:id="51" w:name="_Toc24207"/>
      <w:r>
        <w:rPr>
          <w:rFonts w:hint="eastAsia" w:ascii="仿宋" w:hAnsi="仿宋" w:eastAsia="仿宋" w:cs="仿宋"/>
          <w:sz w:val="30"/>
          <w:szCs w:val="30"/>
          <w:highlight w:val="none"/>
          <w:lang w:val="en-US" w:eastAsia="zh-CN"/>
        </w:rPr>
        <w:t>曲阳县木道沟主干河道的划界河段全长 14.3km。根据《曲阳县水利综合规划》 木道沟的防洪标准为 20 年一遇。木道沟沿岸主要为村庄和耕地，现状河堤损坏严重，河道内杂草丛生、河道阻塞、存在垃圾淤泥，生态破坏严重，严重影响当地生态及居住环境，影响美丽中国的加设进程。曲阳县木道沟综合治理工程，可实现木道沟功能提升，加快生态文明建设和美丽中国建设进程。长期以来，受环境破坏等因素影响，我国一些生态系统破损退化严重，提供生态产品的能力不断下降，党中央、国务院高度重视生态文明建设，就开展生态保护修复作出了明确的部署要求。开展木道沟综合整治是生态文明建设的重要内容，是贯彻绿色发展理念的有力举措，是破解生态环境难题的必然要求。</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经评估，该项目建设与国家及地方政策、规划、社会需求相符，决策过程较为规范。</w:t>
      </w:r>
    </w:p>
    <w:bookmarkEnd w:id="47"/>
    <w:bookmarkEnd w:id="48"/>
    <w:bookmarkEnd w:id="49"/>
    <w:bookmarkEnd w:id="50"/>
    <w:bookmarkEnd w:id="51"/>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2.绩效目标（</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该指标共包含2个三级指标，主要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（1）合理性（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项目绩效目标依据是否充分，与客观实际相符的情况。</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eastAsia="zh-CN"/>
        </w:rPr>
        <w:t>该</w:t>
      </w:r>
      <w:r>
        <w:rPr>
          <w:rFonts w:hint="eastAsia" w:ascii="仿宋" w:hAnsi="仿宋" w:eastAsia="仿宋" w:cs="仿宋"/>
          <w:sz w:val="30"/>
          <w:szCs w:val="30"/>
          <w:highlight w:val="none"/>
        </w:rPr>
        <w:t>项目</w:t>
      </w:r>
      <w:r>
        <w:rPr>
          <w:rFonts w:hint="eastAsia" w:ascii="仿宋" w:hAnsi="仿宋" w:eastAsia="仿宋" w:cs="仿宋"/>
          <w:sz w:val="30"/>
          <w:szCs w:val="30"/>
          <w:highlight w:val="none"/>
          <w:lang w:val="en-US" w:eastAsia="zh-CN"/>
        </w:rPr>
        <w:t>的绩效目标：1、曲阳县按期完成</w:t>
      </w:r>
      <w:r>
        <w:rPr>
          <w:rFonts w:hint="eastAsia" w:ascii="仿宋" w:hAnsi="仿宋" w:eastAsia="仿宋" w:cs="仿宋"/>
          <w:sz w:val="30"/>
          <w:szCs w:val="30"/>
          <w:highlight w:val="none"/>
          <w:lang w:eastAsia="zh-CN"/>
        </w:rPr>
        <w:t>曲阳县木道沟综合整治工程项目</w:t>
      </w:r>
      <w:r>
        <w:rPr>
          <w:rFonts w:hint="eastAsia" w:ascii="仿宋" w:hAnsi="仿宋" w:eastAsia="仿宋" w:cs="仿宋"/>
          <w:sz w:val="30"/>
          <w:szCs w:val="30"/>
          <w:highlight w:val="none"/>
          <w:lang w:val="en-US" w:eastAsia="zh-CN"/>
        </w:rPr>
        <w:t>;2、通过项目建设，实现更好的经济效益和社会效益。</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该项目绩效目标</w:t>
      </w:r>
      <w:r>
        <w:rPr>
          <w:rFonts w:hint="eastAsia" w:ascii="仿宋" w:hAnsi="仿宋" w:eastAsia="仿宋" w:cs="仿宋"/>
          <w:sz w:val="30"/>
          <w:szCs w:val="30"/>
          <w:highlight w:val="none"/>
          <w:lang w:eastAsia="zh-CN"/>
        </w:rPr>
        <w:t>内容</w:t>
      </w:r>
      <w:r>
        <w:rPr>
          <w:rFonts w:hint="eastAsia" w:ascii="仿宋" w:hAnsi="仿宋" w:eastAsia="仿宋" w:cs="仿宋"/>
          <w:sz w:val="30"/>
          <w:szCs w:val="30"/>
          <w:highlight w:val="none"/>
          <w:lang w:val="en-US" w:eastAsia="zh-CN"/>
        </w:rPr>
        <w:t>设置不够明确和具体，无法考核与客观实际的相符情况</w:t>
      </w:r>
      <w:r>
        <w:rPr>
          <w:rFonts w:hint="eastAsia" w:ascii="仿宋" w:hAnsi="仿宋" w:eastAsia="仿宋" w:cs="仿宋"/>
          <w:sz w:val="30"/>
          <w:szCs w:val="30"/>
          <w:highlight w:val="none"/>
          <w:lang w:eastAsia="zh-CN"/>
        </w:rPr>
        <w:t>，扣</w:t>
      </w:r>
      <w:r>
        <w:rPr>
          <w:rFonts w:hint="eastAsia" w:ascii="仿宋" w:hAnsi="仿宋" w:eastAsia="仿宋" w:cs="仿宋"/>
          <w:sz w:val="30"/>
          <w:szCs w:val="30"/>
          <w:highlight w:val="none"/>
          <w:lang w:val="en-US" w:eastAsia="zh-CN"/>
        </w:rPr>
        <w:t>4分。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（2）明确性（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绩效目标</w:t>
      </w:r>
      <w:r>
        <w:rPr>
          <w:rFonts w:hint="eastAsia" w:ascii="仿宋" w:hAnsi="仿宋" w:eastAsia="仿宋" w:cs="仿宋"/>
          <w:sz w:val="30"/>
          <w:szCs w:val="30"/>
          <w:highlight w:val="none"/>
          <w:lang w:val="en-US" w:eastAsia="zh-CN"/>
        </w:rPr>
        <w:t>表中相关</w:t>
      </w:r>
      <w:r>
        <w:rPr>
          <w:rFonts w:hint="eastAsia" w:ascii="仿宋" w:hAnsi="仿宋" w:eastAsia="仿宋" w:cs="仿宋"/>
          <w:sz w:val="30"/>
          <w:szCs w:val="30"/>
          <w:highlight w:val="none"/>
        </w:rPr>
        <w:t>绩效指标</w:t>
      </w:r>
      <w:r>
        <w:rPr>
          <w:rFonts w:hint="eastAsia" w:ascii="仿宋" w:hAnsi="仿宋" w:eastAsia="仿宋" w:cs="仿宋"/>
          <w:sz w:val="30"/>
          <w:szCs w:val="30"/>
          <w:highlight w:val="none"/>
          <w:lang w:val="en-US" w:eastAsia="zh-CN"/>
        </w:rPr>
        <w:t>设定</w:t>
      </w:r>
      <w:r>
        <w:rPr>
          <w:rFonts w:hint="eastAsia" w:ascii="仿宋" w:hAnsi="仿宋" w:eastAsia="仿宋" w:cs="仿宋"/>
          <w:sz w:val="30"/>
          <w:szCs w:val="30"/>
          <w:highlight w:val="none"/>
        </w:rPr>
        <w:t>清晰、细化、量化、可衡量，</w:t>
      </w:r>
      <w:r>
        <w:rPr>
          <w:rFonts w:hint="eastAsia" w:ascii="仿宋" w:hAnsi="仿宋" w:eastAsia="仿宋" w:cs="仿宋"/>
          <w:sz w:val="30"/>
          <w:szCs w:val="30"/>
          <w:highlight w:val="none"/>
          <w:lang w:val="en-US" w:eastAsia="zh-CN"/>
        </w:rPr>
        <w:t>但未按年度细化匹配年度工作任务，不利于考核年度任务完成情况，扣2分。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bookmarkStart w:id="52" w:name="_Toc21302"/>
      <w:bookmarkStart w:id="53" w:name="_Toc8907"/>
      <w:bookmarkStart w:id="54" w:name="_Toc83631044"/>
      <w:bookmarkStart w:id="55" w:name="_Toc27328"/>
      <w:bookmarkStart w:id="56" w:name="_Toc83630334"/>
      <w:r>
        <w:rPr>
          <w:rFonts w:hint="eastAsia" w:ascii="仿宋" w:hAnsi="仿宋" w:eastAsia="仿宋" w:cs="仿宋"/>
          <w:b w:val="0"/>
          <w:bCs w:val="0"/>
          <w:sz w:val="30"/>
          <w:szCs w:val="30"/>
          <w:highlight w:val="none"/>
        </w:rPr>
        <w:t>（二）项目过程管理（</w:t>
      </w:r>
      <w:r>
        <w:rPr>
          <w:rFonts w:hint="eastAsia" w:ascii="仿宋" w:hAnsi="仿宋" w:eastAsia="仿宋" w:cs="仿宋"/>
          <w:b w:val="0"/>
          <w:bCs w:val="0"/>
          <w:sz w:val="30"/>
          <w:szCs w:val="30"/>
          <w:highlight w:val="none"/>
          <w:lang w:val="en-US" w:eastAsia="zh-CN"/>
        </w:rPr>
        <w:t>40</w:t>
      </w:r>
      <w:r>
        <w:rPr>
          <w:rFonts w:hint="eastAsia" w:ascii="仿宋" w:hAnsi="仿宋" w:eastAsia="仿宋" w:cs="仿宋"/>
          <w:b w:val="0"/>
          <w:bCs w:val="0"/>
          <w:sz w:val="30"/>
          <w:szCs w:val="30"/>
          <w:highlight w:val="none"/>
        </w:rPr>
        <w:t>分）</w:t>
      </w:r>
      <w:bookmarkEnd w:id="52"/>
      <w:bookmarkEnd w:id="53"/>
      <w:bookmarkEnd w:id="54"/>
      <w:bookmarkEnd w:id="55"/>
      <w:bookmarkEnd w:id="5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tbl>
      <w:tblPr>
        <w:tblStyle w:val="19"/>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9"/>
        <w:gridCol w:w="1853"/>
        <w:gridCol w:w="2834"/>
        <w:gridCol w:w="1511"/>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68" w:hRule="exac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2" w:hRule="exac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40</w:t>
            </w:r>
            <w:r>
              <w:rPr>
                <w:rFonts w:hint="eastAsia" w:ascii="仿宋" w:hAnsi="仿宋" w:eastAsia="仿宋" w:cs="仿宋"/>
                <w:color w:val="000000"/>
                <w:kern w:val="0"/>
                <w:sz w:val="24"/>
                <w:szCs w:val="24"/>
                <w:highlight w:val="none"/>
              </w:rPr>
              <w:t>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专项资金</w:t>
            </w:r>
            <w:r>
              <w:rPr>
                <w:rFonts w:hint="eastAsia" w:ascii="仿宋" w:hAnsi="仿宋" w:eastAsia="仿宋" w:cs="仿宋"/>
                <w:color w:val="000000"/>
                <w:kern w:val="0"/>
                <w:sz w:val="24"/>
                <w:szCs w:val="24"/>
                <w:highlight w:val="none"/>
              </w:rPr>
              <w:t>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2"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会计核算</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资金支出合规性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6"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管理制度是否健全</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5"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制度执行有效性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项目档案资料完整性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exact"/>
          <w:jc w:val="center"/>
        </w:trPr>
        <w:tc>
          <w:tcPr>
            <w:tcW w:w="3502"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40</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1.项目财务管理（</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（1）</w:t>
      </w:r>
      <w:r>
        <w:rPr>
          <w:rFonts w:hint="eastAsia" w:ascii="仿宋" w:hAnsi="仿宋" w:eastAsia="仿宋" w:cs="仿宋"/>
          <w:sz w:val="30"/>
          <w:szCs w:val="30"/>
          <w:highlight w:val="none"/>
          <w:lang w:eastAsia="zh-CN"/>
        </w:rPr>
        <w:t>专项资金</w:t>
      </w:r>
      <w:r>
        <w:rPr>
          <w:rFonts w:hint="eastAsia" w:ascii="仿宋" w:hAnsi="仿宋" w:eastAsia="仿宋" w:cs="仿宋"/>
          <w:sz w:val="30"/>
          <w:szCs w:val="30"/>
          <w:highlight w:val="none"/>
        </w:rPr>
        <w:t>使用率（</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该项目2022年</w:t>
      </w:r>
      <w:r>
        <w:rPr>
          <w:rFonts w:hint="eastAsia" w:ascii="仿宋" w:hAnsi="仿宋" w:eastAsia="仿宋" w:cs="仿宋"/>
          <w:sz w:val="30"/>
          <w:szCs w:val="30"/>
          <w:highlight w:val="none"/>
          <w:lang w:eastAsia="zh-CN"/>
        </w:rPr>
        <w:t>度共安排</w:t>
      </w:r>
      <w:r>
        <w:rPr>
          <w:rFonts w:hint="eastAsia" w:ascii="仿宋" w:hAnsi="仿宋" w:eastAsia="仿宋" w:cs="仿宋"/>
          <w:sz w:val="30"/>
          <w:szCs w:val="30"/>
          <w:highlight w:val="none"/>
          <w:lang w:val="en-US" w:eastAsia="zh-CN"/>
        </w:rPr>
        <w:t>专项债券资金3,100.00</w:t>
      </w:r>
      <w:r>
        <w:rPr>
          <w:rFonts w:hint="eastAsia" w:ascii="仿宋" w:hAnsi="仿宋" w:eastAsia="仿宋" w:cs="仿宋"/>
          <w:sz w:val="30"/>
          <w:szCs w:val="30"/>
          <w:highlight w:val="none"/>
          <w:lang w:eastAsia="zh-CN"/>
        </w:rPr>
        <w:t>万元，2022年</w:t>
      </w:r>
      <w:r>
        <w:rPr>
          <w:rFonts w:hint="eastAsia" w:ascii="仿宋" w:hAnsi="仿宋" w:eastAsia="仿宋" w:cs="仿宋"/>
          <w:sz w:val="30"/>
          <w:szCs w:val="30"/>
          <w:highlight w:val="none"/>
        </w:rPr>
        <w:t>度</w:t>
      </w:r>
      <w:r>
        <w:rPr>
          <w:rFonts w:hint="eastAsia" w:ascii="仿宋" w:hAnsi="仿宋" w:eastAsia="仿宋" w:cs="仿宋"/>
          <w:sz w:val="30"/>
          <w:szCs w:val="30"/>
          <w:highlight w:val="none"/>
          <w:lang w:val="en-US" w:eastAsia="zh-CN"/>
        </w:rPr>
        <w:t>共使用专项债券资金3,100.00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资金数额占专项</w:t>
      </w:r>
      <w:r>
        <w:rPr>
          <w:rFonts w:hint="eastAsia" w:ascii="仿宋" w:hAnsi="仿宋" w:eastAsia="仿宋" w:cs="仿宋"/>
          <w:sz w:val="30"/>
          <w:szCs w:val="30"/>
          <w:highlight w:val="none"/>
          <w:lang w:val="en-US" w:eastAsia="zh-CN"/>
        </w:rPr>
        <w:t>债券</w:t>
      </w:r>
      <w:r>
        <w:rPr>
          <w:rFonts w:hint="eastAsia" w:ascii="仿宋" w:hAnsi="仿宋" w:eastAsia="仿宋" w:cs="仿宋"/>
          <w:sz w:val="30"/>
          <w:szCs w:val="30"/>
          <w:highlight w:val="none"/>
        </w:rPr>
        <w:t>资金拨付额的比例为</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7*100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（2）会计核算（</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会计核算是否严格遵守有关法规及制度规定，会计核算是否规范，专项资金支付申报、审批流程是否完善、支付依据是否合法。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经检查，该项目资金按照合同要求的付款进度进行支付；</w:t>
      </w:r>
      <w:r>
        <w:rPr>
          <w:rFonts w:hint="eastAsia" w:ascii="仿宋" w:hAnsi="仿宋" w:eastAsia="仿宋" w:cs="仿宋"/>
          <w:sz w:val="30"/>
          <w:szCs w:val="30"/>
          <w:highlight w:val="none"/>
          <w:lang w:val="en-US" w:eastAsia="zh-CN"/>
        </w:rPr>
        <w:t>曲阳县住房和城乡建设局</w:t>
      </w:r>
      <w:r>
        <w:rPr>
          <w:rFonts w:hint="eastAsia" w:ascii="仿宋" w:hAnsi="仿宋" w:eastAsia="仿宋" w:cs="仿宋"/>
          <w:sz w:val="30"/>
          <w:szCs w:val="30"/>
          <w:highlight w:val="none"/>
          <w:lang w:eastAsia="zh-CN"/>
        </w:rPr>
        <w:t>会计核算严格遵守《政府会计制度》的相关规定，科目使用正确，核算规范；各项资金的支付申报、审批流程完善，支付依据合法合规。</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（3）资金支出合规性（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经检查，该项目</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w:t>
      </w:r>
      <w:r>
        <w:rPr>
          <w:rFonts w:hint="eastAsia" w:ascii="仿宋" w:hAnsi="仿宋" w:eastAsia="仿宋" w:cs="仿宋"/>
          <w:sz w:val="30"/>
          <w:szCs w:val="30"/>
          <w:highlight w:val="none"/>
          <w:lang w:val="en-US" w:eastAsia="zh-CN"/>
        </w:rPr>
        <w:t>均用于项目工程款支付，</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val="en-US" w:eastAsia="zh-CN"/>
        </w:rPr>
        <w:t>资金通过国库集中支付，</w:t>
      </w:r>
      <w:r>
        <w:rPr>
          <w:rFonts w:hint="eastAsia" w:ascii="仿宋" w:hAnsi="仿宋" w:eastAsia="仿宋" w:cs="仿宋"/>
          <w:sz w:val="30"/>
          <w:szCs w:val="30"/>
          <w:highlight w:val="none"/>
        </w:rPr>
        <w:t>不存在截留、挤占、挪用等违规行为。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2.项目业务管理（</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57" w:name="_Toc83630335"/>
      <w:bookmarkStart w:id="58" w:name="_Toc30993"/>
      <w:bookmarkStart w:id="59" w:name="_Toc83631045"/>
      <w:bookmarkStart w:id="60" w:name="_Toc6507"/>
      <w:bookmarkStart w:id="61" w:name="_Toc21112"/>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管理制度是否健全</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项目制定的管理制度和措施是否全面、明确、合理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能否保障项目顺利实施</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《曲阳县木道沟综合整治工程可行性研究报告》第七章 项目组织与管理中明确了项目过程管理要求，有效保障了项目的顺利实施；项目《实施方案》中明确了项目资金管理方案，保障了</w:t>
      </w:r>
      <w:r>
        <w:rPr>
          <w:rFonts w:hint="eastAsia" w:ascii="仿宋" w:hAnsi="仿宋" w:eastAsia="仿宋" w:cs="仿宋"/>
          <w:sz w:val="30"/>
          <w:szCs w:val="30"/>
          <w:highlight w:val="none"/>
        </w:rPr>
        <w:t>债券资金</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合规使用，提高</w:t>
      </w:r>
      <w:r>
        <w:rPr>
          <w:rFonts w:hint="eastAsia" w:ascii="仿宋" w:hAnsi="仿宋" w:eastAsia="仿宋" w:cs="仿宋"/>
          <w:sz w:val="30"/>
          <w:szCs w:val="30"/>
          <w:highlight w:val="none"/>
          <w:lang w:eastAsia="zh-CN"/>
        </w:rPr>
        <w:t>了</w:t>
      </w:r>
      <w:r>
        <w:rPr>
          <w:rFonts w:hint="eastAsia" w:ascii="仿宋" w:hAnsi="仿宋" w:eastAsia="仿宋" w:cs="仿宋"/>
          <w:sz w:val="30"/>
          <w:szCs w:val="30"/>
          <w:highlight w:val="none"/>
        </w:rPr>
        <w:t>债券资金</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使用效率</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制度执行有效性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项目实施是否符合相关法律法规、业务管理制度的规定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val="en-US" w:eastAsia="zh-CN"/>
        </w:rPr>
        <w:t>评估</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项目实施</w:t>
      </w:r>
      <w:r>
        <w:rPr>
          <w:rFonts w:hint="eastAsia" w:ascii="仿宋" w:hAnsi="仿宋" w:eastAsia="仿宋" w:cs="仿宋"/>
          <w:sz w:val="30"/>
          <w:szCs w:val="30"/>
          <w:highlight w:val="none"/>
        </w:rPr>
        <w:t>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项目档案资料完整性（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项目档案资料是否齐全，保存是否完整。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2022年6月28日订立的勘察设计施工总承包合同显示，项目计划于2022年12月底完工，截至评估日，项目建设仍未完成，经询问相关人员，预计于2023年度完成项目建设。项目存在延期情况，但未签署工程延期的补充协议。</w:t>
      </w:r>
      <w:r>
        <w:rPr>
          <w:rFonts w:hint="eastAsia" w:ascii="仿宋" w:hAnsi="仿宋" w:eastAsia="仿宋" w:cs="仿宋"/>
          <w:sz w:val="30"/>
          <w:szCs w:val="30"/>
          <w:highlight w:val="none"/>
        </w:rPr>
        <w:t>项目档案资料</w:t>
      </w:r>
      <w:r>
        <w:rPr>
          <w:rFonts w:hint="eastAsia" w:ascii="仿宋" w:hAnsi="仿宋" w:eastAsia="仿宋" w:cs="仿宋"/>
          <w:sz w:val="30"/>
          <w:szCs w:val="30"/>
          <w:highlight w:val="none"/>
          <w:lang w:eastAsia="zh-CN"/>
        </w:rPr>
        <w:t>完整程度有待加强，扣</w:t>
      </w:r>
      <w:r>
        <w:rPr>
          <w:rFonts w:hint="eastAsia" w:ascii="仿宋" w:hAnsi="仿宋" w:eastAsia="仿宋" w:cs="仿宋"/>
          <w:sz w:val="30"/>
          <w:szCs w:val="30"/>
          <w:highlight w:val="none"/>
          <w:lang w:val="en-US" w:eastAsia="zh-CN"/>
        </w:rPr>
        <w:t>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（三）项目产出（</w:t>
      </w:r>
      <w:r>
        <w:rPr>
          <w:rFonts w:hint="eastAsia" w:ascii="仿宋" w:hAnsi="仿宋" w:eastAsia="仿宋" w:cs="仿宋"/>
          <w:b w:val="0"/>
          <w:bCs w:val="0"/>
          <w:sz w:val="30"/>
          <w:szCs w:val="30"/>
          <w:highlight w:val="none"/>
          <w:lang w:val="en-US" w:eastAsia="zh-CN"/>
        </w:rPr>
        <w:t>10</w:t>
      </w:r>
      <w:r>
        <w:rPr>
          <w:rFonts w:hint="eastAsia" w:ascii="仿宋" w:hAnsi="仿宋" w:eastAsia="仿宋" w:cs="仿宋"/>
          <w:b w:val="0"/>
          <w:bCs w:val="0"/>
          <w:sz w:val="30"/>
          <w:szCs w:val="30"/>
          <w:highlight w:val="none"/>
        </w:rPr>
        <w:t>分）</w:t>
      </w:r>
      <w:bookmarkEnd w:id="57"/>
      <w:bookmarkEnd w:id="58"/>
      <w:bookmarkEnd w:id="59"/>
      <w:bookmarkEnd w:id="60"/>
      <w:bookmarkEnd w:id="61"/>
    </w:p>
    <w:p>
      <w:pPr>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该一级指标包含1个二级指标</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个三级指标，主要</w:t>
      </w:r>
      <w:r>
        <w:rPr>
          <w:rFonts w:hint="eastAsia" w:ascii="仿宋" w:hAnsi="仿宋" w:eastAsia="仿宋" w:cs="仿宋"/>
          <w:sz w:val="30"/>
          <w:szCs w:val="30"/>
          <w:highlight w:val="none"/>
          <w:lang w:val="en-US" w:eastAsia="zh-CN"/>
        </w:rPr>
        <w:t>从实际完成率、完成及时率</w:t>
      </w:r>
      <w:r>
        <w:rPr>
          <w:rFonts w:hint="eastAsia" w:ascii="仿宋" w:hAnsi="仿宋" w:eastAsia="仿宋" w:cs="仿宋"/>
          <w:sz w:val="30"/>
          <w:szCs w:val="30"/>
          <w:highlight w:val="none"/>
        </w:rPr>
        <w:t>是否达到预期</w:t>
      </w:r>
      <w:r>
        <w:rPr>
          <w:rFonts w:hint="eastAsia" w:ascii="仿宋" w:hAnsi="仿宋" w:eastAsia="仿宋" w:cs="仿宋"/>
          <w:sz w:val="30"/>
          <w:szCs w:val="30"/>
          <w:highlight w:val="none"/>
          <w:lang w:val="en-US" w:eastAsia="zh-CN"/>
        </w:rPr>
        <w:t>目标</w:t>
      </w:r>
      <w:r>
        <w:rPr>
          <w:rFonts w:hint="eastAsia" w:ascii="仿宋" w:hAnsi="仿宋" w:eastAsia="仿宋" w:cs="仿宋"/>
          <w:sz w:val="30"/>
          <w:szCs w:val="30"/>
          <w:highlight w:val="none"/>
        </w:rPr>
        <w:t>。</w:t>
      </w:r>
    </w:p>
    <w:tbl>
      <w:tblPr>
        <w:tblStyle w:val="19"/>
        <w:tblW w:w="4992" w:type="pct"/>
        <w:jc w:val="center"/>
        <w:tblLayout w:type="autofit"/>
        <w:tblCellMar>
          <w:top w:w="15" w:type="dxa"/>
          <w:left w:w="15" w:type="dxa"/>
          <w:bottom w:w="15" w:type="dxa"/>
          <w:right w:w="15" w:type="dxa"/>
        </w:tblCellMar>
      </w:tblPr>
      <w:tblGrid>
        <w:gridCol w:w="1666"/>
        <w:gridCol w:w="1447"/>
        <w:gridCol w:w="3994"/>
        <w:gridCol w:w="1462"/>
        <w:gridCol w:w="1084"/>
      </w:tblGrid>
      <w:tr>
        <w:trPr>
          <w:trHeight w:val="746" w:hRule="exact"/>
          <w:jc w:val="center"/>
        </w:trPr>
        <w:tc>
          <w:tcPr>
            <w:tcW w:w="863"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749"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067"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57"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561"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853" w:hRule="exact"/>
          <w:jc w:val="center"/>
        </w:trPr>
        <w:tc>
          <w:tcPr>
            <w:tcW w:w="863"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10</w:t>
            </w:r>
            <w:r>
              <w:rPr>
                <w:rFonts w:hint="eastAsia" w:ascii="仿宋" w:hAnsi="仿宋" w:eastAsia="仿宋" w:cs="仿宋"/>
                <w:color w:val="000000"/>
                <w:kern w:val="0"/>
                <w:sz w:val="24"/>
                <w:szCs w:val="24"/>
                <w:highlight w:val="none"/>
              </w:rPr>
              <w:t>分）</w:t>
            </w:r>
          </w:p>
        </w:tc>
        <w:tc>
          <w:tcPr>
            <w:tcW w:w="749"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w:t>
            </w:r>
            <w:r>
              <w:rPr>
                <w:rFonts w:hint="eastAsia" w:ascii="仿宋" w:hAnsi="仿宋" w:eastAsia="仿宋" w:cs="仿宋"/>
                <w:color w:val="000000"/>
                <w:kern w:val="0"/>
                <w:sz w:val="24"/>
                <w:szCs w:val="24"/>
                <w:highlight w:val="none"/>
                <w:lang w:val="en-US" w:eastAsia="zh-CN"/>
              </w:rPr>
              <w:t>产出</w:t>
            </w:r>
          </w:p>
        </w:tc>
        <w:tc>
          <w:tcPr>
            <w:tcW w:w="206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实际完成率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5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0</w:t>
            </w:r>
          </w:p>
        </w:tc>
      </w:tr>
      <w:tr>
        <w:trPr>
          <w:trHeight w:val="828" w:hRule="exact"/>
          <w:jc w:val="center"/>
        </w:trPr>
        <w:tc>
          <w:tcPr>
            <w:tcW w:w="863" w:type="pct"/>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49"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完成及时率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56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0</w:t>
            </w:r>
          </w:p>
        </w:tc>
      </w:tr>
      <w:tr>
        <w:trPr>
          <w:trHeight w:val="609" w:hRule="exac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10</w:t>
            </w:r>
          </w:p>
        </w:tc>
        <w:tc>
          <w:tcPr>
            <w:tcW w:w="56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62" w:name="_Toc83630336"/>
      <w:bookmarkStart w:id="63" w:name="_Toc83631046"/>
      <w:bookmarkStart w:id="64" w:name="_Toc833"/>
      <w:bookmarkStart w:id="65" w:name="_Toc1929"/>
      <w:bookmarkStart w:id="66" w:name="_Toc16415"/>
      <w:r>
        <w:rPr>
          <w:rFonts w:hint="eastAsia" w:ascii="仿宋" w:hAnsi="仿宋" w:eastAsia="仿宋" w:cs="仿宋"/>
          <w:sz w:val="30"/>
          <w:szCs w:val="30"/>
          <w:highlight w:val="none"/>
          <w:lang w:val="en-US" w:eastAsia="zh-CN"/>
        </w:rPr>
        <w:t>1.实际完成率（5分）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该指标主要评估项目实施的实际产出数与计划产出数的比率，用以反映和考核项目产出数量目标的实现程度。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计划于2022年12月底完工，该项目实际于2022年6月28日开工建设，截至评估日，项目未完工，未提供项目进度证明的相关材料，无法考核该指标完成情况。由于项目未按计划进度完成项目建设，扣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2.完成及时率（5分）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该指标主要评估项目实际提前完成时间与计划完成时间的比率，用以反映和考核项目产出时效目标的实现程度。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施工合同显示项目计划于2023年12月底完工，截至评估日，项目未完工，曲阳县住房和城乡建设局提供的相关情况说明显示，未按期完工的主要原因为疫情影响和用地审批，延误了工期。项目预计2023年底完成项目建设，项目实施进度较为缓慢，扣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该项指标实际得分0分。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（四）项目效果（</w:t>
      </w:r>
      <w:r>
        <w:rPr>
          <w:rFonts w:hint="eastAsia" w:ascii="仿宋" w:hAnsi="仿宋" w:eastAsia="仿宋" w:cs="仿宋"/>
          <w:b w:val="0"/>
          <w:bCs w:val="0"/>
          <w:sz w:val="30"/>
          <w:szCs w:val="30"/>
          <w:highlight w:val="none"/>
          <w:lang w:val="en-US" w:eastAsia="zh-CN"/>
        </w:rPr>
        <w:t>30</w:t>
      </w:r>
      <w:r>
        <w:rPr>
          <w:rFonts w:hint="eastAsia" w:ascii="仿宋" w:hAnsi="仿宋" w:eastAsia="仿宋" w:cs="仿宋"/>
          <w:b w:val="0"/>
          <w:bCs w:val="0"/>
          <w:sz w:val="30"/>
          <w:szCs w:val="30"/>
          <w:highlight w:val="none"/>
        </w:rPr>
        <w:t>分）</w:t>
      </w:r>
      <w:bookmarkEnd w:id="62"/>
      <w:bookmarkEnd w:id="63"/>
      <w:bookmarkEnd w:id="64"/>
      <w:bookmarkEnd w:id="65"/>
      <w:bookmarkEnd w:id="6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一级指标包含项目效益1个二级指标和3个三级指标，分别是社会效益、生态效益、可持续影响力。主要评估项目实施后所产生的各种效益，包括项目实施对社会发展、生态环境所带来的直接或间接影响情况、项目实施的可持续影响程度等。</w:t>
      </w:r>
    </w:p>
    <w:tbl>
      <w:tblPr>
        <w:tblStyle w:val="19"/>
        <w:tblW w:w="0" w:type="auto"/>
        <w:jc w:val="center"/>
        <w:tblLayout w:type="fixed"/>
        <w:tblCellMar>
          <w:top w:w="15" w:type="dxa"/>
          <w:left w:w="15" w:type="dxa"/>
          <w:bottom w:w="15" w:type="dxa"/>
          <w:right w:w="15" w:type="dxa"/>
        </w:tblCellMar>
      </w:tblPr>
      <w:tblGrid>
        <w:gridCol w:w="1591"/>
        <w:gridCol w:w="1489"/>
        <w:gridCol w:w="2588"/>
        <w:gridCol w:w="1434"/>
        <w:gridCol w:w="1490"/>
      </w:tblGrid>
      <w:tr>
        <w:tblPrEx>
          <w:tblCellMar>
            <w:top w:w="15" w:type="dxa"/>
            <w:left w:w="15" w:type="dxa"/>
            <w:bottom w:w="15" w:type="dxa"/>
            <w:right w:w="15" w:type="dxa"/>
          </w:tblCellMar>
        </w:tblPrEx>
        <w:trPr>
          <w:trHeight w:val="454" w:hRule="exact"/>
          <w:jc w:val="center"/>
        </w:trPr>
        <w:tc>
          <w:tcPr>
            <w:tcW w:w="15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一级指标</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二级指标</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三级指标</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分数权重</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得分</w:t>
            </w:r>
          </w:p>
        </w:tc>
      </w:tr>
      <w:tr>
        <w:tblPrEx>
          <w:tblCellMar>
            <w:top w:w="15" w:type="dxa"/>
            <w:left w:w="15" w:type="dxa"/>
            <w:bottom w:w="15" w:type="dxa"/>
            <w:right w:w="15" w:type="dxa"/>
          </w:tblCellMar>
        </w:tblPrEx>
        <w:trPr>
          <w:trHeight w:val="746" w:hRule="exact"/>
          <w:jc w:val="center"/>
        </w:trPr>
        <w:tc>
          <w:tcPr>
            <w:tcW w:w="1591"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项目效果</w:t>
            </w:r>
          </w:p>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w:t>
            </w:r>
            <w:r>
              <w:rPr>
                <w:rFonts w:hint="eastAsia" w:ascii="仿宋" w:hAnsi="仿宋" w:eastAsia="仿宋" w:cs="仿宋"/>
                <w:color w:val="000000"/>
                <w:kern w:val="0"/>
                <w:sz w:val="24"/>
                <w:szCs w:val="24"/>
                <w:highlight w:val="none"/>
                <w:lang w:val="en-US" w:eastAsia="zh-CN" w:bidi="ar"/>
              </w:rPr>
              <w:t>30</w:t>
            </w:r>
            <w:r>
              <w:rPr>
                <w:rFonts w:hint="eastAsia" w:ascii="仿宋" w:hAnsi="仿宋" w:eastAsia="仿宋" w:cs="仿宋"/>
                <w:color w:val="000000"/>
                <w:kern w:val="0"/>
                <w:sz w:val="24"/>
                <w:szCs w:val="24"/>
                <w:highlight w:val="none"/>
                <w:lang w:bidi="ar"/>
              </w:rPr>
              <w:t>分）</w:t>
            </w:r>
          </w:p>
        </w:tc>
        <w:tc>
          <w:tcPr>
            <w:tcW w:w="1489"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项目效益</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社会效益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746" w:hRule="exact"/>
          <w:jc w:val="center"/>
        </w:trPr>
        <w:tc>
          <w:tcPr>
            <w:tcW w:w="1591"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p>
        </w:tc>
        <w:tc>
          <w:tcPr>
            <w:tcW w:w="1489"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生态效益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694" w:hRule="exact"/>
          <w:jc w:val="center"/>
        </w:trPr>
        <w:tc>
          <w:tcPr>
            <w:tcW w:w="1591"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1489"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可持续影响力</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596" w:hRule="exact"/>
          <w:jc w:val="center"/>
        </w:trPr>
        <w:tc>
          <w:tcPr>
            <w:tcW w:w="566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合  计</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1.社会效益（10分）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该指标主要评估该项目实施对社会发展所带来的直接或间接影响情况。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通过项目建设，使区域内防洪标准有较大提高，区域内人民生命财产和经济社会发展的防洪安全保障问题得到初步解决，为城镇建设、群众安居乐业、社会繁荣稳定提供良好的基础，预计将产生较好的社会效益。</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2.生态效益（10分）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该指标主要评价项目实施对生态环境所带来的直接或间接影响情况。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经评估，通过项目建设，不仅能够恢复木道沟泄洪功能，推进水土流失综合治理，保持小流域区域水土，同时将改善白洋淀上游生态环境，助力雄安新区建设，预计将产生良好的生态效益。</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3.可持续影响力（10分）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w:t>
      </w:r>
      <w:r>
        <w:rPr>
          <w:rFonts w:hint="default" w:ascii="仿宋" w:hAnsi="仿宋" w:eastAsia="仿宋" w:cs="仿宋"/>
          <w:sz w:val="30"/>
          <w:szCs w:val="30"/>
          <w:highlight w:val="none"/>
          <w:lang w:val="en-US" w:eastAsia="zh-CN"/>
        </w:rPr>
        <w:t>项目后续运行及成效发挥的可持续影响情况。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经评估，通过项目建设，将实现木道沟功能提升，加快生态文明建设和美丽中国建设进程，贯彻绿色发展理念，破解生态环境难题。预期可持续影响效果较好。</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highlight w:val="none"/>
        </w:rPr>
      </w:pPr>
      <w:bookmarkStart w:id="67" w:name="_Toc6602"/>
      <w:bookmarkStart w:id="68" w:name="_Toc501368363"/>
      <w:bookmarkStart w:id="69" w:name="_Toc83630434"/>
      <w:bookmarkStart w:id="70" w:name="_Toc10985"/>
      <w:bookmarkStart w:id="71" w:name="_Toc2211"/>
      <w:bookmarkStart w:id="72" w:name="_Toc83631048"/>
      <w:bookmarkStart w:id="73" w:name="_Toc24878"/>
      <w:bookmarkStart w:id="74" w:name="_Toc12802"/>
      <w:r>
        <w:rPr>
          <w:rFonts w:hint="eastAsia" w:ascii="仿宋" w:hAnsi="仿宋" w:eastAsia="仿宋" w:cs="仿宋"/>
          <w:sz w:val="32"/>
          <w:szCs w:val="32"/>
          <w:highlight w:val="none"/>
          <w:lang w:val="en-US" w:eastAsia="zh-CN"/>
        </w:rPr>
        <w:t>六</w:t>
      </w:r>
      <w:r>
        <w:rPr>
          <w:rFonts w:hint="eastAsia" w:ascii="仿宋" w:hAnsi="仿宋" w:eastAsia="仿宋" w:cs="仿宋"/>
          <w:sz w:val="32"/>
          <w:szCs w:val="32"/>
          <w:highlight w:val="none"/>
        </w:rPr>
        <w:t>、项目综合</w:t>
      </w:r>
      <w:bookmarkEnd w:id="67"/>
      <w:bookmarkEnd w:id="68"/>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结论和</w:t>
      </w: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等级</w:t>
      </w:r>
      <w:bookmarkEnd w:id="69"/>
      <w:bookmarkEnd w:id="70"/>
      <w:bookmarkEnd w:id="71"/>
      <w:bookmarkEnd w:id="72"/>
      <w:bookmarkEnd w:id="73"/>
      <w:bookmarkEnd w:id="7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75" w:name="_Toc501368364"/>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确定</w:t>
      </w:r>
      <w:bookmarkEnd w:id="75"/>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lang w:val="en-US" w:eastAsia="zh-CN"/>
        </w:rPr>
        <w:t>分值：82分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等级</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良</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3.项目综合</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结论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76" w:name="_Toc28969"/>
      <w:bookmarkStart w:id="77" w:name="_Toc83630435"/>
      <w:bookmarkStart w:id="78" w:name="_Toc83631049"/>
      <w:bookmarkStart w:id="79" w:name="_Toc25027"/>
      <w:r>
        <w:rPr>
          <w:rFonts w:hint="eastAsia" w:ascii="仿宋" w:hAnsi="仿宋" w:eastAsia="仿宋" w:cs="仿宋"/>
          <w:sz w:val="30"/>
          <w:szCs w:val="30"/>
          <w:highlight w:val="none"/>
        </w:rPr>
        <w:t>该项目严格</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资金使用管理，</w:t>
      </w:r>
      <w:bookmarkEnd w:id="76"/>
      <w:bookmarkEnd w:id="77"/>
      <w:bookmarkEnd w:id="78"/>
      <w:bookmarkEnd w:id="79"/>
      <w:r>
        <w:rPr>
          <w:rFonts w:hint="eastAsia" w:ascii="仿宋" w:hAnsi="仿宋" w:eastAsia="仿宋" w:cs="仿宋"/>
          <w:sz w:val="30"/>
          <w:szCs w:val="30"/>
          <w:highlight w:val="none"/>
          <w:lang w:val="en-US" w:eastAsia="zh-CN"/>
        </w:rPr>
        <w:t>专项债券资金于2022年度完成支付，全部为工程款支出，</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无结余资金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截至评估日，项目未完工，存在工程延期情况。通过项目实施，不仅可恢复木道沟泄洪功能，推进水土流失综合治理，保持小流域区域水土，同时将改善白洋淀上游生态环境，助力雄安新区建设。预期社会效益、生态效益和可持续影响效果较好</w:t>
      </w:r>
      <w:r>
        <w:rPr>
          <w:rFonts w:hint="eastAsia" w:ascii="仿宋" w:hAnsi="仿宋" w:eastAsia="仿宋" w:cs="仿宋"/>
          <w:sz w:val="30"/>
          <w:szCs w:val="30"/>
          <w:highlight w:val="none"/>
        </w:rPr>
        <w:t>。</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rPr>
      </w:pPr>
      <w:bookmarkStart w:id="80" w:name="_Toc7207"/>
      <w:bookmarkStart w:id="81" w:name="_Toc83630436"/>
      <w:bookmarkStart w:id="82" w:name="_Toc83631050"/>
      <w:bookmarkStart w:id="83" w:name="_Toc30518"/>
      <w:bookmarkStart w:id="84" w:name="_Toc22941"/>
      <w:bookmarkStart w:id="85" w:name="_Toc27278"/>
      <w:r>
        <w:rPr>
          <w:rFonts w:hint="eastAsia" w:ascii="仿宋" w:hAnsi="仿宋" w:eastAsia="仿宋" w:cs="仿宋"/>
          <w:bCs/>
          <w:sz w:val="32"/>
          <w:szCs w:val="32"/>
          <w:highlight w:val="none"/>
          <w:lang w:val="en-US" w:eastAsia="zh-CN"/>
        </w:rPr>
        <w:t>七</w:t>
      </w:r>
      <w:r>
        <w:rPr>
          <w:rFonts w:hint="eastAsia" w:ascii="仿宋" w:hAnsi="仿宋" w:eastAsia="仿宋" w:cs="仿宋"/>
          <w:bCs/>
          <w:sz w:val="32"/>
          <w:szCs w:val="32"/>
          <w:highlight w:val="none"/>
        </w:rPr>
        <w:t>、存在的问题</w:t>
      </w:r>
      <w:bookmarkEnd w:id="80"/>
      <w:bookmarkEnd w:id="81"/>
      <w:bookmarkEnd w:id="82"/>
      <w:bookmarkEnd w:id="83"/>
      <w:bookmarkEnd w:id="84"/>
      <w:bookmarkEnd w:id="8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该项目取得的成绩是肯定的，但在实现绩效目标过程中也存在一些不足之处，具体归纳为：</w:t>
      </w:r>
    </w:p>
    <w:p>
      <w:pPr>
        <w:pageBreakBefore w:val="0"/>
        <w:numPr>
          <w:ilvl w:val="0"/>
          <w:numId w:val="3"/>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绩效目标设定方面</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项目绩效目标表中绩效目标设置较为宽泛，不够具体，不利于绩效目标实现情况的后期考核。</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（二）</w:t>
      </w:r>
      <w:r>
        <w:rPr>
          <w:rFonts w:hint="eastAsia" w:ascii="仿宋" w:hAnsi="仿宋" w:eastAsia="仿宋" w:cs="仿宋"/>
          <w:sz w:val="30"/>
          <w:szCs w:val="30"/>
          <w:highlight w:val="none"/>
          <w:lang w:eastAsia="zh-CN"/>
        </w:rPr>
        <w:t>绩效指标设定</w:t>
      </w:r>
      <w:r>
        <w:rPr>
          <w:rFonts w:hint="eastAsia" w:ascii="仿宋" w:hAnsi="仿宋" w:eastAsia="仿宋" w:cs="仿宋"/>
          <w:sz w:val="30"/>
          <w:szCs w:val="30"/>
          <w:highlight w:val="none"/>
          <w:lang w:val="en-US" w:eastAsia="zh-CN"/>
        </w:rPr>
        <w:t>方面</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项目绩效目标表中绩效指标的明确性有待加强，</w:t>
      </w:r>
      <w:r>
        <w:rPr>
          <w:rFonts w:hint="eastAsia" w:ascii="仿宋" w:hAnsi="仿宋" w:eastAsia="仿宋" w:cs="仿宋"/>
          <w:sz w:val="30"/>
          <w:szCs w:val="30"/>
          <w:highlight w:val="none"/>
          <w:lang w:eastAsia="zh-CN"/>
        </w:rPr>
        <w:t>产出指标估计不足，指标</w:t>
      </w:r>
      <w:r>
        <w:rPr>
          <w:rFonts w:hint="eastAsia" w:ascii="仿宋" w:hAnsi="仿宋" w:eastAsia="仿宋" w:cs="仿宋"/>
          <w:sz w:val="30"/>
          <w:szCs w:val="30"/>
          <w:highlight w:val="none"/>
          <w:lang w:val="en-US" w:eastAsia="zh-CN"/>
        </w:rPr>
        <w:t>设置</w:t>
      </w:r>
      <w:r>
        <w:rPr>
          <w:rFonts w:hint="eastAsia" w:ascii="仿宋" w:hAnsi="仿宋" w:eastAsia="仿宋" w:cs="仿宋"/>
          <w:sz w:val="30"/>
          <w:szCs w:val="30"/>
          <w:highlight w:val="none"/>
          <w:lang w:eastAsia="zh-CN"/>
        </w:rPr>
        <w:t>不够细化，指标值</w:t>
      </w:r>
      <w:r>
        <w:rPr>
          <w:rFonts w:hint="eastAsia" w:ascii="仿宋" w:hAnsi="仿宋" w:eastAsia="仿宋" w:cs="仿宋"/>
          <w:sz w:val="30"/>
          <w:szCs w:val="30"/>
          <w:highlight w:val="none"/>
          <w:lang w:val="en-US" w:eastAsia="zh-CN"/>
        </w:rPr>
        <w:t>未能与年度工作任务相匹配，不利于考核年度任务完成情况</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（三）项目档案保管情况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项目实施单位项目档案资料管理工作有待加强，项目存在延期情况，但未签署关于项目延期的补充协议。</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（四）</w:t>
      </w:r>
      <w:bookmarkStart w:id="86" w:name="_Toc83631051"/>
      <w:bookmarkStart w:id="87" w:name="_Toc83630437"/>
      <w:bookmarkStart w:id="88" w:name="_Toc6530"/>
      <w:bookmarkStart w:id="89" w:name="_Toc23781"/>
      <w:r>
        <w:rPr>
          <w:rFonts w:hint="eastAsia" w:ascii="仿宋" w:hAnsi="仿宋" w:eastAsia="仿宋" w:cs="仿宋"/>
          <w:b w:val="0"/>
          <w:bCs w:val="0"/>
          <w:sz w:val="30"/>
          <w:szCs w:val="30"/>
          <w:highlight w:val="none"/>
          <w:lang w:val="en-US" w:eastAsia="zh-CN"/>
        </w:rPr>
        <w:t>项目实施进度方面</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受疫情、工地审批等</w:t>
      </w:r>
      <w:r>
        <w:rPr>
          <w:rFonts w:hint="eastAsia" w:ascii="仿宋" w:hAnsi="仿宋" w:eastAsia="仿宋"/>
          <w:sz w:val="32"/>
          <w:szCs w:val="32"/>
          <w:highlight w:val="none"/>
          <w:lang w:val="en-US" w:eastAsia="zh-CN"/>
        </w:rPr>
        <w:t>因素影响，</w:t>
      </w:r>
      <w:r>
        <w:rPr>
          <w:rFonts w:hint="eastAsia" w:ascii="仿宋" w:hAnsi="仿宋" w:eastAsia="仿宋" w:cs="仿宋"/>
          <w:sz w:val="30"/>
          <w:szCs w:val="30"/>
          <w:highlight w:val="none"/>
          <w:lang w:eastAsia="zh-CN"/>
        </w:rPr>
        <w:t>项目整体实施进度较慢，项目计划于</w:t>
      </w:r>
      <w:r>
        <w:rPr>
          <w:rFonts w:hint="eastAsia" w:ascii="仿宋" w:hAnsi="仿宋" w:eastAsia="仿宋" w:cs="仿宋"/>
          <w:sz w:val="30"/>
          <w:szCs w:val="30"/>
          <w:highlight w:val="none"/>
          <w:lang w:val="en-US" w:eastAsia="zh-CN"/>
        </w:rPr>
        <w:t>2022年12月底完成项目建设，但截至评估日，项目尚未建设完成，预计2023年末完工，项目过程控制有待加强。</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lang w:val="en-US" w:eastAsia="zh-CN"/>
        </w:rPr>
        <w:t>八、建议及改进措施</w:t>
      </w:r>
    </w:p>
    <w:p>
      <w:pPr>
        <w:pageBreakBefore w:val="0"/>
        <w:numPr>
          <w:ilvl w:val="0"/>
          <w:numId w:val="0"/>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（一）针对</w:t>
      </w:r>
      <w:r>
        <w:rPr>
          <w:rFonts w:hint="eastAsia" w:ascii="仿宋" w:hAnsi="仿宋" w:eastAsia="仿宋" w:cs="仿宋"/>
          <w:sz w:val="30"/>
          <w:szCs w:val="30"/>
          <w:highlight w:val="none"/>
          <w:lang w:eastAsia="zh-CN"/>
        </w:rPr>
        <w:t>绩效目标设定方面问题，建议项目实施单位加强对绩效目标设置的重视程度，按照项目实施计划和现实需求，制定较为明确、具体、与实际情况相符的绩效目标。</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（二）针对项目绩效指标未能与年度工作任务相匹配方面问题，建议项目实施单位细化绩效指标设置，对跨年度实施的项目，明确年度工作任务，制定合理的年度目标任务，从而更好的考核项目完成进度情况。</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（三） 针对项目档案管理方面，建议项目实施单位加强档案管理审核工作，增强档案资料的完整度。    </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（四）针对</w:t>
      </w:r>
      <w:r>
        <w:rPr>
          <w:rFonts w:hint="eastAsia" w:ascii="仿宋" w:hAnsi="仿宋" w:eastAsia="仿宋" w:cs="仿宋"/>
          <w:b w:val="0"/>
          <w:bCs w:val="0"/>
          <w:sz w:val="30"/>
          <w:szCs w:val="30"/>
          <w:highlight w:val="none"/>
          <w:lang w:val="en-US" w:eastAsia="zh-CN"/>
        </w:rPr>
        <w:t>项目实施进度方面问题，</w:t>
      </w:r>
      <w:r>
        <w:rPr>
          <w:rFonts w:hint="eastAsia" w:ascii="仿宋" w:hAnsi="仿宋" w:eastAsia="仿宋" w:cs="仿宋"/>
          <w:sz w:val="30"/>
          <w:szCs w:val="30"/>
          <w:highlight w:val="none"/>
          <w:lang w:val="en-US" w:eastAsia="zh-CN"/>
        </w:rPr>
        <w:t>建议项目实施单位加强项目过程控制，保证实施进度。</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sz w:val="30"/>
          <w:szCs w:val="30"/>
          <w:highlight w:val="none"/>
          <w:lang w:val="en-US" w:eastAsia="zh-CN"/>
        </w:rPr>
      </w:pPr>
    </w:p>
    <w:p>
      <w:pPr>
        <w:pStyle w:val="16"/>
        <w:rPr>
          <w:rFonts w:hint="default"/>
          <w:highlight w:val="none"/>
          <w:lang w:val="en-US" w:eastAsia="zh-CN"/>
        </w:rPr>
      </w:pPr>
    </w:p>
    <w:bookmarkEnd w:id="86"/>
    <w:bookmarkEnd w:id="87"/>
    <w:bookmarkEnd w:id="88"/>
    <w:bookmarkEnd w:id="89"/>
    <w:p>
      <w:pPr>
        <w:ind w:firstLine="7200" w:firstLineChars="2400"/>
        <w:rPr>
          <w:rFonts w:hint="eastAsia"/>
          <w:lang w:val="en-US" w:eastAsia="zh-CN"/>
        </w:rPr>
      </w:pPr>
      <w:r>
        <w:rPr>
          <w:rFonts w:hint="eastAsia" w:ascii="仿宋" w:hAnsi="仿宋" w:eastAsia="仿宋" w:cs="仿宋"/>
          <w:sz w:val="30"/>
          <w:szCs w:val="30"/>
          <w:highlight w:val="none"/>
        </w:rPr>
        <w:t xml:space="preserve">  </w:t>
      </w:r>
      <w:r>
        <w:rPr>
          <w:rFonts w:hint="eastAsia" w:ascii="仿宋" w:hAnsi="仿宋" w:eastAsia="仿宋" w:cs="仿宋"/>
          <w:sz w:val="30"/>
          <w:szCs w:val="30"/>
          <w:highlight w:val="none"/>
          <w:lang w:val="en-US" w:eastAsia="zh-CN"/>
        </w:rPr>
        <w:t>曲阳县财政局</w:t>
      </w:r>
    </w:p>
    <w:p>
      <w:pPr>
        <w:pageBreakBefore w:val="0"/>
        <w:kinsoku/>
        <w:wordWrap/>
        <w:overflowPunct/>
        <w:topLinePunct w:val="0"/>
        <w:autoSpaceDE/>
        <w:autoSpaceDN/>
        <w:bidi w:val="0"/>
        <w:adjustRightInd/>
        <w:snapToGrid/>
        <w:spacing w:line="560" w:lineRule="exact"/>
        <w:ind w:firstLine="7200" w:firstLineChars="24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2023年</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月</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日</w:t>
      </w: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highlight w:val="none"/>
          <w:lang w:eastAsia="zh-CN"/>
        </w:rPr>
      </w:pPr>
    </w:p>
    <w:sectPr>
      <w:pgSz w:w="11906" w:h="16838"/>
      <w:pgMar w:top="964" w:right="1134" w:bottom="964" w:left="1134" w:header="1134" w:footer="680"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abstractNum w:abstractNumId="1">
    <w:nsid w:val="1DD9EA77"/>
    <w:multiLevelType w:val="singleLevel"/>
    <w:tmpl w:val="1DD9EA77"/>
    <w:lvl w:ilvl="0" w:tentative="0">
      <w:start w:val="5"/>
      <w:numFmt w:val="chineseCounting"/>
      <w:suff w:val="nothing"/>
      <w:lvlText w:val="（%1）"/>
      <w:lvlJc w:val="left"/>
      <w:rPr>
        <w:rFonts w:hint="eastAsia"/>
      </w:rPr>
    </w:lvl>
  </w:abstractNum>
  <w:abstractNum w:abstractNumId="2">
    <w:nsid w:val="4FD98200"/>
    <w:multiLevelType w:val="singleLevel"/>
    <w:tmpl w:val="4FD98200"/>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yYWFlYmY1MDgzZjVkMTIyZDNjNGU3MzRhOTU3MzY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19D55FE"/>
    <w:rsid w:val="04141B96"/>
    <w:rsid w:val="055C757F"/>
    <w:rsid w:val="05D90BCF"/>
    <w:rsid w:val="07117BA8"/>
    <w:rsid w:val="07AF5EE3"/>
    <w:rsid w:val="098E39B9"/>
    <w:rsid w:val="0ADA152D"/>
    <w:rsid w:val="0D9E1C0C"/>
    <w:rsid w:val="0E047524"/>
    <w:rsid w:val="0E4B143D"/>
    <w:rsid w:val="0EF02E72"/>
    <w:rsid w:val="0F481A23"/>
    <w:rsid w:val="10814158"/>
    <w:rsid w:val="112F3D99"/>
    <w:rsid w:val="12844DC1"/>
    <w:rsid w:val="142E56E9"/>
    <w:rsid w:val="1823357E"/>
    <w:rsid w:val="187036B2"/>
    <w:rsid w:val="1A0F29BA"/>
    <w:rsid w:val="1B1A3889"/>
    <w:rsid w:val="1C850D11"/>
    <w:rsid w:val="1E145C1F"/>
    <w:rsid w:val="1F94354A"/>
    <w:rsid w:val="21460153"/>
    <w:rsid w:val="21DA3F9D"/>
    <w:rsid w:val="223D0F22"/>
    <w:rsid w:val="23FA3D93"/>
    <w:rsid w:val="23FA42D0"/>
    <w:rsid w:val="24743B37"/>
    <w:rsid w:val="25470B20"/>
    <w:rsid w:val="29483C47"/>
    <w:rsid w:val="2A8314C1"/>
    <w:rsid w:val="2A8F3BCE"/>
    <w:rsid w:val="2B872E60"/>
    <w:rsid w:val="2BCE0FAE"/>
    <w:rsid w:val="2CAF4831"/>
    <w:rsid w:val="2DFC5A4D"/>
    <w:rsid w:val="2F1D0509"/>
    <w:rsid w:val="3161561E"/>
    <w:rsid w:val="31AA78D1"/>
    <w:rsid w:val="321B7CF6"/>
    <w:rsid w:val="33DB598F"/>
    <w:rsid w:val="357F67EE"/>
    <w:rsid w:val="38963FA8"/>
    <w:rsid w:val="3A186A29"/>
    <w:rsid w:val="3A961760"/>
    <w:rsid w:val="3E792B8A"/>
    <w:rsid w:val="424E5255"/>
    <w:rsid w:val="42D9578F"/>
    <w:rsid w:val="436D3360"/>
    <w:rsid w:val="45361007"/>
    <w:rsid w:val="48A44F3A"/>
    <w:rsid w:val="494A68AB"/>
    <w:rsid w:val="4B6242FD"/>
    <w:rsid w:val="4D03459A"/>
    <w:rsid w:val="4E2540DD"/>
    <w:rsid w:val="4F0928DF"/>
    <w:rsid w:val="50EF2622"/>
    <w:rsid w:val="52381F73"/>
    <w:rsid w:val="53387659"/>
    <w:rsid w:val="55104550"/>
    <w:rsid w:val="555869E7"/>
    <w:rsid w:val="57F3068C"/>
    <w:rsid w:val="58D20590"/>
    <w:rsid w:val="5A4274FE"/>
    <w:rsid w:val="5D410D65"/>
    <w:rsid w:val="5E5B23C1"/>
    <w:rsid w:val="5E660CC1"/>
    <w:rsid w:val="5E6C52B2"/>
    <w:rsid w:val="5E8C78A8"/>
    <w:rsid w:val="5F6F6A11"/>
    <w:rsid w:val="626764BC"/>
    <w:rsid w:val="632A16BD"/>
    <w:rsid w:val="657965BE"/>
    <w:rsid w:val="661D5A78"/>
    <w:rsid w:val="663566D9"/>
    <w:rsid w:val="663B1AE6"/>
    <w:rsid w:val="67B21F12"/>
    <w:rsid w:val="67D461F9"/>
    <w:rsid w:val="690A5DF3"/>
    <w:rsid w:val="6B300AA0"/>
    <w:rsid w:val="6B570E2D"/>
    <w:rsid w:val="6B9306BB"/>
    <w:rsid w:val="6C726189"/>
    <w:rsid w:val="6E2053BF"/>
    <w:rsid w:val="6E3D39F9"/>
    <w:rsid w:val="6ECA1DC7"/>
    <w:rsid w:val="6F860363"/>
    <w:rsid w:val="6FA81A09"/>
    <w:rsid w:val="70350492"/>
    <w:rsid w:val="706C20E6"/>
    <w:rsid w:val="71D44901"/>
    <w:rsid w:val="71FD397A"/>
    <w:rsid w:val="720924FA"/>
    <w:rsid w:val="72B15531"/>
    <w:rsid w:val="73007C27"/>
    <w:rsid w:val="74B13A97"/>
    <w:rsid w:val="74DE6D70"/>
    <w:rsid w:val="75435570"/>
    <w:rsid w:val="76171091"/>
    <w:rsid w:val="790C5BF2"/>
    <w:rsid w:val="7A1A6C48"/>
    <w:rsid w:val="7AFE135D"/>
    <w:rsid w:val="7CEF1D89"/>
    <w:rsid w:val="7E494DA3"/>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next w:val="1"/>
    <w:qFormat/>
    <w:uiPriority w:val="0"/>
    <w:pPr>
      <w:autoSpaceDE w:val="0"/>
      <w:autoSpaceDN w:val="0"/>
      <w:adjustRightInd w:val="0"/>
      <w:spacing w:line="240" w:lineRule="auto"/>
      <w:ind w:firstLine="0" w:firstLineChars="0"/>
      <w:jc w:val="left"/>
    </w:pPr>
    <w:rPr>
      <w:rFonts w:ascii="宋体" w:hAnsi="宋体" w:cs="宋体"/>
      <w:kern w:val="0"/>
    </w:rPr>
  </w:style>
  <w:style w:type="paragraph" w:styleId="5">
    <w:name w:val="Body Text"/>
    <w:basedOn w:val="1"/>
    <w:next w:val="6"/>
    <w:unhideWhenUsed/>
    <w:qFormat/>
    <w:uiPriority w:val="1"/>
    <w:pPr>
      <w:spacing w:before="41"/>
      <w:ind w:left="121"/>
      <w:jc w:val="left"/>
    </w:pPr>
    <w:rPr>
      <w:rFonts w:ascii="仿宋" w:hAnsi="仿宋" w:eastAsia="仿宋"/>
      <w:kern w:val="0"/>
      <w:sz w:val="28"/>
      <w:szCs w:val="28"/>
      <w:lang w:eastAsia="en-US"/>
    </w:rPr>
  </w:style>
  <w:style w:type="paragraph" w:customStyle="1" w:styleId="6">
    <w:name w:val="_Style 2"/>
    <w:basedOn w:val="1"/>
    <w:qFormat/>
    <w:uiPriority w:val="0"/>
    <w:pPr>
      <w:ind w:firstLine="420" w:firstLineChars="200"/>
    </w:pPr>
  </w:style>
  <w:style w:type="paragraph" w:styleId="7">
    <w:name w:val="Body Text Indent"/>
    <w:basedOn w:val="1"/>
    <w:next w:val="1"/>
    <w:qFormat/>
    <w:uiPriority w:val="0"/>
    <w:pPr>
      <w:spacing w:line="380" w:lineRule="exact"/>
      <w:ind w:firstLine="480" w:firstLineChars="200"/>
    </w:pPr>
    <w:rPr>
      <w:rFonts w:ascii="宋体" w:hAnsi="宋体"/>
      <w:sz w:val="24"/>
    </w:rPr>
  </w:style>
  <w:style w:type="paragraph" w:styleId="8">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rPr>
      <w:rFonts w:ascii="宋体" w:hAnsi="宋体"/>
      <w:sz w:val="24"/>
    </w:rPr>
  </w:style>
  <w:style w:type="paragraph" w:styleId="11">
    <w:name w:val="Balloon Text"/>
    <w:basedOn w:val="1"/>
    <w:link w:val="28"/>
    <w:qFormat/>
    <w:uiPriority w:val="0"/>
    <w:rPr>
      <w:sz w:val="18"/>
      <w:szCs w:val="18"/>
    </w:rPr>
  </w:style>
  <w:style w:type="paragraph" w:styleId="12">
    <w:name w:val="footer"/>
    <w:basedOn w:val="1"/>
    <w:link w:val="27"/>
    <w:qFormat/>
    <w:uiPriority w:val="99"/>
    <w:pPr>
      <w:tabs>
        <w:tab w:val="center" w:pos="4153"/>
        <w:tab w:val="right" w:pos="8306"/>
      </w:tabs>
      <w:snapToGrid w:val="0"/>
      <w:jc w:val="left"/>
    </w:pPr>
    <w:rPr>
      <w:sz w:val="18"/>
      <w:szCs w:val="18"/>
    </w:rPr>
  </w:style>
  <w:style w:type="paragraph" w:styleId="13">
    <w:name w:val="header"/>
    <w:basedOn w:val="1"/>
    <w:link w:val="29"/>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footnote text"/>
    <w:basedOn w:val="1"/>
    <w:link w:val="30"/>
    <w:qFormat/>
    <w:uiPriority w:val="0"/>
    <w:pPr>
      <w:snapToGrid w:val="0"/>
      <w:jc w:val="left"/>
    </w:pPr>
    <w:rPr>
      <w:sz w:val="18"/>
      <w:szCs w:val="18"/>
    </w:rPr>
  </w:style>
  <w:style w:type="paragraph" w:styleId="16">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next w:val="1"/>
    <w:unhideWhenUsed/>
    <w:qFormat/>
    <w:uiPriority w:val="99"/>
    <w:pPr>
      <w:widowControl/>
      <w:spacing w:after="0" w:line="440" w:lineRule="exact"/>
      <w:ind w:left="0" w:leftChars="0" w:firstLine="420" w:firstLineChars="200"/>
      <w:jc w:val="left"/>
    </w:pPr>
    <w:rPr>
      <w:rFonts w:ascii="Times New Roman" w:hAnsi="Times New Roman" w:eastAsia="宋体" w:cs="Times New Roman"/>
      <w:color w:val="FF0000"/>
      <w:kern w:val="0"/>
      <w:sz w:val="28"/>
      <w:szCs w:val="24"/>
      <w:lang w:val="en-US" w:eastAsia="zh-CN" w:bidi="ar-SA"/>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style>
  <w:style w:type="character" w:styleId="23">
    <w:name w:val="Hyperlink"/>
    <w:basedOn w:val="21"/>
    <w:unhideWhenUsed/>
    <w:qFormat/>
    <w:uiPriority w:val="99"/>
    <w:rPr>
      <w:color w:val="0000FF" w:themeColor="hyperlink"/>
      <w:u w:val="single"/>
      <w14:textFill>
        <w14:solidFill>
          <w14:schemeClr w14:val="hlink"/>
        </w14:solidFill>
      </w14:textFill>
    </w:rPr>
  </w:style>
  <w:style w:type="character" w:styleId="24">
    <w:name w:val="footnote reference"/>
    <w:basedOn w:val="21"/>
    <w:qFormat/>
    <w:uiPriority w:val="0"/>
    <w:rPr>
      <w:vertAlign w:val="superscript"/>
    </w:rPr>
  </w:style>
  <w:style w:type="character" w:customStyle="1" w:styleId="25">
    <w:name w:val="无间隔 Char"/>
    <w:basedOn w:val="21"/>
    <w:link w:val="26"/>
    <w:qFormat/>
    <w:uiPriority w:val="1"/>
    <w:rPr>
      <w:rFonts w:ascii="Calibri" w:hAnsi="Calibri"/>
      <w:sz w:val="22"/>
      <w:szCs w:val="22"/>
      <w:lang w:val="en-US" w:eastAsia="zh-CN" w:bidi="ar-SA"/>
    </w:rPr>
  </w:style>
  <w:style w:type="paragraph" w:styleId="26">
    <w:name w:val="No Spacing"/>
    <w:link w:val="25"/>
    <w:qFormat/>
    <w:uiPriority w:val="1"/>
    <w:rPr>
      <w:rFonts w:ascii="Calibri" w:hAnsi="Calibri" w:eastAsia="宋体" w:cs="Times New Roman"/>
      <w:sz w:val="22"/>
      <w:szCs w:val="22"/>
      <w:lang w:val="en-US" w:eastAsia="zh-CN" w:bidi="ar-SA"/>
    </w:rPr>
  </w:style>
  <w:style w:type="character" w:customStyle="1" w:styleId="27">
    <w:name w:val="页脚 Char"/>
    <w:basedOn w:val="21"/>
    <w:link w:val="12"/>
    <w:qFormat/>
    <w:uiPriority w:val="99"/>
    <w:rPr>
      <w:kern w:val="2"/>
      <w:sz w:val="18"/>
      <w:szCs w:val="18"/>
    </w:rPr>
  </w:style>
  <w:style w:type="character" w:customStyle="1" w:styleId="28">
    <w:name w:val="批注框文本 Char"/>
    <w:basedOn w:val="21"/>
    <w:link w:val="11"/>
    <w:qFormat/>
    <w:uiPriority w:val="0"/>
    <w:rPr>
      <w:kern w:val="2"/>
      <w:sz w:val="18"/>
      <w:szCs w:val="18"/>
    </w:rPr>
  </w:style>
  <w:style w:type="character" w:customStyle="1" w:styleId="29">
    <w:name w:val="页眉 Char"/>
    <w:basedOn w:val="21"/>
    <w:link w:val="13"/>
    <w:qFormat/>
    <w:uiPriority w:val="99"/>
    <w:rPr>
      <w:kern w:val="2"/>
      <w:sz w:val="18"/>
      <w:szCs w:val="18"/>
    </w:rPr>
  </w:style>
  <w:style w:type="character" w:customStyle="1" w:styleId="30">
    <w:name w:val="脚注文本 Char"/>
    <w:basedOn w:val="21"/>
    <w:link w:val="15"/>
    <w:qFormat/>
    <w:uiPriority w:val="0"/>
    <w:rPr>
      <w:kern w:val="2"/>
      <w:sz w:val="18"/>
      <w:szCs w:val="18"/>
    </w:rPr>
  </w:style>
  <w:style w:type="paragraph" w:customStyle="1" w:styleId="31">
    <w:name w:val="Other|2"/>
    <w:basedOn w:val="1"/>
    <w:qFormat/>
    <w:uiPriority w:val="0"/>
    <w:pPr>
      <w:jc w:val="center"/>
    </w:pPr>
    <w:rPr>
      <w:rFonts w:ascii="宋体" w:hAnsi="宋体" w:cs="宋体"/>
      <w:sz w:val="20"/>
      <w:lang w:val="zh-TW" w:eastAsia="zh-TW" w:bidi="zh-TW"/>
    </w:rPr>
  </w:style>
  <w:style w:type="paragraph" w:customStyle="1" w:styleId="32">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3">
    <w:name w:val="Header or footer|2"/>
    <w:basedOn w:val="1"/>
    <w:qFormat/>
    <w:uiPriority w:val="0"/>
    <w:rPr>
      <w:sz w:val="20"/>
      <w:lang w:val="zh-TW" w:eastAsia="zh-TW" w:bidi="zh-TW"/>
    </w:rPr>
  </w:style>
  <w:style w:type="paragraph" w:customStyle="1" w:styleId="34">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76092" w:themeColor="accent1" w:themeShade="BF"/>
      <w:kern w:val="0"/>
      <w:sz w:val="28"/>
      <w:szCs w:val="28"/>
    </w:rPr>
  </w:style>
  <w:style w:type="paragraph" w:customStyle="1" w:styleId="35">
    <w:name w:val="WPSOffice手动目录 1"/>
    <w:qFormat/>
    <w:uiPriority w:val="0"/>
    <w:pPr>
      <w:ind w:leftChars="0"/>
    </w:pPr>
    <w:rPr>
      <w:rFonts w:asciiTheme="minorHAnsi" w:hAnsiTheme="minorHAnsi" w:eastAsiaTheme="minorEastAsia" w:cstheme="minorBidi"/>
      <w:sz w:val="20"/>
      <w:szCs w:val="20"/>
    </w:rPr>
  </w:style>
  <w:style w:type="paragraph" w:styleId="36">
    <w:name w:val="List Paragraph"/>
    <w:basedOn w:val="1"/>
    <w:qFormat/>
    <w:uiPriority w:val="34"/>
    <w:pPr>
      <w:ind w:firstLine="420" w:firstLineChars="200"/>
    </w:pPr>
  </w:style>
  <w:style w:type="paragraph" w:customStyle="1" w:styleId="37">
    <w:name w:val="Body text|1"/>
    <w:basedOn w:val="1"/>
    <w:qFormat/>
    <w:uiPriority w:val="0"/>
    <w:pPr>
      <w:widowControl w:val="0"/>
      <w:shd w:val="clear" w:color="auto" w:fill="auto"/>
      <w:spacing w:line="329"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19</Pages>
  <Words>8846</Words>
  <Characters>9240</Characters>
  <Lines>90</Lines>
  <Paragraphs>25</Paragraphs>
  <TotalTime>1</TotalTime>
  <ScaleCrop>false</ScaleCrop>
  <LinksUpToDate>false</LinksUpToDate>
  <CharactersWithSpaces>9537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晨曦</cp:lastModifiedBy>
  <cp:lastPrinted>2023-06-16T02:58:00Z</cp:lastPrinted>
  <dcterms:modified xsi:type="dcterms:W3CDTF">2023-11-07T08:30:47Z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18191B2B6C114D4B94D195016831A905_13</vt:lpwstr>
  </property>
</Properties>
</file>