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宋体" w:hAnsi="宋体"/>
          <w:sz w:val="24"/>
          <w:szCs w:val="24"/>
          <w:highlight w:val="none"/>
        </w:rPr>
      </w:pPr>
    </w:p>
    <w:p>
      <w:pPr>
        <w:rPr>
          <w:rFonts w:ascii="宋体" w:hAnsi="宋体"/>
          <w:sz w:val="36"/>
          <w:szCs w:val="36"/>
          <w:highlight w:val="none"/>
        </w:rPr>
      </w:pPr>
    </w:p>
    <w:p>
      <w:pPr>
        <w:jc w:val="center"/>
        <w:rPr>
          <w:rFonts w:ascii="宋体" w:hAnsi="宋体"/>
          <w:szCs w:val="21"/>
          <w:highlight w:val="none"/>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宋体" w:hAnsi="宋体" w:cs="宋体"/>
          <w:b/>
          <w:bCs w:val="0"/>
          <w:sz w:val="44"/>
          <w:szCs w:val="44"/>
          <w:highlight w:val="none"/>
          <w:lang w:val="en-US" w:eastAsia="zh-CN"/>
        </w:rPr>
      </w:pPr>
      <w:r>
        <w:rPr>
          <w:rFonts w:hint="eastAsia" w:ascii="宋体" w:hAnsi="宋体" w:cs="宋体"/>
          <w:b/>
          <w:bCs w:val="0"/>
          <w:sz w:val="44"/>
          <w:szCs w:val="44"/>
          <w:highlight w:val="none"/>
          <w:lang w:val="en-US" w:eastAsia="zh-CN"/>
        </w:rPr>
        <w:t>曲阳县城区老旧小区管网改造及新建配水管网</w:t>
      </w: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宋体" w:hAnsi="宋体" w:eastAsia="宋体" w:cs="宋体"/>
          <w:b/>
          <w:bCs w:val="0"/>
          <w:sz w:val="44"/>
          <w:szCs w:val="44"/>
          <w:highlight w:val="none"/>
          <w:lang w:val="en-US" w:eastAsia="zh-CN"/>
        </w:rPr>
      </w:pPr>
      <w:r>
        <w:rPr>
          <w:rFonts w:hint="eastAsia" w:ascii="宋体" w:hAnsi="宋体" w:cs="宋体"/>
          <w:b/>
          <w:bCs w:val="0"/>
          <w:sz w:val="44"/>
          <w:szCs w:val="44"/>
          <w:highlight w:val="none"/>
          <w:lang w:val="en-US" w:eastAsia="zh-CN"/>
        </w:rPr>
        <w:t>项目绩效评价报告</w:t>
      </w:r>
    </w:p>
    <w:p>
      <w:pPr>
        <w:pStyle w:val="16"/>
        <w:ind w:left="0" w:leftChars="0" w:firstLine="0" w:firstLineChars="0"/>
        <w:rPr>
          <w:highlight w:val="none"/>
        </w:rPr>
      </w:pPr>
    </w:p>
    <w:p>
      <w:pPr>
        <w:pStyle w:val="16"/>
        <w:rPr>
          <w:highlight w:val="none"/>
        </w:rPr>
      </w:pPr>
    </w:p>
    <w:p>
      <w:pPr>
        <w:rPr>
          <w:highlight w:val="none"/>
        </w:rPr>
      </w:pPr>
    </w:p>
    <w:p>
      <w:pPr>
        <w:pStyle w:val="16"/>
        <w:rPr>
          <w:highlight w:val="none"/>
        </w:rPr>
      </w:pPr>
    </w:p>
    <w:p>
      <w:pPr>
        <w:rPr>
          <w:highlight w:val="none"/>
        </w:rPr>
      </w:pPr>
    </w:p>
    <w:p>
      <w:pPr>
        <w:rPr>
          <w:highlight w:val="none"/>
        </w:rPr>
      </w:pPr>
    </w:p>
    <w:p>
      <w:pPr>
        <w:spacing w:line="900" w:lineRule="exact"/>
        <w:jc w:val="left"/>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评估</w:t>
      </w:r>
      <w:r>
        <w:rPr>
          <w:rFonts w:hint="eastAsia" w:ascii="仿宋" w:hAnsi="仿宋" w:eastAsia="仿宋" w:cs="仿宋"/>
          <w:sz w:val="32"/>
          <w:szCs w:val="32"/>
          <w:highlight w:val="none"/>
        </w:rPr>
        <w:t>单位：</w:t>
      </w:r>
      <w:r>
        <w:rPr>
          <w:rFonts w:hint="eastAsia" w:ascii="仿宋" w:hAnsi="仿宋" w:eastAsia="仿宋" w:cs="仿宋"/>
          <w:sz w:val="32"/>
          <w:szCs w:val="32"/>
          <w:highlight w:val="none"/>
          <w:lang w:eastAsia="zh-CN"/>
        </w:rPr>
        <w:t>曲阳县财政局</w:t>
      </w:r>
    </w:p>
    <w:p>
      <w:pPr>
        <w:spacing w:line="900" w:lineRule="exact"/>
        <w:jc w:val="left"/>
        <w:rPr>
          <w:rFonts w:hint="eastAsia" w:ascii="仿宋" w:hAnsi="仿宋" w:eastAsia="仿宋" w:cs="仿宋"/>
          <w:sz w:val="30"/>
          <w:szCs w:val="30"/>
          <w:highlight w:val="none"/>
          <w:lang w:eastAsia="zh-CN"/>
        </w:rPr>
      </w:pPr>
      <w:r>
        <w:rPr>
          <w:rFonts w:hint="eastAsia" w:ascii="仿宋" w:hAnsi="仿宋" w:eastAsia="仿宋" w:cs="仿宋"/>
          <w:sz w:val="32"/>
          <w:szCs w:val="32"/>
          <w:highlight w:val="none"/>
        </w:rPr>
        <w:t>项目名称：</w:t>
      </w:r>
      <w:r>
        <w:rPr>
          <w:rFonts w:hint="eastAsia" w:ascii="仿宋" w:hAnsi="仿宋" w:eastAsia="仿宋" w:cs="仿宋"/>
          <w:sz w:val="32"/>
          <w:szCs w:val="32"/>
          <w:highlight w:val="none"/>
          <w:lang w:eastAsia="zh-CN"/>
        </w:rPr>
        <w:t>曲阳县</w:t>
      </w:r>
      <w:r>
        <w:rPr>
          <w:rFonts w:hint="eastAsia" w:ascii="仿宋" w:hAnsi="仿宋" w:eastAsia="仿宋" w:cs="仿宋"/>
          <w:sz w:val="30"/>
          <w:szCs w:val="30"/>
          <w:highlight w:val="none"/>
          <w:lang w:eastAsia="zh-CN"/>
        </w:rPr>
        <w:t>城区老旧小区管网改造及新建配水管网项目</w:t>
      </w:r>
    </w:p>
    <w:p>
      <w:pPr>
        <w:spacing w:line="900" w:lineRule="exact"/>
        <w:jc w:val="left"/>
        <w:rPr>
          <w:rFonts w:hint="eastAsia" w:ascii="仿宋" w:hAnsi="仿宋" w:eastAsia="仿宋" w:cs="仿宋"/>
          <w:sz w:val="30"/>
          <w:szCs w:val="30"/>
          <w:highlight w:val="none"/>
          <w:lang w:eastAsia="zh-CN"/>
        </w:rPr>
      </w:pPr>
      <w:r>
        <w:rPr>
          <w:rFonts w:hint="eastAsia" w:ascii="仿宋" w:hAnsi="仿宋" w:eastAsia="仿宋" w:cs="仿宋"/>
          <w:sz w:val="32"/>
          <w:szCs w:val="32"/>
          <w:highlight w:val="none"/>
          <w:lang w:val="en-US" w:eastAsia="zh-CN"/>
        </w:rPr>
        <w:t>项目实施主体：</w:t>
      </w:r>
      <w:r>
        <w:rPr>
          <w:rFonts w:hint="eastAsia" w:ascii="仿宋" w:hAnsi="仿宋" w:eastAsia="仿宋" w:cs="仿宋"/>
          <w:sz w:val="30"/>
          <w:szCs w:val="30"/>
          <w:highlight w:val="none"/>
          <w:lang w:eastAsia="zh-CN"/>
        </w:rPr>
        <w:t>曲阳县城市管理综合行政执法局</w:t>
      </w:r>
    </w:p>
    <w:p>
      <w:pPr>
        <w:spacing w:line="900" w:lineRule="exact"/>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评 估 日 期：</w:t>
      </w:r>
      <w:r>
        <w:rPr>
          <w:rFonts w:hint="eastAsia" w:ascii="仿宋" w:hAnsi="仿宋" w:eastAsia="仿宋" w:cs="仿宋"/>
          <w:sz w:val="32"/>
          <w:szCs w:val="32"/>
          <w:highlight w:val="none"/>
          <w:lang w:eastAsia="zh-CN"/>
        </w:rPr>
        <w:t>2023年</w:t>
      </w:r>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lang w:eastAsia="zh-CN"/>
        </w:rPr>
        <w:t>月</w:t>
      </w:r>
      <w:r>
        <w:rPr>
          <w:rFonts w:hint="eastAsia" w:ascii="仿宋" w:hAnsi="仿宋" w:eastAsia="仿宋" w:cs="仿宋"/>
          <w:sz w:val="32"/>
          <w:szCs w:val="32"/>
          <w:highlight w:val="none"/>
          <w:lang w:val="en-US" w:eastAsia="zh-CN"/>
        </w:rPr>
        <w:t>10</w:t>
      </w:r>
      <w:r>
        <w:rPr>
          <w:rFonts w:hint="eastAsia" w:ascii="仿宋" w:hAnsi="仿宋" w:eastAsia="仿宋" w:cs="仿宋"/>
          <w:sz w:val="32"/>
          <w:szCs w:val="32"/>
          <w:highlight w:val="none"/>
          <w:lang w:eastAsia="zh-CN"/>
        </w:rPr>
        <w:t>日</w:t>
      </w:r>
    </w:p>
    <w:p>
      <w:pPr>
        <w:spacing w:line="900" w:lineRule="exact"/>
        <w:jc w:val="left"/>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报 告 日 期：</w:t>
      </w:r>
      <w:r>
        <w:rPr>
          <w:rFonts w:hint="eastAsia" w:ascii="仿宋" w:hAnsi="仿宋" w:eastAsia="仿宋" w:cs="仿宋"/>
          <w:sz w:val="32"/>
          <w:szCs w:val="32"/>
          <w:highlight w:val="none"/>
          <w:lang w:eastAsia="zh-CN"/>
        </w:rPr>
        <w:t>2023年</w:t>
      </w:r>
      <w:r>
        <w:rPr>
          <w:rFonts w:hint="eastAsia" w:ascii="仿宋" w:hAnsi="仿宋" w:eastAsia="仿宋" w:cs="仿宋"/>
          <w:sz w:val="32"/>
          <w:szCs w:val="32"/>
          <w:highlight w:val="none"/>
          <w:lang w:val="en-US" w:eastAsia="zh-CN"/>
        </w:rPr>
        <w:t>6</w:t>
      </w:r>
      <w:r>
        <w:rPr>
          <w:rFonts w:hint="eastAsia" w:ascii="仿宋" w:hAnsi="仿宋" w:eastAsia="仿宋" w:cs="仿宋"/>
          <w:sz w:val="32"/>
          <w:szCs w:val="32"/>
          <w:highlight w:val="none"/>
          <w:lang w:eastAsia="zh-CN"/>
        </w:rPr>
        <w:t>月</w:t>
      </w:r>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lang w:eastAsia="zh-CN"/>
        </w:rPr>
        <w:t>日</w:t>
      </w:r>
    </w:p>
    <w:p>
      <w:pPr>
        <w:spacing w:before="0" w:beforeLines="0" w:after="0" w:afterLines="0" w:line="240" w:lineRule="auto"/>
        <w:ind w:left="0" w:leftChars="0" w:right="0" w:rightChars="0" w:firstLine="0" w:firstLineChars="0"/>
        <w:jc w:val="both"/>
        <w:rPr>
          <w:rFonts w:hint="eastAsia" w:ascii="仿宋" w:hAnsi="仿宋" w:eastAsia="仿宋" w:cs="仿宋"/>
          <w:sz w:val="30"/>
          <w:szCs w:val="30"/>
          <w:highlight w:val="none"/>
        </w:rPr>
      </w:pPr>
    </w:p>
    <w:p>
      <w:pPr>
        <w:spacing w:before="0" w:beforeLines="0" w:after="0" w:afterLines="0" w:line="240" w:lineRule="auto"/>
        <w:ind w:left="0" w:leftChars="0" w:right="0" w:rightChars="0" w:firstLine="0" w:firstLineChars="0"/>
        <w:jc w:val="both"/>
        <w:rPr>
          <w:rFonts w:hint="eastAsia" w:ascii="仿宋" w:hAnsi="仿宋" w:eastAsia="仿宋" w:cs="仿宋"/>
          <w:sz w:val="30"/>
          <w:szCs w:val="30"/>
          <w:highlight w:val="none"/>
        </w:rPr>
      </w:pPr>
    </w:p>
    <w:p>
      <w:pPr>
        <w:pStyle w:val="2"/>
        <w:rPr>
          <w:rFonts w:hint="eastAsia" w:ascii="仿宋" w:hAnsi="仿宋" w:eastAsia="仿宋" w:cs="仿宋"/>
          <w:sz w:val="30"/>
          <w:szCs w:val="30"/>
          <w:highlight w:val="none"/>
        </w:rPr>
      </w:pPr>
    </w:p>
    <w:p>
      <w:pPr>
        <w:rPr>
          <w:rFonts w:hint="eastAsia" w:ascii="仿宋" w:hAnsi="仿宋" w:eastAsia="仿宋" w:cs="仿宋"/>
          <w:sz w:val="30"/>
          <w:szCs w:val="30"/>
          <w:highlight w:val="none"/>
        </w:rPr>
      </w:pPr>
    </w:p>
    <w:p>
      <w:pPr>
        <w:pStyle w:val="2"/>
        <w:rPr>
          <w:rFonts w:hint="eastAsia" w:ascii="仿宋" w:hAnsi="仿宋" w:eastAsia="仿宋" w:cs="仿宋"/>
          <w:sz w:val="30"/>
          <w:szCs w:val="30"/>
          <w:highlight w:val="none"/>
        </w:rPr>
      </w:pPr>
    </w:p>
    <w:p>
      <w:pPr>
        <w:rPr>
          <w:rFonts w:hint="eastAsia" w:ascii="仿宋" w:hAnsi="仿宋" w:eastAsia="仿宋" w:cs="仿宋"/>
          <w:sz w:val="30"/>
          <w:szCs w:val="30"/>
          <w:highlight w:val="none"/>
        </w:rPr>
      </w:pPr>
    </w:p>
    <w:p>
      <w:pPr>
        <w:pStyle w:val="2"/>
        <w:rPr>
          <w:rFonts w:hint="eastAsia"/>
        </w:rPr>
      </w:pPr>
    </w:p>
    <w:p>
      <w:pPr>
        <w:pStyle w:val="16"/>
        <w:rPr>
          <w:rFonts w:hint="eastAsia"/>
          <w:highlight w:val="none"/>
        </w:rPr>
      </w:pPr>
    </w:p>
    <w:p>
      <w:pPr>
        <w:pStyle w:val="16"/>
        <w:rPr>
          <w:highlight w:val="none"/>
        </w:rPr>
      </w:pPr>
    </w:p>
    <w:p>
      <w:pPr>
        <w:spacing w:line="560" w:lineRule="exact"/>
        <w:jc w:val="center"/>
        <w:outlineLvl w:val="0"/>
        <w:rPr>
          <w:rFonts w:hint="eastAsia" w:ascii="仿宋" w:hAnsi="仿宋" w:eastAsia="仿宋" w:cs="仿宋"/>
          <w:b/>
          <w:bCs w:val="0"/>
          <w:sz w:val="36"/>
          <w:szCs w:val="36"/>
          <w:highlight w:val="none"/>
          <w:lang w:eastAsia="zh-CN"/>
        </w:rPr>
      </w:pPr>
      <w:r>
        <w:rPr>
          <w:rFonts w:hint="eastAsia" w:ascii="仿宋" w:hAnsi="仿宋" w:eastAsia="仿宋" w:cs="仿宋"/>
          <w:b/>
          <w:bCs w:val="0"/>
          <w:sz w:val="36"/>
          <w:szCs w:val="36"/>
          <w:highlight w:val="none"/>
          <w:lang w:eastAsia="zh-CN"/>
        </w:rPr>
        <w:t>曲阳县城区老旧小区管网改造及新建配水管网项目</w:t>
      </w:r>
    </w:p>
    <w:p>
      <w:pPr>
        <w:spacing w:after="156" w:line="560" w:lineRule="exact"/>
        <w:ind w:left="-359" w:leftChars="-171" w:firstLine="361" w:firstLineChars="100"/>
        <w:jc w:val="center"/>
        <w:outlineLvl w:val="0"/>
        <w:rPr>
          <w:rFonts w:hint="eastAsia" w:ascii="仿宋" w:hAnsi="仿宋" w:eastAsia="仿宋" w:cs="仿宋"/>
          <w:sz w:val="32"/>
          <w:szCs w:val="32"/>
          <w:highlight w:val="none"/>
        </w:rPr>
      </w:pPr>
      <w:r>
        <w:rPr>
          <w:rFonts w:hint="eastAsia" w:ascii="仿宋" w:hAnsi="仿宋" w:eastAsia="仿宋" w:cs="仿宋"/>
          <w:b/>
          <w:bCs w:val="0"/>
          <w:sz w:val="36"/>
          <w:szCs w:val="36"/>
          <w:highlight w:val="none"/>
          <w:lang w:eastAsia="zh-CN"/>
        </w:rPr>
        <w:t>绩效评估报告</w:t>
      </w:r>
      <w:r>
        <w:rPr>
          <w:rFonts w:hint="eastAsia"/>
          <w:highlight w:val="none"/>
        </w:rPr>
        <w:t xml:space="preserve">               </w:t>
      </w:r>
      <w:r>
        <w:rPr>
          <w:rFonts w:hint="eastAsia" w:ascii="仿宋" w:hAnsi="仿宋" w:eastAsia="仿宋" w:cs="仿宋"/>
          <w:sz w:val="24"/>
          <w:szCs w:val="24"/>
          <w:highlight w:val="none"/>
        </w:rPr>
        <w:t xml:space="preserve"> </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我局对2022年度</w:t>
      </w:r>
      <w:r>
        <w:rPr>
          <w:rFonts w:hint="eastAsia" w:ascii="仿宋" w:hAnsi="仿宋" w:eastAsia="仿宋" w:cs="仿宋"/>
          <w:sz w:val="30"/>
          <w:szCs w:val="30"/>
          <w:highlight w:val="none"/>
          <w:lang w:eastAsia="zh-CN"/>
        </w:rPr>
        <w:t>曲阳县城区老旧小区管网改造及新建配水管网项目</w:t>
      </w:r>
      <w:r>
        <w:rPr>
          <w:rFonts w:hint="eastAsia" w:ascii="仿宋" w:hAnsi="仿宋" w:eastAsia="仿宋" w:cs="仿宋"/>
          <w:kern w:val="2"/>
          <w:sz w:val="32"/>
          <w:szCs w:val="32"/>
          <w:highlight w:val="none"/>
          <w:u w:val="none"/>
          <w:shd w:val="clear" w:color="auto" w:fill="auto"/>
          <w:lang w:val="en-US" w:eastAsia="zh-CN" w:bidi="ar-SA"/>
        </w:rPr>
        <w:t>专项债券资金进行了绩效评价，项目实施单位和相关单位提供与绩效评价有关的项目资料，并对其真实性、完整性、合法性负责。我局对该项目的项目决策、项目过程、项目产出、项目效益四个方面和执行国家法律、法规的情况发表评价意见。</w:t>
      </w:r>
    </w:p>
    <w:p>
      <w:pPr>
        <w:pageBreakBefore w:val="0"/>
        <w:kinsoku/>
        <w:wordWrap/>
        <w:overflowPunct/>
        <w:topLinePunct w:val="0"/>
        <w:autoSpaceDE/>
        <w:autoSpaceDN/>
        <w:bidi w:val="0"/>
        <w:adjustRightInd/>
        <w:snapToGrid/>
        <w:spacing w:line="560" w:lineRule="exact"/>
        <w:ind w:firstLine="640" w:firstLineChars="200"/>
        <w:rPr>
          <w:rFonts w:hint="eastAsia"/>
        </w:rPr>
      </w:pPr>
      <w:r>
        <w:rPr>
          <w:rFonts w:hint="eastAsia" w:ascii="仿宋" w:hAnsi="仿宋" w:eastAsia="仿宋" w:cs="仿宋"/>
          <w:kern w:val="2"/>
          <w:sz w:val="32"/>
          <w:szCs w:val="32"/>
          <w:highlight w:val="none"/>
          <w:u w:val="none"/>
          <w:shd w:val="clear" w:color="auto" w:fill="auto"/>
          <w:lang w:val="en-US" w:eastAsia="zh-CN" w:bidi="ar-SA"/>
        </w:rPr>
        <w:t>我们的绩效评价工作是依据河北省政府债券资金绩效管理办法等相关规定进行的，对本年度债券项目进行全覆盖评价。在评价工作中，我们结合项目的实际情况制定了绩效评价指标体系，实施了包括资料查看、问询、现场检查、问卷调查等我们认为必要的评价手段。绩效评价工作现已完成，具体评价情况汇总如下：</w:t>
      </w:r>
    </w:p>
    <w:p>
      <w:pPr>
        <w:pageBreakBefore w:val="0"/>
        <w:kinsoku/>
        <w:wordWrap/>
        <w:overflowPunct/>
        <w:topLinePunct w:val="0"/>
        <w:autoSpaceDE/>
        <w:autoSpaceDN/>
        <w:bidi w:val="0"/>
        <w:adjustRightInd/>
        <w:snapToGrid/>
        <w:spacing w:line="560" w:lineRule="exact"/>
        <w:ind w:firstLine="643" w:firstLineChars="200"/>
        <w:outlineLvl w:val="0"/>
        <w:rPr>
          <w:rFonts w:hint="eastAsia" w:ascii="仿宋" w:hAnsi="仿宋" w:eastAsia="仿宋" w:cs="仿宋"/>
          <w:b/>
          <w:bCs/>
          <w:sz w:val="32"/>
          <w:szCs w:val="32"/>
          <w:highlight w:val="none"/>
          <w:lang w:eastAsia="zh-CN"/>
        </w:rPr>
      </w:pPr>
      <w:bookmarkStart w:id="0" w:name="_Toc83631027"/>
      <w:bookmarkStart w:id="1" w:name="_Toc83630317"/>
      <w:bookmarkStart w:id="2" w:name="_Toc30480"/>
      <w:bookmarkStart w:id="3" w:name="_Toc8967"/>
      <w:r>
        <w:rPr>
          <w:rFonts w:hint="eastAsia" w:ascii="仿宋" w:hAnsi="仿宋" w:eastAsia="仿宋" w:cs="仿宋"/>
          <w:b/>
          <w:bCs/>
          <w:sz w:val="32"/>
          <w:szCs w:val="32"/>
          <w:highlight w:val="none"/>
          <w:lang w:val="en-US" w:eastAsia="zh-CN"/>
        </w:rPr>
        <w:t>一、</w:t>
      </w:r>
      <w:r>
        <w:rPr>
          <w:rFonts w:hint="eastAsia" w:ascii="仿宋" w:hAnsi="仿宋" w:eastAsia="仿宋" w:cs="仿宋"/>
          <w:b/>
          <w:bCs/>
          <w:sz w:val="32"/>
          <w:szCs w:val="32"/>
          <w:highlight w:val="none"/>
        </w:rPr>
        <w:t>项目</w:t>
      </w:r>
      <w:bookmarkEnd w:id="0"/>
      <w:bookmarkEnd w:id="1"/>
      <w:bookmarkEnd w:id="2"/>
      <w:bookmarkEnd w:id="3"/>
      <w:r>
        <w:rPr>
          <w:rFonts w:hint="eastAsia" w:ascii="仿宋" w:hAnsi="仿宋" w:eastAsia="仿宋" w:cs="仿宋"/>
          <w:b/>
          <w:bCs/>
          <w:sz w:val="32"/>
          <w:szCs w:val="32"/>
          <w:highlight w:val="none"/>
          <w:lang w:eastAsia="zh-CN"/>
        </w:rPr>
        <w:t>建设背景</w:t>
      </w:r>
    </w:p>
    <w:p>
      <w:pPr>
        <w:pageBreakBefore w:val="0"/>
        <w:kinsoku/>
        <w:wordWrap/>
        <w:overflowPunct/>
        <w:topLinePunct w:val="0"/>
        <w:autoSpaceDE/>
        <w:autoSpaceDN/>
        <w:bidi w:val="0"/>
        <w:adjustRightInd/>
        <w:snapToGrid/>
        <w:spacing w:line="560" w:lineRule="exact"/>
        <w:ind w:firstLine="600" w:firstLineChars="200"/>
        <w:rPr>
          <w:rFonts w:hint="default" w:ascii="仿宋" w:hAnsi="仿宋" w:eastAsia="仿宋" w:cs="仿宋"/>
          <w:sz w:val="30"/>
          <w:szCs w:val="30"/>
          <w:highlight w:val="none"/>
          <w:lang w:val="en-US" w:eastAsia="zh-CN"/>
        </w:rPr>
      </w:pPr>
      <w:bookmarkStart w:id="4" w:name="_Toc25381"/>
      <w:bookmarkStart w:id="5" w:name="_Toc22961"/>
      <w:bookmarkStart w:id="6" w:name="_Toc83631028"/>
      <w:bookmarkStart w:id="7" w:name="_Toc83630318"/>
      <w:bookmarkStart w:id="8" w:name="_Toc22022"/>
      <w:bookmarkStart w:id="9" w:name="_Toc19822"/>
      <w:r>
        <w:rPr>
          <w:rFonts w:hint="default" w:ascii="仿宋" w:hAnsi="仿宋" w:eastAsia="仿宋" w:cs="仿宋"/>
          <w:sz w:val="30"/>
          <w:szCs w:val="30"/>
          <w:highlight w:val="none"/>
          <w:lang w:val="en-US" w:eastAsia="zh-CN"/>
        </w:rPr>
        <w:t>为解决城镇居民二次供水存在的跑冒滴漏严重、供水服务不规范、水质二次污染风险高等突出问题，住房城乡建设部、国家发展改革委、公安部、国家卫生计生委 2015 年2月联合下发《关于加强和改进城镇居民二次供水设施建设与管理确保水质安全的通知》通知指出“各地要充分认识加强和改进城镇居民二次供水设施建设与管理工作的重要性，将保障二次供水安全提升到改善民生和国家反恐战略的高度，进一步创新运营机制，多渠道解决资金来源，落实监管责任，推动形成权责明晰、管理专业、监管到位的二次供水设施建设与管理工作新格局，解决好城镇供水“最后一公里”的水质安全问题”。2015年6月河北省住建厅冀建城〔2015〕28号文要求全面排查和整改老旧居民二次供水设施，逐步推进二次供水设施运行维护专业化，鼓励供水企业通过统建统管、改造后接管、接受业主或物业企业委托等方式，逐步对二次供水设施实施专业运行维护。各地价格主管部门要尽快会同城市供水主管部门研究制定二次供水设施运行维护收费办法，确定二次供水运行维护费征收方式，确保二次供水设施正常运行和供水安全。</w:t>
      </w:r>
    </w:p>
    <w:p>
      <w:pPr>
        <w:pageBreakBefore w:val="0"/>
        <w:kinsoku/>
        <w:wordWrap/>
        <w:overflowPunct/>
        <w:topLinePunct w:val="0"/>
        <w:autoSpaceDE/>
        <w:autoSpaceDN/>
        <w:bidi w:val="0"/>
        <w:adjustRightInd/>
        <w:snapToGrid/>
        <w:spacing w:line="560" w:lineRule="exact"/>
        <w:ind w:firstLine="600" w:firstLineChars="200"/>
        <w:rPr>
          <w:rFonts w:hint="default" w:ascii="仿宋" w:hAnsi="仿宋" w:eastAsia="仿宋" w:cs="仿宋"/>
          <w:sz w:val="30"/>
          <w:szCs w:val="30"/>
          <w:highlight w:val="none"/>
          <w:lang w:val="en-US" w:eastAsia="zh-CN"/>
        </w:rPr>
      </w:pPr>
      <w:r>
        <w:rPr>
          <w:rFonts w:hint="default" w:ascii="仿宋" w:hAnsi="仿宋" w:eastAsia="仿宋" w:cs="仿宋"/>
          <w:sz w:val="30"/>
          <w:szCs w:val="30"/>
          <w:highlight w:val="none"/>
          <w:lang w:val="en-US" w:eastAsia="zh-CN"/>
        </w:rPr>
        <w:t>曲阳县城区管网供水覆盖范围为全县城区规划范围，截止2020年4月底，建成供水管网48公里，分别为太行路、恒山路、南环路和恒阳街、正阳街、文昌街、复兴南街、嘉禾街、朝阳街等13条主干管线。曲阳县大部分老旧小区管网建设年限超过二十年，管材老旧漏损严重，为减少水资源浪费，降低漏损，避免水质二次污染，保证供水安全卫生，按上级部门要求，应对超年限、劣质管材及漏损严重的老旧管网进行改造。曲阳县在用计量水表大部分为用户自行购置，且超过使用年限的占九成，如果长期不换水表，内部零件经过磨损后，会导致水表计量特性发生变化，难以确保其准确性。按照住建及市场监管部门要求居民家用的水表表径在 25 毫米及以下的水表，必须6年更换一次。更换水表更有利于供水管理，提高收费率，降低供水成本，还将提高水表计量的准确性，提供更好的计量依据。</w:t>
      </w:r>
    </w:p>
    <w:p>
      <w:pPr>
        <w:pageBreakBefore w:val="0"/>
        <w:kinsoku/>
        <w:wordWrap/>
        <w:overflowPunct/>
        <w:topLinePunct w:val="0"/>
        <w:autoSpaceDE/>
        <w:autoSpaceDN/>
        <w:bidi w:val="0"/>
        <w:adjustRightInd/>
        <w:snapToGrid/>
        <w:spacing w:line="560" w:lineRule="exact"/>
        <w:ind w:firstLine="600" w:firstLineChars="200"/>
        <w:rPr>
          <w:rFonts w:hint="default" w:ascii="仿宋" w:hAnsi="仿宋" w:eastAsia="仿宋" w:cs="仿宋"/>
          <w:sz w:val="30"/>
          <w:szCs w:val="30"/>
          <w:highlight w:val="none"/>
          <w:lang w:val="en-US" w:eastAsia="zh-CN"/>
        </w:rPr>
      </w:pPr>
      <w:r>
        <w:rPr>
          <w:rFonts w:hint="default" w:ascii="仿宋" w:hAnsi="仿宋" w:eastAsia="仿宋" w:cs="仿宋"/>
          <w:sz w:val="30"/>
          <w:szCs w:val="30"/>
          <w:highlight w:val="none"/>
          <w:lang w:val="en-US" w:eastAsia="zh-CN"/>
        </w:rPr>
        <w:t>目前曲阳县用户到户水压为 0.08 Mpa-0.1 Mpa，达不到国家规定的供水管网平均压力不低于0.18 Mpa的标准。为满足用户用水需求，需在每个小区增加二次加压泵站来二次提升水压。目前曲阳县最早的加压泵站建于上世纪八、九十年代，因建设年限过长，且多为高耗能老旧设备，造成二次供水成本明显提高，局部楼层居民出现“水荒”现象。大部分二次加压泵站为单机运行，没有备用机组，导致供水保障率低。调节水箱均为钢板水箱，腐蚀老化、结垢严重，时常发生铁离子指标超标及铁细菌繁殖的现象，土建设施陈旧、卫生条件较差，很大程度上影响水质的安全问题。</w:t>
      </w:r>
    </w:p>
    <w:p>
      <w:pPr>
        <w:pageBreakBefore w:val="0"/>
        <w:kinsoku/>
        <w:wordWrap/>
        <w:overflowPunct/>
        <w:topLinePunct w:val="0"/>
        <w:autoSpaceDE/>
        <w:autoSpaceDN/>
        <w:bidi w:val="0"/>
        <w:adjustRightInd/>
        <w:snapToGrid/>
        <w:spacing w:line="560" w:lineRule="exact"/>
        <w:ind w:firstLine="600" w:firstLineChars="200"/>
        <w:rPr>
          <w:rFonts w:hint="default" w:ascii="仿宋" w:hAnsi="仿宋" w:eastAsia="仿宋" w:cs="仿宋"/>
          <w:sz w:val="30"/>
          <w:szCs w:val="30"/>
          <w:highlight w:val="none"/>
          <w:lang w:val="en-US" w:eastAsia="zh-CN"/>
        </w:rPr>
      </w:pPr>
      <w:r>
        <w:rPr>
          <w:rFonts w:hint="default" w:ascii="仿宋" w:hAnsi="仿宋" w:eastAsia="仿宋" w:cs="仿宋"/>
          <w:sz w:val="30"/>
          <w:szCs w:val="30"/>
          <w:highlight w:val="none"/>
          <w:lang w:val="en-US" w:eastAsia="zh-CN"/>
        </w:rPr>
        <w:t>曲阳县双源供水有限公司是集自来水生产和供给一体的唯一一家公益性供水企业。集中供水项目始建于2014年，是全县重点民生工程，项目于 2016年4月建成并投入使用，主要包括地表水厂一座、城区48公里输水管网、备用水源地、26公里供水备用水源输水管线。地表水厂现用水源为南水北调水，日供水能力设计标准为3万吨/天，目前，供水公司正在向城区居民提供供水服务。</w:t>
      </w:r>
    </w:p>
    <w:p>
      <w:pPr>
        <w:pageBreakBefore w:val="0"/>
        <w:kinsoku/>
        <w:wordWrap/>
        <w:overflowPunct/>
        <w:topLinePunct w:val="0"/>
        <w:autoSpaceDE/>
        <w:autoSpaceDN/>
        <w:bidi w:val="0"/>
        <w:adjustRightInd/>
        <w:snapToGrid/>
        <w:spacing w:line="560" w:lineRule="exact"/>
        <w:ind w:firstLine="600" w:firstLineChars="200"/>
        <w:rPr>
          <w:rFonts w:hint="default" w:ascii="仿宋" w:hAnsi="仿宋" w:eastAsia="仿宋" w:cs="仿宋"/>
          <w:sz w:val="30"/>
          <w:szCs w:val="30"/>
          <w:highlight w:val="none"/>
          <w:lang w:val="en-US" w:eastAsia="zh-CN"/>
        </w:rPr>
      </w:pPr>
      <w:r>
        <w:rPr>
          <w:rFonts w:hint="default" w:ascii="仿宋" w:hAnsi="仿宋" w:eastAsia="仿宋" w:cs="仿宋"/>
          <w:sz w:val="30"/>
          <w:szCs w:val="30"/>
          <w:highlight w:val="none"/>
          <w:lang w:val="en-US" w:eastAsia="zh-CN"/>
        </w:rPr>
        <w:t>综上所述，为尽快改善曲阳县城区的供水条件，满足广大居民日益增长的用水需求，加强供水单位的水资源统一管理、优化资源配置的需要，经曲阳县委、县政府研究决定，对曲阳县城区配水管网及老旧小区管网进行升级改造，使城市的供水设施充分发挥效益。</w:t>
      </w:r>
    </w:p>
    <w:p>
      <w:pPr>
        <w:pageBreakBefore w:val="0"/>
        <w:kinsoku/>
        <w:wordWrap/>
        <w:overflowPunct/>
        <w:topLinePunct w:val="0"/>
        <w:autoSpaceDE/>
        <w:autoSpaceDN/>
        <w:bidi w:val="0"/>
        <w:adjustRightInd/>
        <w:snapToGrid/>
        <w:spacing w:line="560" w:lineRule="exact"/>
        <w:ind w:firstLine="643" w:firstLineChars="200"/>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二、</w:t>
      </w:r>
      <w:r>
        <w:rPr>
          <w:rFonts w:hint="eastAsia" w:ascii="仿宋" w:hAnsi="仿宋" w:eastAsia="仿宋" w:cs="仿宋"/>
          <w:b/>
          <w:bCs/>
          <w:sz w:val="32"/>
          <w:szCs w:val="32"/>
          <w:highlight w:val="none"/>
        </w:rPr>
        <w:t>项目实施内容和范围</w:t>
      </w:r>
      <w:bookmarkEnd w:id="4"/>
      <w:bookmarkEnd w:id="5"/>
      <w:bookmarkEnd w:id="6"/>
      <w:bookmarkEnd w:id="7"/>
      <w:bookmarkEnd w:id="8"/>
      <w:bookmarkEnd w:id="9"/>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bookmarkStart w:id="10" w:name="_Toc83631029"/>
      <w:bookmarkStart w:id="11" w:name="_Toc24391"/>
      <w:bookmarkStart w:id="12" w:name="_Toc17013"/>
      <w:bookmarkStart w:id="13" w:name="_Toc1525"/>
      <w:bookmarkStart w:id="14" w:name="_Toc8527"/>
      <w:bookmarkStart w:id="15" w:name="_Toc83630319"/>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一</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项目承担部门：</w:t>
      </w:r>
      <w:r>
        <w:rPr>
          <w:rFonts w:hint="eastAsia" w:ascii="仿宋" w:hAnsi="仿宋" w:eastAsia="仿宋" w:cs="仿宋"/>
          <w:sz w:val="30"/>
          <w:szCs w:val="30"/>
          <w:highlight w:val="none"/>
          <w:lang w:eastAsia="zh-CN"/>
        </w:rPr>
        <w:t>曲阳县城市管理综合行政执法局</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二</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项目实施主体：曲阳县城市管理综合行政执法局</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三</w:t>
      </w:r>
      <w:r>
        <w:rPr>
          <w:rFonts w:hint="eastAsia" w:ascii="仿宋" w:hAnsi="仿宋" w:eastAsia="仿宋" w:cs="仿宋"/>
          <w:sz w:val="30"/>
          <w:szCs w:val="30"/>
          <w:highlight w:val="none"/>
          <w:lang w:eastAsia="zh-CN"/>
        </w:rPr>
        <w:t>）项目</w:t>
      </w:r>
      <w:r>
        <w:rPr>
          <w:rFonts w:hint="eastAsia" w:ascii="仿宋" w:hAnsi="仿宋" w:eastAsia="仿宋" w:cs="仿宋"/>
          <w:sz w:val="30"/>
          <w:szCs w:val="30"/>
          <w:highlight w:val="none"/>
          <w:lang w:val="en-US" w:eastAsia="zh-CN"/>
        </w:rPr>
        <w:t>建设地点：曲阳县县城</w:t>
      </w:r>
    </w:p>
    <w:p>
      <w:pPr>
        <w:pageBreakBefore w:val="0"/>
        <w:kinsoku/>
        <w:wordWrap/>
        <w:overflowPunct/>
        <w:topLinePunct w:val="0"/>
        <w:autoSpaceDE/>
        <w:autoSpaceDN/>
        <w:bidi w:val="0"/>
        <w:adjustRightInd/>
        <w:snapToGrid/>
        <w:spacing w:line="560" w:lineRule="exact"/>
        <w:ind w:firstLine="600" w:firstLineChars="200"/>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四</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建设内容及规模：1、152 个老旧小区（388 万平方米）和 130 个机关企事业单位（100 万平方米）自来水管网改造，包括管网改造442616米，管径分别为DN20-DN150，智能水表改造33,924户，二次供水设施改造101套；2、延伸主城区配水管网 29.6 公里。其中DN400PE管9,000米、DN300PE管11,800米、DN200PE管8,800米。</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（五）投资规模及资金来源:项目总投资29,812.16 万元，资金来源为申请政府专项债券和县级财政资金。</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（六）项目计划</w:t>
      </w:r>
      <w:r>
        <w:rPr>
          <w:rFonts w:hint="default" w:ascii="仿宋" w:hAnsi="仿宋" w:eastAsia="仿宋" w:cs="仿宋"/>
          <w:sz w:val="30"/>
          <w:szCs w:val="30"/>
          <w:highlight w:val="none"/>
          <w:lang w:val="en-US" w:eastAsia="zh-CN"/>
        </w:rPr>
        <w:t>建设期限:</w:t>
      </w:r>
      <w:r>
        <w:rPr>
          <w:rFonts w:hint="eastAsia" w:ascii="仿宋" w:hAnsi="仿宋" w:eastAsia="仿宋" w:cs="仿宋"/>
          <w:sz w:val="30"/>
          <w:szCs w:val="30"/>
          <w:highlight w:val="none"/>
          <w:lang w:val="en-US" w:eastAsia="zh-CN"/>
        </w:rPr>
        <w:t>2022年9月30日签订的项目施工合同显示计划工期为2022年10月1日至2024年3月31日（547日历天）。</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（七）项目绩效目标：</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1、通过工程实施，保证自备井的顺利关停。</w:t>
      </w:r>
    </w:p>
    <w:p>
      <w:pPr>
        <w:pageBreakBefore w:val="0"/>
        <w:numPr>
          <w:ilvl w:val="0"/>
          <w:numId w:val="1"/>
        </w:numPr>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通过工程实施，保证南水北调水量的消纳。</w:t>
      </w:r>
    </w:p>
    <w:p>
      <w:pPr>
        <w:pageBreakBefore w:val="0"/>
        <w:numPr>
          <w:ilvl w:val="0"/>
          <w:numId w:val="1"/>
        </w:numPr>
        <w:kinsoku/>
        <w:wordWrap/>
        <w:overflowPunct/>
        <w:topLinePunct w:val="0"/>
        <w:autoSpaceDE/>
        <w:autoSpaceDN/>
        <w:bidi w:val="0"/>
        <w:adjustRightInd/>
        <w:snapToGrid/>
        <w:spacing w:line="560" w:lineRule="exact"/>
        <w:ind w:firstLine="600" w:firstLineChars="200"/>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通过工程实施，保证居民供水安全。</w:t>
      </w:r>
    </w:p>
    <w:p>
      <w:pPr>
        <w:pageBreakBefore w:val="0"/>
        <w:kinsoku/>
        <w:wordWrap/>
        <w:overflowPunct/>
        <w:topLinePunct w:val="0"/>
        <w:autoSpaceDE/>
        <w:autoSpaceDN/>
        <w:bidi w:val="0"/>
        <w:adjustRightInd/>
        <w:snapToGrid/>
        <w:spacing w:line="560" w:lineRule="exact"/>
        <w:ind w:firstLine="643" w:firstLineChars="20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三、项目资金使用情况</w:t>
      </w:r>
      <w:bookmarkEnd w:id="10"/>
      <w:bookmarkEnd w:id="11"/>
      <w:bookmarkEnd w:id="12"/>
      <w:bookmarkEnd w:id="13"/>
      <w:bookmarkEnd w:id="14"/>
      <w:bookmarkEnd w:id="15"/>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该项目于2022年10月开展项目建设。</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该项目2022年度共安排专项债券资金4,000.00万元</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累计支出金额4,000.00万元</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结余资金0.00</w:t>
      </w:r>
      <w:r>
        <w:rPr>
          <w:rFonts w:hint="eastAsia" w:ascii="仿宋" w:hAnsi="仿宋" w:eastAsia="仿宋" w:cs="仿宋"/>
          <w:sz w:val="30"/>
          <w:szCs w:val="30"/>
          <w:highlight w:val="none"/>
          <w:lang w:eastAsia="zh-CN"/>
        </w:rPr>
        <w:t>万元</w:t>
      </w:r>
      <w:r>
        <w:rPr>
          <w:rFonts w:hint="eastAsia" w:ascii="仿宋" w:hAnsi="仿宋" w:eastAsia="仿宋" w:cs="仿宋"/>
          <w:sz w:val="30"/>
          <w:szCs w:val="30"/>
          <w:highlight w:val="none"/>
          <w:lang w:val="en-US" w:eastAsia="zh-CN"/>
        </w:rPr>
        <w:t>。</w:t>
      </w:r>
      <w:r>
        <w:rPr>
          <w:rFonts w:hint="eastAsia" w:ascii="仿宋" w:hAnsi="仿宋" w:eastAsia="仿宋" w:cs="仿宋"/>
          <w:b w:val="0"/>
          <w:bCs w:val="0"/>
          <w:sz w:val="30"/>
          <w:szCs w:val="30"/>
          <w:highlight w:val="none"/>
          <w:lang w:val="en-US" w:eastAsia="zh-CN"/>
        </w:rPr>
        <w:t>具体见下表：</w:t>
      </w:r>
    </w:p>
    <w:p>
      <w:pPr>
        <w:pageBreakBefore w:val="0"/>
        <w:kinsoku/>
        <w:wordWrap/>
        <w:overflowPunct/>
        <w:topLinePunct w:val="0"/>
        <w:autoSpaceDE/>
        <w:autoSpaceDN/>
        <w:bidi w:val="0"/>
        <w:adjustRightInd/>
        <w:snapToGrid/>
        <w:spacing w:line="560" w:lineRule="exact"/>
        <w:jc w:val="center"/>
        <w:rPr>
          <w:rFonts w:hint="eastAsia" w:ascii="仿宋_GB2312" w:eastAsia="仿宋_GB2312" w:cs="Times New Roman"/>
          <w:b w:val="0"/>
          <w:bCs w:val="0"/>
          <w:color w:val="000000"/>
          <w:sz w:val="24"/>
          <w:szCs w:val="24"/>
          <w:highlight w:val="none"/>
        </w:rPr>
      </w:pPr>
      <w:r>
        <w:rPr>
          <w:rFonts w:hint="eastAsia" w:ascii="仿宋_GB2312" w:eastAsia="仿宋_GB2312" w:cs="Times New Roman"/>
          <w:b w:val="0"/>
          <w:bCs w:val="0"/>
          <w:color w:val="000000"/>
          <w:sz w:val="24"/>
          <w:szCs w:val="24"/>
          <w:highlight w:val="none"/>
        </w:rPr>
        <w:t xml:space="preserve"> </w:t>
      </w:r>
      <w:r>
        <w:rPr>
          <w:rFonts w:hint="eastAsia" w:ascii="仿宋" w:hAnsi="仿宋" w:eastAsia="仿宋" w:cs="仿宋"/>
          <w:sz w:val="30"/>
          <w:szCs w:val="30"/>
          <w:highlight w:val="none"/>
          <w:lang w:val="en-US" w:eastAsia="zh-CN"/>
        </w:rPr>
        <w:t>曲阳县城区老旧小区管网改造及新建配水管网项目支出明细表</w:t>
      </w:r>
      <w:r>
        <w:rPr>
          <w:rFonts w:hint="eastAsia" w:ascii="仿宋_GB2312" w:eastAsia="仿宋_GB2312" w:cs="Times New Roman"/>
          <w:b w:val="0"/>
          <w:bCs w:val="0"/>
          <w:color w:val="000000"/>
          <w:sz w:val="24"/>
          <w:szCs w:val="24"/>
          <w:highlight w:val="none"/>
        </w:rPr>
        <w:t xml:space="preserve">                                                     </w:t>
      </w:r>
    </w:p>
    <w:p>
      <w:pPr>
        <w:widowControl/>
        <w:spacing w:line="560" w:lineRule="exact"/>
        <w:jc w:val="center"/>
        <w:textAlignment w:val="center"/>
        <w:rPr>
          <w:rFonts w:ascii="仿宋_GB2312" w:eastAsia="仿宋_GB2312" w:cs="Times New Roman"/>
          <w:b w:val="0"/>
          <w:bCs w:val="0"/>
          <w:color w:val="000000"/>
          <w:sz w:val="24"/>
          <w:szCs w:val="24"/>
          <w:highlight w:val="none"/>
        </w:rPr>
      </w:pPr>
      <w:r>
        <w:rPr>
          <w:rFonts w:hint="eastAsia" w:ascii="仿宋_GB2312" w:eastAsia="仿宋_GB2312" w:cs="Times New Roman"/>
          <w:b w:val="0"/>
          <w:bCs w:val="0"/>
          <w:color w:val="000000"/>
          <w:sz w:val="24"/>
          <w:szCs w:val="24"/>
          <w:highlight w:val="none"/>
          <w:lang w:val="en-US" w:eastAsia="zh-CN"/>
        </w:rPr>
        <w:t xml:space="preserve">                                                                     </w:t>
      </w:r>
      <w:r>
        <w:rPr>
          <w:rFonts w:hint="eastAsia" w:ascii="仿宋_GB2312" w:eastAsia="仿宋_GB2312" w:cs="Times New Roman"/>
          <w:b w:val="0"/>
          <w:bCs w:val="0"/>
          <w:color w:val="000000"/>
          <w:sz w:val="24"/>
          <w:szCs w:val="24"/>
          <w:highlight w:val="none"/>
        </w:rPr>
        <w:t xml:space="preserve">  单位：万元</w:t>
      </w:r>
    </w:p>
    <w:tbl>
      <w:tblPr>
        <w:tblStyle w:val="19"/>
        <w:tblW w:w="9785" w:type="dxa"/>
        <w:tblInd w:w="60" w:type="dxa"/>
        <w:tblLayout w:type="fixed"/>
        <w:tblCellMar>
          <w:top w:w="0" w:type="dxa"/>
          <w:left w:w="108" w:type="dxa"/>
          <w:bottom w:w="0" w:type="dxa"/>
          <w:right w:w="108" w:type="dxa"/>
        </w:tblCellMar>
      </w:tblPr>
      <w:tblGrid>
        <w:gridCol w:w="800"/>
        <w:gridCol w:w="2375"/>
        <w:gridCol w:w="4265"/>
        <w:gridCol w:w="2345"/>
      </w:tblGrid>
      <w:tr>
        <w:tblPrEx>
          <w:tblCellMar>
            <w:top w:w="0" w:type="dxa"/>
            <w:left w:w="108" w:type="dxa"/>
            <w:bottom w:w="0" w:type="dxa"/>
            <w:right w:w="108" w:type="dxa"/>
          </w:tblCellMar>
        </w:tblPrEx>
        <w:trPr>
          <w:trHeight w:val="632"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仿宋_GB2312" w:eastAsia="仿宋_GB2312" w:cs="Times New Roman"/>
                <w:b/>
                <w:bCs/>
                <w:color w:val="000000"/>
                <w:sz w:val="24"/>
                <w:szCs w:val="24"/>
                <w:highlight w:val="none"/>
                <w:lang w:val="en-US" w:eastAsia="zh-CN"/>
              </w:rPr>
            </w:pPr>
            <w:r>
              <w:rPr>
                <w:rFonts w:hint="eastAsia" w:ascii="仿宋_GB2312" w:eastAsia="仿宋_GB2312" w:cs="Times New Roman"/>
                <w:b/>
                <w:bCs/>
                <w:color w:val="000000"/>
                <w:sz w:val="24"/>
                <w:szCs w:val="24"/>
                <w:highlight w:val="none"/>
                <w:lang w:val="en-US" w:eastAsia="zh-CN"/>
              </w:rPr>
              <w:t>序号</w:t>
            </w:r>
          </w:p>
        </w:tc>
        <w:tc>
          <w:tcPr>
            <w:tcW w:w="2375"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eastAsia="仿宋_GB2312" w:cs="Times New Roman"/>
                <w:b/>
                <w:bCs/>
                <w:color w:val="000000"/>
                <w:sz w:val="24"/>
                <w:szCs w:val="24"/>
                <w:highlight w:val="none"/>
                <w:lang w:val="en-US" w:eastAsia="zh-CN"/>
              </w:rPr>
            </w:pPr>
            <w:r>
              <w:rPr>
                <w:rFonts w:hint="eastAsia" w:ascii="仿宋_GB2312" w:eastAsia="仿宋_GB2312" w:cs="Times New Roman"/>
                <w:b/>
                <w:bCs/>
                <w:color w:val="000000"/>
                <w:sz w:val="24"/>
                <w:szCs w:val="24"/>
                <w:highlight w:val="none"/>
                <w:lang w:val="en-US" w:eastAsia="zh-CN"/>
              </w:rPr>
              <w:t>内容</w:t>
            </w:r>
          </w:p>
        </w:tc>
        <w:tc>
          <w:tcPr>
            <w:tcW w:w="4265"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eastAsia="仿宋_GB2312" w:cs="Times New Roman"/>
                <w:b/>
                <w:bCs/>
                <w:color w:val="000000"/>
                <w:sz w:val="24"/>
                <w:szCs w:val="24"/>
                <w:highlight w:val="none"/>
                <w:lang w:val="en-US" w:eastAsia="zh-CN"/>
              </w:rPr>
            </w:pPr>
            <w:r>
              <w:rPr>
                <w:rFonts w:hint="eastAsia" w:ascii="仿宋_GB2312" w:eastAsia="仿宋_GB2312" w:cs="Times New Roman"/>
                <w:b/>
                <w:bCs/>
                <w:color w:val="000000"/>
                <w:sz w:val="24"/>
                <w:szCs w:val="24"/>
                <w:highlight w:val="none"/>
                <w:lang w:val="en-US" w:eastAsia="zh-CN"/>
              </w:rPr>
              <w:t>公司名称</w:t>
            </w:r>
          </w:p>
        </w:tc>
        <w:tc>
          <w:tcPr>
            <w:tcW w:w="2345"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eastAsia="仿宋_GB2312" w:cs="Times New Roman"/>
                <w:b/>
                <w:bCs/>
                <w:color w:val="000000"/>
                <w:sz w:val="24"/>
                <w:szCs w:val="24"/>
                <w:highlight w:val="none"/>
                <w:lang w:val="en-US" w:eastAsia="zh-CN"/>
              </w:rPr>
            </w:pPr>
            <w:r>
              <w:rPr>
                <w:rFonts w:hint="eastAsia" w:ascii="仿宋_GB2312" w:eastAsia="仿宋_GB2312" w:cs="Times New Roman"/>
                <w:b/>
                <w:bCs/>
                <w:color w:val="000000"/>
                <w:sz w:val="24"/>
                <w:szCs w:val="24"/>
                <w:highlight w:val="none"/>
                <w:lang w:val="en-US" w:eastAsia="zh-CN"/>
              </w:rPr>
              <w:t>累计支付金额</w:t>
            </w:r>
          </w:p>
        </w:tc>
      </w:tr>
      <w:tr>
        <w:tblPrEx>
          <w:tblCellMar>
            <w:top w:w="0" w:type="dxa"/>
            <w:left w:w="108" w:type="dxa"/>
            <w:bottom w:w="0" w:type="dxa"/>
            <w:right w:w="108" w:type="dxa"/>
          </w:tblCellMar>
        </w:tblPrEx>
        <w:trPr>
          <w:trHeight w:val="632"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bCs/>
                <w:color w:val="000000"/>
                <w:sz w:val="24"/>
                <w:szCs w:val="24"/>
                <w:highlight w:val="none"/>
                <w:lang w:val="en-US" w:eastAsia="zh-CN"/>
              </w:rPr>
            </w:pPr>
            <w:r>
              <w:rPr>
                <w:rFonts w:hint="eastAsia" w:ascii="宋体" w:hAnsi="宋体" w:eastAsia="宋体" w:cs="宋体"/>
                <w:b/>
                <w:bCs/>
                <w:i w:val="0"/>
                <w:iCs w:val="0"/>
                <w:color w:val="000000"/>
                <w:kern w:val="0"/>
                <w:sz w:val="22"/>
                <w:szCs w:val="22"/>
                <w:highlight w:val="none"/>
                <w:u w:val="none"/>
                <w:lang w:val="en-US" w:eastAsia="zh-CN" w:bidi="ar"/>
              </w:rPr>
              <w:t>1</w:t>
            </w:r>
          </w:p>
        </w:tc>
        <w:tc>
          <w:tcPr>
            <w:tcW w:w="237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val="0"/>
                <w:bCs w:val="0"/>
                <w:color w:val="000000"/>
                <w:sz w:val="24"/>
                <w:szCs w:val="24"/>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工程款</w:t>
            </w:r>
          </w:p>
        </w:tc>
        <w:tc>
          <w:tcPr>
            <w:tcW w:w="426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val="0"/>
                <w:bCs w:val="0"/>
                <w:color w:val="000000"/>
                <w:sz w:val="24"/>
                <w:szCs w:val="24"/>
                <w:highlight w:val="none"/>
                <w:lang w:val="en-US" w:eastAsia="zh-CN"/>
              </w:rPr>
            </w:pPr>
            <w:r>
              <w:rPr>
                <w:rFonts w:hint="eastAsia" w:ascii="宋体" w:hAnsi="宋体" w:cs="宋体"/>
                <w:i w:val="0"/>
                <w:iCs w:val="0"/>
                <w:color w:val="000000"/>
                <w:kern w:val="0"/>
                <w:sz w:val="22"/>
                <w:szCs w:val="22"/>
                <w:highlight w:val="none"/>
                <w:u w:val="none"/>
                <w:lang w:val="en-US" w:eastAsia="zh-CN" w:bidi="ar"/>
              </w:rPr>
              <w:t>曲阳县市政工程有限公司</w:t>
            </w:r>
          </w:p>
        </w:tc>
        <w:tc>
          <w:tcPr>
            <w:tcW w:w="234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val="0"/>
                <w:bCs w:val="0"/>
                <w:color w:val="000000"/>
                <w:sz w:val="24"/>
                <w:szCs w:val="24"/>
                <w:highlight w:val="none"/>
                <w:lang w:val="en-US" w:eastAsia="zh-CN"/>
              </w:rPr>
            </w:pPr>
            <w:r>
              <w:rPr>
                <w:rFonts w:hint="eastAsia" w:ascii="宋体" w:hAnsi="宋体" w:cs="宋体"/>
                <w:i w:val="0"/>
                <w:iCs w:val="0"/>
                <w:color w:val="000000"/>
                <w:kern w:val="0"/>
                <w:sz w:val="22"/>
                <w:szCs w:val="22"/>
                <w:highlight w:val="none"/>
                <w:u w:val="none"/>
                <w:lang w:val="en-US" w:eastAsia="zh-CN" w:bidi="ar"/>
              </w:rPr>
              <w:t>4,000.00</w:t>
            </w:r>
          </w:p>
        </w:tc>
      </w:tr>
      <w:tr>
        <w:tblPrEx>
          <w:tblCellMar>
            <w:top w:w="0" w:type="dxa"/>
            <w:left w:w="108" w:type="dxa"/>
            <w:bottom w:w="0" w:type="dxa"/>
            <w:right w:w="108" w:type="dxa"/>
          </w:tblCellMar>
        </w:tblPrEx>
        <w:trPr>
          <w:trHeight w:val="686"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rPr>
                <w:rFonts w:hint="eastAsia" w:ascii="仿宋_GB2312" w:eastAsia="仿宋_GB2312" w:cs="Times New Roman"/>
                <w:b w:val="0"/>
                <w:bCs w:val="0"/>
                <w:color w:val="000000"/>
                <w:sz w:val="24"/>
                <w:szCs w:val="24"/>
                <w:highlight w:val="none"/>
              </w:rPr>
            </w:pPr>
          </w:p>
        </w:tc>
        <w:tc>
          <w:tcPr>
            <w:tcW w:w="237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hAnsi="Times New Roman" w:eastAsia="仿宋_GB2312" w:cs="Times New Roman"/>
                <w:b/>
                <w:bCs/>
                <w:color w:val="000000"/>
                <w:kern w:val="2"/>
                <w:sz w:val="24"/>
                <w:szCs w:val="24"/>
                <w:highlight w:val="none"/>
                <w:lang w:val="en-US" w:eastAsia="zh-CN" w:bidi="ar-SA"/>
              </w:rPr>
            </w:pPr>
            <w:r>
              <w:rPr>
                <w:rFonts w:hint="eastAsia" w:ascii="仿宋_GB2312" w:eastAsia="仿宋_GB2312" w:cs="Times New Roman"/>
                <w:b/>
                <w:bCs/>
                <w:color w:val="000000"/>
                <w:sz w:val="24"/>
                <w:szCs w:val="24"/>
                <w:highlight w:val="none"/>
                <w:lang w:val="en-US" w:eastAsia="zh-CN"/>
              </w:rPr>
              <w:t>合计</w:t>
            </w:r>
          </w:p>
        </w:tc>
        <w:tc>
          <w:tcPr>
            <w:tcW w:w="426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highlight w:val="none"/>
                <w:u w:val="none"/>
                <w:lang w:val="en-US" w:eastAsia="zh-CN" w:bidi="ar"/>
              </w:rPr>
            </w:pPr>
          </w:p>
        </w:tc>
        <w:tc>
          <w:tcPr>
            <w:tcW w:w="234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highlight w:val="none"/>
                <w:u w:val="none"/>
                <w:lang w:val="en-US" w:eastAsia="zh-CN" w:bidi="ar"/>
              </w:rPr>
            </w:pPr>
            <w:r>
              <w:rPr>
                <w:rFonts w:hint="eastAsia" w:ascii="仿宋_GB2312" w:hAnsi="宋体" w:eastAsia="仿宋_GB2312" w:cs="仿宋_GB2312"/>
                <w:b/>
                <w:bCs/>
                <w:i w:val="0"/>
                <w:iCs w:val="0"/>
                <w:color w:val="000000"/>
                <w:kern w:val="0"/>
                <w:sz w:val="24"/>
                <w:szCs w:val="24"/>
                <w:highlight w:val="none"/>
                <w:u w:val="none"/>
                <w:lang w:val="en-US" w:eastAsia="zh-CN" w:bidi="ar"/>
              </w:rPr>
              <w:t>4,000.00</w:t>
            </w:r>
          </w:p>
        </w:tc>
      </w:tr>
    </w:tbl>
    <w:p>
      <w:pPr>
        <w:pStyle w:val="16"/>
        <w:rPr>
          <w:rFonts w:hint="eastAsia"/>
          <w:highlight w:val="none"/>
          <w:lang w:val="en-US" w:eastAsia="zh-CN"/>
        </w:rPr>
      </w:pP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根据曲阳县人民政府《关于2022年政府专项债券限额使用及项目安排的报告》〔2022〕曲府77号文件显示，安排曲阳县城区老旧小区管网改造及新建配水管网项目专项债券资金4,000.00万元，预算下达到曲阳县城市管理综合行政执法局，并由曲阳县城市管理综合行政执法局进行集中支付。</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2022年度，该项目共计收到专项债券资金4,000.00万元，实际支出4,000.00万元,全部为工程款支出。收支明细详见下表：</w:t>
      </w:r>
    </w:p>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专项债券资金收支明细表</w:t>
      </w:r>
    </w:p>
    <w:p>
      <w:pPr>
        <w:pStyle w:val="36"/>
        <w:tabs>
          <w:tab w:val="left" w:pos="312"/>
        </w:tabs>
        <w:spacing w:line="560" w:lineRule="exact"/>
        <w:ind w:left="120" w:firstLine="440"/>
        <w:jc w:val="right"/>
        <w:rPr>
          <w:rFonts w:hint="eastAsia" w:ascii="仿宋" w:hAnsi="仿宋" w:eastAsia="仿宋" w:cs="仿宋"/>
          <w:sz w:val="24"/>
          <w:szCs w:val="24"/>
          <w:highlight w:val="none"/>
        </w:rPr>
      </w:pPr>
      <w:r>
        <w:rPr>
          <w:rFonts w:hint="eastAsia" w:ascii="仿宋" w:hAnsi="仿宋" w:eastAsia="仿宋" w:cs="仿宋"/>
          <w:bCs/>
          <w:kern w:val="0"/>
          <w:sz w:val="24"/>
          <w:szCs w:val="24"/>
          <w:highlight w:val="none"/>
        </w:rPr>
        <w:t>单位：万元</w:t>
      </w:r>
    </w:p>
    <w:tbl>
      <w:tblPr>
        <w:tblStyle w:val="20"/>
        <w:tblW w:w="9757" w:type="dxa"/>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3"/>
        <w:gridCol w:w="1302"/>
        <w:gridCol w:w="1905"/>
        <w:gridCol w:w="1306"/>
        <w:gridCol w:w="1623"/>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5020" w:type="dxa"/>
            <w:gridSpan w:val="3"/>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b/>
                <w:bCs/>
                <w:i w:val="0"/>
                <w:iCs w:val="0"/>
                <w:color w:val="000000"/>
                <w:kern w:val="0"/>
                <w:sz w:val="22"/>
                <w:szCs w:val="22"/>
                <w:highlight w:val="none"/>
                <w:u w:val="none"/>
                <w:lang w:val="en-US" w:eastAsia="zh-CN" w:bidi="ar"/>
              </w:rPr>
              <w:t>收入</w:t>
            </w:r>
          </w:p>
        </w:tc>
        <w:tc>
          <w:tcPr>
            <w:tcW w:w="4737" w:type="dxa"/>
            <w:gridSpan w:val="3"/>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b/>
                <w:bCs/>
                <w:i w:val="0"/>
                <w:iCs w:val="0"/>
                <w:color w:val="000000"/>
                <w:kern w:val="0"/>
                <w:sz w:val="22"/>
                <w:szCs w:val="22"/>
                <w:highlight w:val="none"/>
                <w:u w:val="none"/>
                <w:lang w:val="en-US" w:eastAsia="zh-CN" w:bidi="ar"/>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813"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名称</w:t>
            </w:r>
          </w:p>
        </w:tc>
        <w:tc>
          <w:tcPr>
            <w:tcW w:w="1302"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日期</w:t>
            </w:r>
          </w:p>
        </w:tc>
        <w:tc>
          <w:tcPr>
            <w:tcW w:w="1905"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金额</w:t>
            </w:r>
          </w:p>
        </w:tc>
        <w:tc>
          <w:tcPr>
            <w:tcW w:w="1306"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名称</w:t>
            </w:r>
          </w:p>
        </w:tc>
        <w:tc>
          <w:tcPr>
            <w:tcW w:w="1623"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日期</w:t>
            </w:r>
          </w:p>
        </w:tc>
        <w:tc>
          <w:tcPr>
            <w:tcW w:w="1808"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813" w:type="dxa"/>
            <w:vAlign w:val="center"/>
          </w:tcPr>
          <w:p>
            <w:pPr>
              <w:keepNext w:val="0"/>
              <w:keepLines w:val="0"/>
              <w:widowControl/>
              <w:suppressLineNumbers w:val="0"/>
              <w:jc w:val="left"/>
              <w:textAlignment w:val="center"/>
              <w:rPr>
                <w:rFonts w:hint="default" w:ascii="仿宋" w:hAnsi="仿宋" w:eastAsia="仿宋" w:cs="仿宋"/>
                <w:kern w:val="0"/>
                <w:sz w:val="22"/>
                <w:szCs w:val="22"/>
                <w:highlight w:val="none"/>
                <w:lang w:val="en-US"/>
              </w:rPr>
            </w:pPr>
            <w:r>
              <w:rPr>
                <w:rFonts w:hint="eastAsia" w:ascii="仿宋" w:hAnsi="仿宋" w:eastAsia="仿宋" w:cs="仿宋"/>
                <w:i w:val="0"/>
                <w:iCs w:val="0"/>
                <w:color w:val="000000"/>
                <w:kern w:val="0"/>
                <w:sz w:val="22"/>
                <w:szCs w:val="22"/>
                <w:highlight w:val="none"/>
                <w:u w:val="none"/>
                <w:lang w:val="en-US" w:eastAsia="zh-CN" w:bidi="ar"/>
              </w:rPr>
              <w:t>专项债券资金</w:t>
            </w:r>
          </w:p>
        </w:tc>
        <w:tc>
          <w:tcPr>
            <w:tcW w:w="1302" w:type="dxa"/>
            <w:vAlign w:val="center"/>
          </w:tcPr>
          <w:p>
            <w:pPr>
              <w:keepNext w:val="0"/>
              <w:keepLines w:val="0"/>
              <w:widowControl/>
              <w:suppressLineNumbers w:val="0"/>
              <w:jc w:val="center"/>
              <w:textAlignment w:val="center"/>
              <w:rPr>
                <w:rFonts w:hint="default" w:ascii="仿宋" w:hAnsi="仿宋" w:eastAsia="仿宋" w:cs="仿宋"/>
                <w:kern w:val="0"/>
                <w:sz w:val="22"/>
                <w:szCs w:val="22"/>
                <w:highlight w:val="none"/>
                <w:lang w:val="en-US"/>
              </w:rPr>
            </w:pPr>
            <w:r>
              <w:rPr>
                <w:rFonts w:hint="eastAsia" w:ascii="仿宋" w:hAnsi="仿宋" w:eastAsia="仿宋" w:cs="仿宋"/>
                <w:i w:val="0"/>
                <w:iCs w:val="0"/>
                <w:color w:val="000000"/>
                <w:kern w:val="0"/>
                <w:sz w:val="22"/>
                <w:szCs w:val="22"/>
                <w:highlight w:val="none"/>
                <w:u w:val="none"/>
                <w:lang w:val="en-US" w:eastAsia="zh-CN" w:bidi="ar"/>
              </w:rPr>
              <w:t>2022.9.30</w:t>
            </w:r>
          </w:p>
        </w:tc>
        <w:tc>
          <w:tcPr>
            <w:tcW w:w="1905" w:type="dxa"/>
            <w:vAlign w:val="center"/>
          </w:tcPr>
          <w:p>
            <w:pPr>
              <w:keepNext w:val="0"/>
              <w:keepLines w:val="0"/>
              <w:widowControl/>
              <w:suppressLineNumbers w:val="0"/>
              <w:jc w:val="center"/>
              <w:textAlignment w:val="center"/>
              <w:rPr>
                <w:rFonts w:hint="default" w:ascii="仿宋" w:hAnsi="仿宋" w:eastAsia="仿宋" w:cs="仿宋"/>
                <w:kern w:val="0"/>
                <w:sz w:val="22"/>
                <w:szCs w:val="22"/>
                <w:highlight w:val="none"/>
                <w:lang w:val="en-US" w:eastAsia="zh-CN"/>
              </w:rPr>
            </w:pPr>
            <w:r>
              <w:rPr>
                <w:rFonts w:hint="eastAsia" w:ascii="仿宋" w:hAnsi="仿宋" w:eastAsia="仿宋" w:cs="仿宋"/>
                <w:kern w:val="0"/>
                <w:sz w:val="22"/>
                <w:szCs w:val="22"/>
                <w:highlight w:val="none"/>
                <w:lang w:val="en-US" w:eastAsia="zh-CN"/>
              </w:rPr>
              <w:t>4,000.00</w:t>
            </w:r>
          </w:p>
        </w:tc>
        <w:tc>
          <w:tcPr>
            <w:tcW w:w="1306"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工程预付款</w:t>
            </w:r>
          </w:p>
        </w:tc>
        <w:tc>
          <w:tcPr>
            <w:tcW w:w="1623"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2022.9.30</w:t>
            </w:r>
          </w:p>
        </w:tc>
        <w:tc>
          <w:tcPr>
            <w:tcW w:w="1808"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lang w:val="en-US" w:eastAsia="zh-CN"/>
              </w:rPr>
              <w:t>4,000.00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3115" w:type="dxa"/>
            <w:gridSpan w:val="2"/>
            <w:vAlign w:val="center"/>
          </w:tcPr>
          <w:p>
            <w:pPr>
              <w:keepNext w:val="0"/>
              <w:keepLines w:val="0"/>
              <w:widowControl/>
              <w:suppressLineNumbers w:val="0"/>
              <w:jc w:val="center"/>
              <w:textAlignment w:val="center"/>
              <w:rPr>
                <w:rFonts w:hint="eastAsia" w:ascii="仿宋_GB2312" w:hAnsi="Times New Roman" w:eastAsia="仿宋_GB2312" w:cs="Times New Roman"/>
                <w:b/>
                <w:bCs/>
                <w:color w:val="000000"/>
                <w:sz w:val="24"/>
                <w:szCs w:val="24"/>
                <w:highlight w:val="none"/>
                <w:lang w:val="en-US" w:eastAsia="zh-CN"/>
              </w:rPr>
            </w:pPr>
            <w:r>
              <w:rPr>
                <w:rFonts w:hint="eastAsia" w:ascii="仿宋_GB2312" w:hAnsi="Times New Roman" w:eastAsia="仿宋_GB2312" w:cs="Times New Roman"/>
                <w:b/>
                <w:bCs/>
                <w:color w:val="000000"/>
                <w:sz w:val="24"/>
                <w:szCs w:val="24"/>
                <w:highlight w:val="none"/>
                <w:lang w:val="en-US" w:eastAsia="zh-CN"/>
              </w:rPr>
              <w:t>合计</w:t>
            </w:r>
          </w:p>
        </w:tc>
        <w:tc>
          <w:tcPr>
            <w:tcW w:w="1905" w:type="dxa"/>
            <w:vAlign w:val="center"/>
          </w:tcPr>
          <w:p>
            <w:pPr>
              <w:keepNext w:val="0"/>
              <w:keepLines w:val="0"/>
              <w:widowControl/>
              <w:suppressLineNumbers w:val="0"/>
              <w:jc w:val="center"/>
              <w:textAlignment w:val="center"/>
              <w:rPr>
                <w:rFonts w:hint="eastAsia" w:ascii="仿宋_GB2312" w:hAnsi="Times New Roman" w:eastAsia="仿宋_GB2312" w:cs="Times New Roman"/>
                <w:b/>
                <w:bCs/>
                <w:color w:val="000000"/>
                <w:sz w:val="24"/>
                <w:szCs w:val="24"/>
                <w:highlight w:val="none"/>
                <w:lang w:val="en-US" w:eastAsia="zh-CN"/>
              </w:rPr>
            </w:pPr>
            <w:r>
              <w:rPr>
                <w:rFonts w:hint="eastAsia" w:ascii="仿宋_GB2312" w:hAnsi="Times New Roman" w:eastAsia="仿宋_GB2312" w:cs="Times New Roman"/>
                <w:b/>
                <w:bCs/>
                <w:color w:val="000000"/>
                <w:sz w:val="24"/>
                <w:szCs w:val="24"/>
                <w:highlight w:val="none"/>
                <w:lang w:val="en-US" w:eastAsia="zh-CN"/>
              </w:rPr>
              <w:t xml:space="preserve"> </w:t>
            </w:r>
            <w:r>
              <w:rPr>
                <w:rFonts w:hint="eastAsia" w:ascii="仿宋_GB2312" w:eastAsia="仿宋_GB2312" w:cs="Times New Roman"/>
                <w:b/>
                <w:bCs/>
                <w:color w:val="000000"/>
                <w:sz w:val="24"/>
                <w:szCs w:val="24"/>
                <w:highlight w:val="none"/>
                <w:lang w:val="en-US" w:eastAsia="zh-CN"/>
              </w:rPr>
              <w:t>4,000.00</w:t>
            </w:r>
          </w:p>
        </w:tc>
        <w:tc>
          <w:tcPr>
            <w:tcW w:w="2929" w:type="dxa"/>
            <w:gridSpan w:val="2"/>
            <w:vAlign w:val="center"/>
          </w:tcPr>
          <w:p>
            <w:pPr>
              <w:keepNext w:val="0"/>
              <w:keepLines w:val="0"/>
              <w:widowControl/>
              <w:suppressLineNumbers w:val="0"/>
              <w:jc w:val="center"/>
              <w:textAlignment w:val="center"/>
              <w:rPr>
                <w:rFonts w:hint="eastAsia" w:ascii="仿宋_GB2312" w:hAnsi="Times New Roman" w:eastAsia="仿宋_GB2312" w:cs="Times New Roman"/>
                <w:b/>
                <w:bCs/>
                <w:color w:val="000000"/>
                <w:sz w:val="24"/>
                <w:szCs w:val="24"/>
                <w:highlight w:val="none"/>
                <w:lang w:val="en-US" w:eastAsia="zh-CN"/>
              </w:rPr>
            </w:pPr>
            <w:r>
              <w:rPr>
                <w:rFonts w:hint="eastAsia" w:ascii="仿宋_GB2312" w:hAnsi="Times New Roman" w:eastAsia="仿宋_GB2312" w:cs="Times New Roman"/>
                <w:b/>
                <w:bCs/>
                <w:color w:val="000000"/>
                <w:sz w:val="24"/>
                <w:szCs w:val="24"/>
                <w:highlight w:val="none"/>
                <w:lang w:val="en-US" w:eastAsia="zh-CN"/>
              </w:rPr>
              <w:t>合计</w:t>
            </w:r>
          </w:p>
        </w:tc>
        <w:tc>
          <w:tcPr>
            <w:tcW w:w="1808" w:type="dxa"/>
            <w:vAlign w:val="center"/>
          </w:tcPr>
          <w:p>
            <w:pPr>
              <w:keepNext w:val="0"/>
              <w:keepLines w:val="0"/>
              <w:widowControl/>
              <w:suppressLineNumbers w:val="0"/>
              <w:jc w:val="center"/>
              <w:textAlignment w:val="center"/>
              <w:rPr>
                <w:rFonts w:hint="eastAsia" w:ascii="仿宋_GB2312" w:hAnsi="Times New Roman" w:eastAsia="仿宋_GB2312" w:cs="Times New Roman"/>
                <w:b/>
                <w:bCs/>
                <w:color w:val="000000"/>
                <w:sz w:val="24"/>
                <w:szCs w:val="24"/>
                <w:highlight w:val="none"/>
                <w:lang w:val="en-US" w:eastAsia="zh-CN"/>
              </w:rPr>
            </w:pPr>
            <w:r>
              <w:rPr>
                <w:rFonts w:hint="eastAsia" w:ascii="仿宋_GB2312" w:hAnsi="Times New Roman" w:eastAsia="仿宋_GB2312" w:cs="Times New Roman"/>
                <w:b/>
                <w:bCs/>
                <w:color w:val="000000"/>
                <w:sz w:val="24"/>
                <w:szCs w:val="24"/>
                <w:highlight w:val="none"/>
                <w:lang w:val="en-US" w:eastAsia="zh-CN"/>
              </w:rPr>
              <w:t xml:space="preserve"> </w:t>
            </w:r>
            <w:r>
              <w:rPr>
                <w:rFonts w:hint="eastAsia" w:ascii="仿宋_GB2312" w:eastAsia="仿宋_GB2312" w:cs="Times New Roman"/>
                <w:b/>
                <w:bCs/>
                <w:color w:val="000000"/>
                <w:sz w:val="24"/>
                <w:szCs w:val="24"/>
                <w:highlight w:val="none"/>
                <w:lang w:val="en-US" w:eastAsia="zh-CN"/>
              </w:rPr>
              <w:t>4,000.00</w:t>
            </w:r>
          </w:p>
        </w:tc>
      </w:tr>
    </w:tbl>
    <w:p>
      <w:pPr>
        <w:pStyle w:val="16"/>
        <w:ind w:left="0" w:leftChars="0" w:firstLine="0" w:firstLineChars="0"/>
        <w:rPr>
          <w:rFonts w:hint="eastAsia"/>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left="562" w:leftChars="0"/>
        <w:jc w:val="left"/>
        <w:textAlignment w:val="auto"/>
        <w:rPr>
          <w:rFonts w:hint="eastAsia" w:ascii="仿宋" w:hAnsi="仿宋" w:eastAsia="仿宋" w:cs="仿宋"/>
          <w:b/>
          <w:bCs/>
          <w:sz w:val="30"/>
          <w:szCs w:val="30"/>
          <w:highlight w:val="none"/>
          <w:lang w:val="en-US" w:eastAsia="zh-CN"/>
        </w:rPr>
      </w:pPr>
      <w:bookmarkStart w:id="16" w:name="_Toc14351"/>
      <w:bookmarkStart w:id="17" w:name="_Toc18734"/>
      <w:bookmarkStart w:id="18" w:name="_Toc21403"/>
      <w:bookmarkStart w:id="19" w:name="_Toc21592"/>
      <w:bookmarkStart w:id="20" w:name="_Toc83631030"/>
      <w:bookmarkStart w:id="21" w:name="_Toc83630320"/>
      <w:r>
        <w:rPr>
          <w:rFonts w:hint="eastAsia" w:ascii="仿宋" w:hAnsi="仿宋" w:eastAsia="仿宋" w:cs="仿宋"/>
          <w:b/>
          <w:bCs/>
          <w:sz w:val="30"/>
          <w:szCs w:val="30"/>
          <w:highlight w:val="none"/>
          <w:lang w:val="en-US" w:eastAsia="zh-CN"/>
        </w:rPr>
        <w:t>四、绩效评估工作开展情况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（一）绩效评估目的</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为了进一步强化部门支出责任，提高部门绩效意识，优化资源配置，控制节约成本，切实提供项目资金管理水平和使用效益，及时掌握项目在执行过程中产生的效果和存在的不足，特别是在资金使用方面，将评估结果与当年预算安排挂钩，作为预算合法有效执行的重要保障，并作为完善政策、分配资金、改善管理的重要依据。</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绩效评估设计过程</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lang w:eastAsia="zh-CN"/>
        </w:rPr>
        <w:t>.收集资料</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工作组在项目实施单位收集、整理被评估项目基础资料及相关信息，对项目情况进行初步了解。</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lang w:eastAsia="zh-CN"/>
        </w:rPr>
        <w:t>.绩效评估具体实施</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我们通过查看项目相关政策文件，项目</w:t>
      </w:r>
      <w:r>
        <w:rPr>
          <w:rFonts w:hint="eastAsia" w:ascii="仿宋" w:hAnsi="仿宋" w:eastAsia="仿宋" w:cs="仿宋"/>
          <w:sz w:val="30"/>
          <w:szCs w:val="30"/>
          <w:highlight w:val="none"/>
          <w:lang w:val="en-US" w:eastAsia="zh-CN"/>
        </w:rPr>
        <w:t>的相关管理制度</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档案资料、</w:t>
      </w:r>
      <w:r>
        <w:rPr>
          <w:rFonts w:hint="eastAsia" w:ascii="仿宋" w:hAnsi="仿宋" w:eastAsia="仿宋" w:cs="仿宋"/>
          <w:sz w:val="30"/>
          <w:szCs w:val="30"/>
          <w:highlight w:val="none"/>
          <w:lang w:eastAsia="zh-CN"/>
        </w:rPr>
        <w:t>资金</w:t>
      </w:r>
      <w:r>
        <w:rPr>
          <w:rFonts w:hint="eastAsia" w:ascii="仿宋" w:hAnsi="仿宋" w:eastAsia="仿宋" w:cs="仿宋"/>
          <w:sz w:val="30"/>
          <w:szCs w:val="30"/>
          <w:highlight w:val="none"/>
          <w:lang w:val="en-US" w:eastAsia="zh-CN"/>
        </w:rPr>
        <w:t>收付明细账</w:t>
      </w:r>
      <w:r>
        <w:rPr>
          <w:rFonts w:hint="eastAsia" w:ascii="仿宋" w:hAnsi="仿宋" w:eastAsia="仿宋" w:cs="仿宋"/>
          <w:sz w:val="30"/>
          <w:szCs w:val="30"/>
          <w:highlight w:val="none"/>
          <w:lang w:eastAsia="zh-CN"/>
        </w:rPr>
        <w:t>等相关资料，评估项目实施的效果，并按照评估指标体系对相应事项进行分数评定。</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3.撰写绩效报告</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工作组根据现场核实、数据分析情况，撰写绩效评估报告</w:t>
      </w:r>
      <w:r>
        <w:rPr>
          <w:rFonts w:hint="eastAsia" w:ascii="仿宋" w:hAnsi="仿宋" w:eastAsia="仿宋" w:cs="仿宋"/>
          <w:sz w:val="30"/>
          <w:szCs w:val="30"/>
          <w:highlight w:val="none"/>
          <w:lang w:val="en-US" w:eastAsia="zh-CN"/>
        </w:rPr>
        <w:t>，</w:t>
      </w:r>
      <w:r>
        <w:rPr>
          <w:rFonts w:hint="eastAsia" w:ascii="仿宋" w:hAnsi="仿宋" w:eastAsia="仿宋" w:cs="仿宋"/>
          <w:sz w:val="30"/>
          <w:szCs w:val="30"/>
          <w:highlight w:val="none"/>
          <w:lang w:eastAsia="zh-CN"/>
        </w:rPr>
        <w:t>经过内部讨论、与项目实施单位交换沟通，形成绩效评估项目报告初稿。</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（三）绩效评估框架</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1.绩效评估原则</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（1）价值导向原则：财政支出绩效评估体系应能够反映财政支出的经济性、效益性、有效性原则，体现财政部门和项目主管部门的价值导向。</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（2）重要性原则：根据指标在整个指标体系的地位和作用进行筛选，选择最具代表性、最能反映评估要求的指标。</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（3）可比性原则：在相似项目之间有共同的指标，不同项目之间的衡量结果可以相互比较。</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（4）综合性原则：将定性指标和定量指标相结合，定性分析是定量分析的基础，定量分析是定性分析的深化，两者相结合系统反映财政支出所产生的社会效益。</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（5）经济性原则：指标的选取要考虑现实条件及可操作性，数据的获得应符合成本效益原则，在合理成本的基础上收集信息。</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2.绩效评估的评估方法</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本次评估采取定量和定性评估相结合、综合评估相结合的方式，运用审查法和现场查勘法开展绩效评估工作。</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（1）审查法：通过审查被评估单位的项目档案、项目</w:t>
      </w:r>
      <w:r>
        <w:rPr>
          <w:rFonts w:hint="eastAsia" w:ascii="仿宋" w:hAnsi="仿宋" w:eastAsia="仿宋" w:cs="仿宋"/>
          <w:sz w:val="30"/>
          <w:szCs w:val="30"/>
          <w:highlight w:val="none"/>
          <w:lang w:val="en-US" w:eastAsia="zh-CN"/>
        </w:rPr>
        <w:t>管理制度</w:t>
      </w:r>
      <w:r>
        <w:rPr>
          <w:rFonts w:hint="eastAsia" w:ascii="仿宋" w:hAnsi="仿宋" w:eastAsia="仿宋" w:cs="仿宋"/>
          <w:sz w:val="30"/>
          <w:szCs w:val="30"/>
          <w:highlight w:val="none"/>
          <w:lang w:eastAsia="zh-CN"/>
        </w:rPr>
        <w:t>、资金</w:t>
      </w:r>
      <w:r>
        <w:rPr>
          <w:rFonts w:hint="eastAsia" w:ascii="仿宋" w:hAnsi="仿宋" w:eastAsia="仿宋" w:cs="仿宋"/>
          <w:sz w:val="30"/>
          <w:szCs w:val="30"/>
          <w:highlight w:val="none"/>
          <w:lang w:val="en-US" w:eastAsia="zh-CN"/>
        </w:rPr>
        <w:t>支付凭证</w:t>
      </w:r>
      <w:r>
        <w:rPr>
          <w:rFonts w:hint="eastAsia" w:ascii="仿宋" w:hAnsi="仿宋" w:eastAsia="仿宋" w:cs="仿宋"/>
          <w:sz w:val="30"/>
          <w:szCs w:val="30"/>
          <w:highlight w:val="none"/>
          <w:lang w:eastAsia="zh-CN"/>
        </w:rPr>
        <w:t>、资金支付</w:t>
      </w:r>
      <w:r>
        <w:rPr>
          <w:rFonts w:hint="eastAsia" w:ascii="仿宋" w:hAnsi="仿宋" w:eastAsia="仿宋" w:cs="仿宋"/>
          <w:sz w:val="30"/>
          <w:szCs w:val="30"/>
          <w:highlight w:val="none"/>
          <w:lang w:val="en-US" w:eastAsia="zh-CN"/>
        </w:rPr>
        <w:t>明细账</w:t>
      </w:r>
      <w:r>
        <w:rPr>
          <w:rFonts w:hint="eastAsia" w:ascii="仿宋" w:hAnsi="仿宋" w:eastAsia="仿宋" w:cs="仿宋"/>
          <w:sz w:val="30"/>
          <w:szCs w:val="30"/>
          <w:highlight w:val="none"/>
          <w:lang w:eastAsia="zh-CN"/>
        </w:rPr>
        <w:t>等项目资料，分析资金支出的合理性和合规性。</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eastAsia="zh-CN"/>
        </w:rPr>
        <w:t>（2）现场查勘法：通过对项目的现场查勘，了解目标的实施情况，进而评估项目绩效目标的完成情况。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3.绩效评估标准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绩效评估标准：是指衡量财政支出绩效目标完成程度的尺度，绩效评估标准。具体包括：</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（1）计划标准：是指以预先制定的目标、计划、预算、标准等数据作为评估的标准。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（2）行业标准：是指参照国家权威部门公布的行业指标数据制定的评估标准。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（3）历史标准：是指参照同类指标的历史数据制定的评估标准。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（4）其他标准：其他有参考价值的标准。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4.绩效评估依据</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bookmarkStart w:id="22" w:name="_Toc16243"/>
      <w:bookmarkStart w:id="23" w:name="_Toc12911"/>
      <w:bookmarkStart w:id="24" w:name="_Toc5980"/>
      <w:r>
        <w:rPr>
          <w:rFonts w:hint="eastAsia" w:ascii="仿宋" w:hAnsi="仿宋" w:eastAsia="仿宋" w:cs="仿宋"/>
          <w:sz w:val="30"/>
          <w:szCs w:val="30"/>
          <w:highlight w:val="none"/>
        </w:rPr>
        <w:t>（1）《中华人民共和国预算法》(主席令第21号)；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val="en-US" w:eastAsia="zh-CN"/>
        </w:rPr>
        <w:t xml:space="preserve">《中共中央国务院关于全面实施预算绩效管理的意见》 </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rPr>
        <w:t>）《关于印发〈财政支出绩效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管理暂行办法〉的通知》（财预〔2011〕285号）；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《河北省财政支出绩效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管理办法》（冀财预〔2011〕68号）；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）《关于印发&lt;预算绩效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 xml:space="preserve">共性指标体系框架&gt;的通知》（财预〔2013〕53号）； </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）《河北省项目支出绩效指标框架体系》（冀财预[2016]</w:t>
      </w:r>
      <w:r>
        <w:rPr>
          <w:rFonts w:hint="eastAsia" w:ascii="仿宋" w:hAnsi="仿宋" w:eastAsia="仿宋" w:cs="仿宋"/>
          <w:sz w:val="30"/>
          <w:szCs w:val="30"/>
          <w:highlight w:val="none"/>
          <w:lang w:eastAsia="zh-CN"/>
        </w:rPr>
        <w:t>94</w:t>
      </w:r>
      <w:r>
        <w:rPr>
          <w:rFonts w:hint="eastAsia" w:ascii="仿宋" w:hAnsi="仿宋" w:eastAsia="仿宋" w:cs="仿宋"/>
          <w:sz w:val="30"/>
          <w:szCs w:val="30"/>
          <w:highlight w:val="none"/>
        </w:rPr>
        <w:t>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《项目支出绩效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lang w:val="en-US" w:eastAsia="zh-CN"/>
        </w:rPr>
        <w:t>管理办法》(财预[2020]10号)；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（8）</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曲阳县财政局关于印发2023年县级财政重点绩效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lang w:val="en-US" w:eastAsia="zh-CN"/>
        </w:rPr>
        <w:t>计划的通知</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曲财</w:t>
      </w:r>
      <w:r>
        <w:rPr>
          <w:rFonts w:hint="eastAsia" w:ascii="仿宋" w:hAnsi="仿宋" w:eastAsia="仿宋" w:cs="仿宋"/>
          <w:sz w:val="30"/>
          <w:szCs w:val="30"/>
          <w:highlight w:val="none"/>
        </w:rPr>
        <w:t>[20</w:t>
      </w:r>
      <w:r>
        <w:rPr>
          <w:rFonts w:hint="eastAsia" w:ascii="仿宋" w:hAnsi="仿宋" w:eastAsia="仿宋" w:cs="仿宋"/>
          <w:sz w:val="30"/>
          <w:szCs w:val="30"/>
          <w:highlight w:val="none"/>
          <w:lang w:val="en-US" w:eastAsia="zh-CN"/>
        </w:rPr>
        <w:t>23</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15</w:t>
      </w:r>
      <w:r>
        <w:rPr>
          <w:rFonts w:hint="eastAsia" w:ascii="仿宋" w:hAnsi="仿宋" w:eastAsia="仿宋" w:cs="仿宋"/>
          <w:sz w:val="30"/>
          <w:szCs w:val="30"/>
          <w:highlight w:val="none"/>
        </w:rPr>
        <w:t>号）；</w:t>
      </w:r>
    </w:p>
    <w:p>
      <w:pPr>
        <w:pageBreakBefore w:val="0"/>
        <w:kinsoku/>
        <w:wordWrap/>
        <w:overflowPunct/>
        <w:topLinePunct w:val="0"/>
        <w:autoSpaceDE/>
        <w:autoSpaceDN/>
        <w:bidi w:val="0"/>
        <w:adjustRightInd/>
        <w:snapToGrid/>
        <w:spacing w:line="560" w:lineRule="exact"/>
        <w:ind w:firstLine="600" w:firstLineChars="200"/>
        <w:rPr>
          <w:rFonts w:hint="default" w:ascii="仿宋" w:hAnsi="仿宋" w:eastAsia="仿宋" w:cs="仿宋"/>
          <w:sz w:val="30"/>
          <w:szCs w:val="30"/>
          <w:highlight w:val="none"/>
          <w:lang w:val="en-US"/>
        </w:rPr>
      </w:pPr>
      <w:r>
        <w:rPr>
          <w:rFonts w:hint="eastAsia" w:ascii="仿宋" w:hAnsi="仿宋" w:eastAsia="仿宋" w:cs="仿宋"/>
          <w:sz w:val="30"/>
          <w:szCs w:val="30"/>
          <w:highlight w:val="none"/>
          <w:lang w:val="en-US" w:eastAsia="zh-CN"/>
        </w:rPr>
        <w:t>（9）相关预算指标文及其他文件依据。</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lang w:eastAsia="zh-CN"/>
        </w:rPr>
        <w:t>绩效评估指标体系</w:t>
      </w:r>
      <w:bookmarkEnd w:id="22"/>
      <w:bookmarkEnd w:id="23"/>
      <w:bookmarkEnd w:id="24"/>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lang w:eastAsia="zh-CN"/>
        </w:rPr>
        <w:t>）指标设定</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绩效指标指用于测量公共支出效果的指数或指数体系。绩效指标可以是某一独立指标，也可以是由多项指标组成的体系。科学的绩效指标是实现公共管理科学化的前提。</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评估指标体系是根据财政支出项目进行评估的目的、财政支出项目的绩效内容，以及财政支出指标体系的设计原则，采用适当的方法，确定财政支出项目的绩效评估指标，然后，运用适当的方法，确定各个指标相对于项目总体绩效的重要性，并用数量化的方法表示出来，即赋予每个指标一定的权重；确定各个评估指标的参照标准，即明确指标的标准值。</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lang w:eastAsia="zh-CN"/>
        </w:rPr>
        <w:t>）指标权重设定</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该项目管理类指标占全部权重的</w:t>
      </w:r>
      <w:r>
        <w:rPr>
          <w:rFonts w:hint="eastAsia" w:ascii="仿宋" w:hAnsi="仿宋" w:eastAsia="仿宋" w:cs="仿宋"/>
          <w:sz w:val="30"/>
          <w:szCs w:val="30"/>
          <w:highlight w:val="none"/>
          <w:lang w:val="en-US" w:eastAsia="zh-CN"/>
        </w:rPr>
        <w:t>60</w:t>
      </w:r>
      <w:r>
        <w:rPr>
          <w:rFonts w:hint="eastAsia" w:ascii="仿宋" w:hAnsi="仿宋" w:eastAsia="仿宋" w:cs="仿宋"/>
          <w:sz w:val="30"/>
          <w:szCs w:val="30"/>
          <w:highlight w:val="none"/>
          <w:lang w:eastAsia="zh-CN"/>
        </w:rPr>
        <w:t>%，包括项目立项、项目过程管理；项目绩效类指标占全部权重的</w:t>
      </w:r>
      <w:r>
        <w:rPr>
          <w:rFonts w:hint="eastAsia" w:ascii="仿宋" w:hAnsi="仿宋" w:eastAsia="仿宋" w:cs="仿宋"/>
          <w:sz w:val="30"/>
          <w:szCs w:val="30"/>
          <w:highlight w:val="none"/>
          <w:lang w:val="en-US" w:eastAsia="zh-CN"/>
        </w:rPr>
        <w:t>40</w:t>
      </w:r>
      <w:r>
        <w:rPr>
          <w:rFonts w:hint="eastAsia" w:ascii="仿宋" w:hAnsi="仿宋" w:eastAsia="仿宋" w:cs="仿宋"/>
          <w:sz w:val="30"/>
          <w:szCs w:val="30"/>
          <w:highlight w:val="none"/>
          <w:lang w:eastAsia="zh-CN"/>
        </w:rPr>
        <w:t>%，其中项目产出类指标占</w:t>
      </w:r>
      <w:r>
        <w:rPr>
          <w:rFonts w:hint="eastAsia" w:ascii="仿宋" w:hAnsi="仿宋" w:eastAsia="仿宋" w:cs="仿宋"/>
          <w:sz w:val="30"/>
          <w:szCs w:val="30"/>
          <w:highlight w:val="none"/>
          <w:lang w:val="en-US" w:eastAsia="zh-CN"/>
        </w:rPr>
        <w:t>20</w:t>
      </w:r>
      <w:r>
        <w:rPr>
          <w:rFonts w:hint="eastAsia" w:ascii="仿宋" w:hAnsi="仿宋" w:eastAsia="仿宋" w:cs="仿宋"/>
          <w:sz w:val="30"/>
          <w:szCs w:val="30"/>
          <w:highlight w:val="none"/>
          <w:lang w:eastAsia="zh-CN"/>
        </w:rPr>
        <w:t>%，项目效果类指标占</w:t>
      </w:r>
      <w:r>
        <w:rPr>
          <w:rFonts w:hint="eastAsia" w:ascii="仿宋" w:hAnsi="仿宋" w:eastAsia="仿宋" w:cs="仿宋"/>
          <w:sz w:val="30"/>
          <w:szCs w:val="30"/>
          <w:highlight w:val="none"/>
          <w:lang w:val="en-US" w:eastAsia="zh-CN"/>
        </w:rPr>
        <w:t>20</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 xml:space="preserve"> </w:t>
      </w:r>
      <w:bookmarkStart w:id="25" w:name="_Toc27907"/>
      <w:bookmarkStart w:id="26" w:name="_Toc6963"/>
      <w:bookmarkStart w:id="27" w:name="_Toc22342"/>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lang w:eastAsia="zh-CN"/>
        </w:rPr>
        <w:t>评分方法和评分等级</w:t>
      </w:r>
      <w:bookmarkEnd w:id="25"/>
      <w:bookmarkEnd w:id="26"/>
      <w:bookmarkEnd w:id="27"/>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lang w:eastAsia="zh-CN"/>
        </w:rPr>
        <w:t>）评分方法</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①按照《财政支出绩效评估管理暂行办法》的相关要求和国务院、省、市、县出台</w:t>
      </w:r>
      <w:bookmarkStart w:id="90" w:name="_GoBack"/>
      <w:bookmarkEnd w:id="90"/>
      <w:r>
        <w:rPr>
          <w:rFonts w:hint="eastAsia" w:ascii="仿宋" w:hAnsi="仿宋" w:eastAsia="仿宋" w:cs="仿宋"/>
          <w:sz w:val="30"/>
          <w:szCs w:val="30"/>
          <w:highlight w:val="none"/>
          <w:lang w:eastAsia="zh-CN"/>
        </w:rPr>
        <w:t>的相关规定作为评估标准，采取定量和定性评估相结合的方法，对项目资料进行审核、分析。</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②评估中做到重点突出</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在评估工作中，评估人员紧紧抓住评估工作的重点环节，严格按照相关文件和评估方案的要求，实事求是、客观公正地进行绩效评估工作，取得了详实、客观的评估资料。</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③客观分析</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首先，根据评估项目的实际情况与指标体系进行分析、比对，各项指标根据预期绩效目标值，评判实际达到的绩效目标，并给出适当得分。主要关注以下几方面：项目是否实现了年度绩效目标、项目是否在长期绩效目标上实现了预期进展、是否有助于政府战略目标和部门目标的实现等。然后，根据项目评估综合得分得出综合绩效评估等级，依据各项评估结果，综合各方面因素，填写项目绩效评估综合意见。</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lang w:eastAsia="zh-CN"/>
        </w:rPr>
        <w:t>）评估等级</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指标体系设定满分为100分，绩效评估分值≥9</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lang w:eastAsia="zh-CN"/>
        </w:rPr>
        <w:t>为优；80≤分值&lt;9</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lang w:eastAsia="zh-CN"/>
        </w:rPr>
        <w:t>为良；60≤分值&lt;80为合格；60分以下为不合格。按照绩效评估指标对评估结果进行逐级、逐项分析，形成综合评估得分及等级。</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bookmarkStart w:id="28" w:name="_Toc12583"/>
      <w:bookmarkStart w:id="29" w:name="_Toc31732"/>
      <w:bookmarkStart w:id="30" w:name="_Toc5968"/>
      <w:bookmarkStart w:id="31" w:name="_Toc501368350"/>
      <w:r>
        <w:rPr>
          <w:rFonts w:hint="eastAsia" w:ascii="仿宋" w:hAnsi="仿宋" w:eastAsia="仿宋" w:cs="仿宋"/>
          <w:sz w:val="30"/>
          <w:szCs w:val="30"/>
          <w:highlight w:val="none"/>
          <w:lang w:val="en-US" w:eastAsia="zh-CN"/>
        </w:rPr>
        <w:t>（四）</w:t>
      </w:r>
      <w:bookmarkEnd w:id="28"/>
      <w:bookmarkEnd w:id="29"/>
      <w:bookmarkEnd w:id="30"/>
      <w:bookmarkEnd w:id="31"/>
      <w:r>
        <w:rPr>
          <w:rFonts w:hint="eastAsia" w:ascii="仿宋" w:hAnsi="仿宋" w:eastAsia="仿宋" w:cs="仿宋"/>
          <w:sz w:val="30"/>
          <w:szCs w:val="30"/>
          <w:highlight w:val="none"/>
          <w:lang w:val="en-US" w:eastAsia="zh-CN"/>
        </w:rPr>
        <w:t>证据收集方法</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评估小组对项目资料进行收集、整理</w:t>
      </w:r>
      <w:r>
        <w:rPr>
          <w:rFonts w:hint="eastAsia" w:ascii="仿宋" w:hAnsi="仿宋" w:eastAsia="仿宋" w:cs="仿宋"/>
          <w:sz w:val="30"/>
          <w:szCs w:val="30"/>
          <w:highlight w:val="none"/>
          <w:lang w:eastAsia="zh-CN"/>
        </w:rPr>
        <w:t>，并进行分析，然后将获取的资料与从现场勘查中获得的资料汇集起来，对同一指标在不同文件资料中的证据进行对比、印证、核实和补充，经过验证和确定后得到了准确、可靠和有效的证据。最后，评估小组对证据进行了判断分析，形成评估依据。</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（五）绩效评估实施过程</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前期准备阶段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主要是组建评估工作小组，了解评估项目基本情况，设计有关基础数据表格，下发项目执行单位需要准备的资料清单等。</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信息采集复核阶段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项目执行单位进行初步准备后，评估小组先后深入项目执行单位以实地察看、面访、查阅相关资料、核查财务凭证及账簿等多种形式采集信息，复核基础数据和评估证据，并多次就相关资料的补充、完善进行沟通。</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指标体系设计论证阶段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评估小组在收集各类基础数据，制作基础表格后，根据指定的评估方法，结合项目特点，开始设计项目产出和项目效益类指标。通过评估小组的集体商议，初步形成了既能体现评估意图又切合实际的系列指标。进一步修改完善指标体系，合理确定各指标权重，制定评分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数据分析和报告形成阶段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完成系列基础性、前置性工作后，评估小组开始集中精力进行数据分析及指标计算比较，按规范格式撰写绩效评估报告初稿，并送有关方面征求意见，进一步修改后出具正式报告。</w:t>
      </w:r>
    </w:p>
    <w:bookmarkEnd w:id="16"/>
    <w:bookmarkEnd w:id="17"/>
    <w:bookmarkEnd w:id="18"/>
    <w:bookmarkEnd w:id="19"/>
    <w:bookmarkEnd w:id="20"/>
    <w:bookmarkEnd w:id="21"/>
    <w:p>
      <w:pPr>
        <w:pStyle w:val="3"/>
        <w:spacing w:beforeAutospacing="0" w:afterAutospacing="0" w:line="360" w:lineRule="auto"/>
        <w:ind w:firstLine="602" w:firstLineChars="200"/>
        <w:rPr>
          <w:rFonts w:hint="eastAsia" w:ascii="仿宋" w:hAnsi="仿宋" w:eastAsia="仿宋" w:cs="仿宋"/>
          <w:b w:val="0"/>
          <w:kern w:val="2"/>
          <w:sz w:val="30"/>
          <w:szCs w:val="30"/>
          <w:highlight w:val="none"/>
          <w:lang w:val="en-US" w:eastAsia="zh-CN" w:bidi="ar-SA"/>
        </w:rPr>
      </w:pPr>
      <w:bookmarkStart w:id="32" w:name="_Toc32473"/>
      <w:bookmarkStart w:id="33" w:name="_Toc8822"/>
      <w:bookmarkStart w:id="34" w:name="_Toc28493"/>
      <w:bookmarkStart w:id="35" w:name="_Toc501368358"/>
      <w:bookmarkStart w:id="36" w:name="_Toc501368359"/>
      <w:bookmarkStart w:id="37" w:name="_Toc32445"/>
      <w:bookmarkStart w:id="38" w:name="_Toc83630330"/>
      <w:bookmarkStart w:id="39" w:name="_Toc12908"/>
      <w:bookmarkStart w:id="40" w:name="_Toc12058"/>
      <w:bookmarkStart w:id="41" w:name="_Toc83631040"/>
      <w:r>
        <w:rPr>
          <w:rFonts w:hint="eastAsia" w:ascii="仿宋" w:hAnsi="仿宋" w:eastAsia="仿宋" w:cs="仿宋"/>
          <w:b/>
          <w:bCs/>
          <w:kern w:val="2"/>
          <w:sz w:val="30"/>
          <w:szCs w:val="30"/>
          <w:highlight w:val="none"/>
          <w:lang w:val="en-US" w:eastAsia="zh-CN" w:bidi="ar-SA"/>
        </w:rPr>
        <w:t>五、项目执行及绩效实现情况</w:t>
      </w:r>
      <w:bookmarkEnd w:id="32"/>
      <w:bookmarkEnd w:id="33"/>
      <w:bookmarkEnd w:id="34"/>
      <w:bookmarkEnd w:id="35"/>
    </w:p>
    <w:p>
      <w:pPr>
        <w:spacing w:line="360" w:lineRule="auto"/>
        <w:ind w:firstLine="600" w:firstLineChars="200"/>
        <w:jc w:val="left"/>
        <w:rPr>
          <w:rFonts w:hint="eastAsia" w:ascii="仿宋" w:hAnsi="仿宋" w:eastAsia="仿宋" w:cs="仿宋"/>
          <w:b w:val="0"/>
          <w:kern w:val="2"/>
          <w:sz w:val="30"/>
          <w:szCs w:val="30"/>
          <w:highlight w:val="none"/>
          <w:lang w:val="en-US" w:eastAsia="zh-CN" w:bidi="ar-SA"/>
        </w:rPr>
      </w:pPr>
      <w:r>
        <w:rPr>
          <w:rFonts w:hint="eastAsia" w:ascii="仿宋" w:hAnsi="仿宋" w:eastAsia="仿宋" w:cs="仿宋"/>
          <w:b w:val="0"/>
          <w:kern w:val="2"/>
          <w:sz w:val="30"/>
          <w:szCs w:val="30"/>
          <w:highlight w:val="none"/>
          <w:lang w:val="en-US" w:eastAsia="zh-CN" w:bidi="ar-SA"/>
        </w:rPr>
        <w:t>通过对该单位提供的项目资料和现场实地检查，该项目综合得分96分，评估等级为“优”。各项得分情况明细如下：</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（一）项目立项（</w:t>
      </w:r>
      <w:r>
        <w:rPr>
          <w:rFonts w:hint="eastAsia" w:ascii="仿宋" w:hAnsi="仿宋" w:eastAsia="仿宋" w:cs="仿宋"/>
          <w:b w:val="0"/>
          <w:bCs w:val="0"/>
          <w:sz w:val="30"/>
          <w:szCs w:val="30"/>
          <w:highlight w:val="none"/>
          <w:lang w:val="en-US" w:eastAsia="zh-CN"/>
        </w:rPr>
        <w:t>20</w:t>
      </w:r>
      <w:r>
        <w:rPr>
          <w:rFonts w:hint="eastAsia" w:ascii="仿宋" w:hAnsi="仿宋" w:eastAsia="仿宋" w:cs="仿宋"/>
          <w:b w:val="0"/>
          <w:bCs w:val="0"/>
          <w:sz w:val="30"/>
          <w:szCs w:val="30"/>
          <w:highlight w:val="none"/>
        </w:rPr>
        <w:t>分）</w:t>
      </w:r>
      <w:bookmarkEnd w:id="36"/>
      <w:bookmarkEnd w:id="37"/>
      <w:bookmarkEnd w:id="38"/>
      <w:bookmarkEnd w:id="39"/>
      <w:bookmarkEnd w:id="40"/>
      <w:bookmarkEnd w:id="41"/>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一级指标主要反映项目立项是否符合国家法规、政策规定，符合社会经济发展战略规划，项目决策是否满足政府职能，用于调节经济、市场监管、提供公共产品和服务，绩效目标的制定是否合理，绩效指标的制定是否清晰、细化、量化、可衡量。</w:t>
      </w:r>
    </w:p>
    <w:tbl>
      <w:tblPr>
        <w:tblStyle w:val="19"/>
        <w:tblW w:w="4996" w:type="pct"/>
        <w:jc w:val="center"/>
        <w:tblLayout w:type="autofit"/>
        <w:tblCellMar>
          <w:top w:w="15" w:type="dxa"/>
          <w:left w:w="15" w:type="dxa"/>
          <w:bottom w:w="15" w:type="dxa"/>
          <w:right w:w="15" w:type="dxa"/>
        </w:tblCellMar>
      </w:tblPr>
      <w:tblGrid>
        <w:gridCol w:w="2202"/>
        <w:gridCol w:w="2223"/>
        <w:gridCol w:w="2393"/>
        <w:gridCol w:w="1506"/>
        <w:gridCol w:w="1336"/>
      </w:tblGrid>
      <w:tr>
        <w:tblPrEx>
          <w:tblCellMar>
            <w:top w:w="15" w:type="dxa"/>
            <w:left w:w="15" w:type="dxa"/>
            <w:bottom w:w="15" w:type="dxa"/>
            <w:right w:w="15" w:type="dxa"/>
          </w:tblCellMar>
        </w:tblPrEx>
        <w:trPr>
          <w:trHeight w:val="482" w:hRule="exact"/>
          <w:jc w:val="center"/>
        </w:trPr>
        <w:tc>
          <w:tcPr>
            <w:tcW w:w="114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一级指标</w:t>
            </w:r>
          </w:p>
        </w:tc>
        <w:tc>
          <w:tcPr>
            <w:tcW w:w="115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二级指标</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三级指标</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分数权重</w:t>
            </w:r>
          </w:p>
        </w:tc>
        <w:tc>
          <w:tcPr>
            <w:tcW w:w="69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得分</w:t>
            </w:r>
          </w:p>
        </w:tc>
      </w:tr>
      <w:tr>
        <w:tblPrEx>
          <w:tblCellMar>
            <w:top w:w="15" w:type="dxa"/>
            <w:left w:w="15" w:type="dxa"/>
            <w:bottom w:w="15" w:type="dxa"/>
            <w:right w:w="15" w:type="dxa"/>
          </w:tblCellMar>
        </w:tblPrEx>
        <w:trPr>
          <w:trHeight w:val="529" w:hRule="exact"/>
          <w:jc w:val="center"/>
        </w:trPr>
        <w:tc>
          <w:tcPr>
            <w:tcW w:w="114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项目立项</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20</w:t>
            </w:r>
            <w:r>
              <w:rPr>
                <w:rFonts w:hint="eastAsia" w:ascii="仿宋" w:hAnsi="仿宋" w:eastAsia="仿宋" w:cs="仿宋"/>
                <w:color w:val="000000"/>
                <w:kern w:val="0"/>
                <w:sz w:val="24"/>
                <w:szCs w:val="24"/>
                <w:highlight w:val="none"/>
              </w:rPr>
              <w:t>分)</w:t>
            </w:r>
          </w:p>
        </w:tc>
        <w:tc>
          <w:tcPr>
            <w:tcW w:w="115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决策机制（</w:t>
            </w:r>
            <w:r>
              <w:rPr>
                <w:rFonts w:hint="eastAsia" w:ascii="仿宋" w:hAnsi="仿宋" w:eastAsia="仿宋" w:cs="仿宋"/>
                <w:color w:val="000000"/>
                <w:kern w:val="0"/>
                <w:sz w:val="24"/>
                <w:szCs w:val="24"/>
                <w:highlight w:val="none"/>
                <w:lang w:val="en-US" w:eastAsia="zh-CN"/>
              </w:rPr>
              <w:t>12</w:t>
            </w:r>
            <w:r>
              <w:rPr>
                <w:rFonts w:hint="eastAsia" w:ascii="仿宋" w:hAnsi="仿宋" w:eastAsia="仿宋" w:cs="仿宋"/>
                <w:color w:val="000000"/>
                <w:kern w:val="0"/>
                <w:sz w:val="24"/>
                <w:szCs w:val="24"/>
                <w:highlight w:val="none"/>
              </w:rPr>
              <w:t>分）</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rPr>
              <w:t>项目设立</w:t>
            </w:r>
            <w:r>
              <w:rPr>
                <w:rFonts w:hint="eastAsia" w:ascii="仿宋" w:hAnsi="仿宋" w:eastAsia="仿宋" w:cs="仿宋"/>
                <w:color w:val="000000"/>
                <w:kern w:val="0"/>
                <w:sz w:val="24"/>
                <w:szCs w:val="24"/>
                <w:highlight w:val="none"/>
                <w:lang w:val="en-US" w:eastAsia="zh-CN"/>
              </w:rPr>
              <w:t>规范性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6</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6</w:t>
            </w:r>
          </w:p>
        </w:tc>
      </w:tr>
      <w:tr>
        <w:tblPrEx>
          <w:tblCellMar>
            <w:top w:w="15" w:type="dxa"/>
            <w:left w:w="15" w:type="dxa"/>
            <w:bottom w:w="15" w:type="dxa"/>
            <w:right w:w="15" w:type="dxa"/>
          </w:tblCellMar>
        </w:tblPrEx>
        <w:trPr>
          <w:trHeight w:val="691" w:hRule="exac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15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项目决策必要性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6</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6</w:t>
            </w:r>
          </w:p>
        </w:tc>
      </w:tr>
      <w:tr>
        <w:tblPrEx>
          <w:tblCellMar>
            <w:top w:w="15" w:type="dxa"/>
            <w:left w:w="15" w:type="dxa"/>
            <w:bottom w:w="15" w:type="dxa"/>
            <w:right w:w="15" w:type="dxa"/>
          </w:tblCellMar>
        </w:tblPrEx>
        <w:trPr>
          <w:trHeight w:val="561" w:hRule="exac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15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绩效目标（</w:t>
            </w:r>
            <w:r>
              <w:rPr>
                <w:rFonts w:hint="eastAsia" w:ascii="仿宋" w:hAnsi="仿宋" w:eastAsia="仿宋" w:cs="仿宋"/>
                <w:color w:val="000000"/>
                <w:kern w:val="0"/>
                <w:sz w:val="24"/>
                <w:szCs w:val="24"/>
                <w:highlight w:val="none"/>
                <w:lang w:val="en-US" w:eastAsia="zh-CN"/>
              </w:rPr>
              <w:t>8</w:t>
            </w:r>
            <w:r>
              <w:rPr>
                <w:rFonts w:hint="eastAsia" w:ascii="仿宋" w:hAnsi="仿宋" w:eastAsia="仿宋" w:cs="仿宋"/>
                <w:color w:val="000000"/>
                <w:kern w:val="0"/>
                <w:sz w:val="24"/>
                <w:szCs w:val="24"/>
                <w:highlight w:val="none"/>
              </w:rPr>
              <w:t>分）</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合理性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4</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4</w:t>
            </w:r>
          </w:p>
        </w:tc>
      </w:tr>
      <w:tr>
        <w:tblPrEx>
          <w:tblCellMar>
            <w:top w:w="15" w:type="dxa"/>
            <w:left w:w="15" w:type="dxa"/>
            <w:bottom w:w="15" w:type="dxa"/>
            <w:right w:w="15" w:type="dxa"/>
          </w:tblCellMar>
        </w:tblPrEx>
        <w:trPr>
          <w:trHeight w:val="572" w:hRule="exac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15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明确性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4</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2</w:t>
            </w:r>
          </w:p>
        </w:tc>
      </w:tr>
      <w:tr>
        <w:tblPrEx>
          <w:tblCellMar>
            <w:top w:w="15" w:type="dxa"/>
            <w:left w:w="15" w:type="dxa"/>
            <w:bottom w:w="15" w:type="dxa"/>
            <w:right w:w="15" w:type="dxa"/>
          </w:tblCellMar>
        </w:tblPrEx>
        <w:trPr>
          <w:trHeight w:val="492" w:hRule="exact"/>
          <w:jc w:val="center"/>
        </w:trPr>
        <w:tc>
          <w:tcPr>
            <w:tcW w:w="3528" w:type="pct"/>
            <w:gridSpan w:val="3"/>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  计</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20</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18</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1.决策机制（</w:t>
      </w:r>
      <w:r>
        <w:rPr>
          <w:rFonts w:hint="eastAsia" w:ascii="仿宋" w:hAnsi="仿宋" w:eastAsia="仿宋" w:cs="仿宋"/>
          <w:sz w:val="30"/>
          <w:szCs w:val="30"/>
          <w:highlight w:val="none"/>
          <w:lang w:val="en-US" w:eastAsia="zh-CN"/>
        </w:rPr>
        <w:t>12</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该指标包含2个三级指标，主要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项目立项是否符合国家法规、政策规定，符合社会经济发展战略规划；项目内容设置与国家及地方政策、规划、社会需求等相关内容相符程度，决策过程是否规范。</w:t>
      </w:r>
    </w:p>
    <w:p>
      <w:pPr>
        <w:pageBreakBefore w:val="0"/>
        <w:numPr>
          <w:ilvl w:val="0"/>
          <w:numId w:val="2"/>
        </w:numPr>
        <w:kinsoku/>
        <w:wordWrap/>
        <w:overflowPunct/>
        <w:topLinePunct w:val="0"/>
        <w:autoSpaceDE/>
        <w:autoSpaceDN/>
        <w:bidi w:val="0"/>
        <w:adjustRightInd/>
        <w:snapToGrid/>
        <w:spacing w:line="560" w:lineRule="exact"/>
        <w:ind w:firstLine="300" w:firstLineChars="1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项目设立</w:t>
      </w:r>
      <w:r>
        <w:rPr>
          <w:rFonts w:hint="eastAsia" w:ascii="仿宋" w:hAnsi="仿宋" w:eastAsia="仿宋" w:cs="仿宋"/>
          <w:sz w:val="30"/>
          <w:szCs w:val="30"/>
          <w:highlight w:val="none"/>
          <w:lang w:val="en-US" w:eastAsia="zh-CN"/>
        </w:rPr>
        <w:t>规范性</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 xml:space="preserve">   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该项目立项是否符合国家法规、政策规定，符合社会经济发展战略规划</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bookmarkStart w:id="42" w:name="_Toc83631041"/>
      <w:bookmarkStart w:id="43" w:name="_Toc83630331"/>
      <w:bookmarkStart w:id="44" w:name="_Toc21059"/>
      <w:bookmarkStart w:id="45" w:name="_Toc25534"/>
      <w:bookmarkStart w:id="46" w:name="_Toc83630427"/>
      <w:r>
        <w:rPr>
          <w:rFonts w:hint="eastAsia" w:ascii="仿宋" w:hAnsi="仿宋" w:eastAsia="仿宋" w:cs="仿宋"/>
          <w:sz w:val="30"/>
          <w:szCs w:val="30"/>
          <w:highlight w:val="none"/>
        </w:rPr>
        <w:t>经检查，该项目设立的主要依据</w:t>
      </w:r>
      <w:r>
        <w:rPr>
          <w:rFonts w:hint="eastAsia" w:ascii="仿宋" w:hAnsi="仿宋" w:eastAsia="仿宋" w:cs="仿宋"/>
          <w:sz w:val="30"/>
          <w:szCs w:val="30"/>
          <w:highlight w:val="none"/>
          <w:lang w:val="en-US" w:eastAsia="zh-CN"/>
        </w:rPr>
        <w:t>有</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曲阳县发展和改革局《关于</w:t>
      </w:r>
      <w:r>
        <w:rPr>
          <w:rFonts w:hint="eastAsia" w:ascii="仿宋" w:hAnsi="仿宋" w:eastAsia="仿宋" w:cs="仿宋"/>
          <w:sz w:val="30"/>
          <w:szCs w:val="30"/>
          <w:highlight w:val="none"/>
          <w:lang w:eastAsia="zh-CN"/>
        </w:rPr>
        <w:t>曲阳县城区老旧小区管网改造及新建配水管网项目</w:t>
      </w:r>
      <w:r>
        <w:rPr>
          <w:rFonts w:hint="eastAsia" w:ascii="仿宋" w:hAnsi="仿宋" w:eastAsia="仿宋" w:cs="仿宋"/>
          <w:sz w:val="30"/>
          <w:szCs w:val="30"/>
          <w:highlight w:val="none"/>
          <w:lang w:val="en-US" w:eastAsia="zh-CN"/>
        </w:rPr>
        <w:t>建议书</w:t>
      </w:r>
      <w:r>
        <w:rPr>
          <w:rFonts w:hint="eastAsia" w:ascii="仿宋" w:hAnsi="仿宋" w:eastAsia="仿宋" w:cs="仿宋"/>
          <w:sz w:val="30"/>
          <w:szCs w:val="30"/>
          <w:highlight w:val="none"/>
        </w:rPr>
        <w:t>的批复》</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曲阳发改审字</w:t>
      </w:r>
      <w:r>
        <w:rPr>
          <w:rFonts w:hint="eastAsia" w:ascii="仿宋" w:hAnsi="仿宋" w:eastAsia="仿宋" w:cs="仿宋"/>
          <w:sz w:val="30"/>
          <w:szCs w:val="30"/>
          <w:highlight w:val="none"/>
          <w:lang w:val="en-US" w:eastAsia="en-US"/>
        </w:rPr>
        <w:t>[</w:t>
      </w:r>
      <w:r>
        <w:rPr>
          <w:rFonts w:hint="eastAsia" w:ascii="仿宋" w:hAnsi="仿宋" w:eastAsia="仿宋" w:cs="仿宋"/>
          <w:sz w:val="30"/>
          <w:szCs w:val="30"/>
          <w:highlight w:val="none"/>
          <w:lang w:val="en-US" w:eastAsia="zh-CN"/>
        </w:rPr>
        <w:t>2022</w:t>
      </w:r>
      <w:r>
        <w:rPr>
          <w:rFonts w:hint="eastAsia" w:ascii="仿宋" w:hAnsi="仿宋" w:eastAsia="仿宋" w:cs="仿宋"/>
          <w:sz w:val="30"/>
          <w:szCs w:val="30"/>
          <w:highlight w:val="none"/>
          <w:lang w:val="en-US" w:eastAsia="en-US"/>
        </w:rPr>
        <w:t xml:space="preserve">] </w:t>
      </w:r>
      <w:r>
        <w:rPr>
          <w:rFonts w:hint="eastAsia" w:ascii="仿宋" w:hAnsi="仿宋" w:eastAsia="仿宋" w:cs="仿宋"/>
          <w:sz w:val="30"/>
          <w:szCs w:val="30"/>
          <w:highlight w:val="none"/>
          <w:lang w:val="en-US" w:eastAsia="zh-CN"/>
        </w:rPr>
        <w:t>9</w:t>
      </w:r>
      <w:r>
        <w:rPr>
          <w:rFonts w:hint="eastAsia" w:ascii="仿宋" w:hAnsi="仿宋" w:eastAsia="仿宋" w:cs="仿宋"/>
          <w:sz w:val="30"/>
          <w:szCs w:val="30"/>
          <w:highlight w:val="none"/>
        </w:rPr>
        <w:t>号</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曲阳县发展和改革局《关于</w:t>
      </w:r>
      <w:r>
        <w:rPr>
          <w:rFonts w:hint="eastAsia" w:ascii="仿宋" w:hAnsi="仿宋" w:eastAsia="仿宋" w:cs="仿宋"/>
          <w:sz w:val="30"/>
          <w:szCs w:val="30"/>
          <w:highlight w:val="none"/>
          <w:lang w:eastAsia="zh-CN"/>
        </w:rPr>
        <w:t>曲阳县城区老旧小区管网改造及新建配水管网项目</w:t>
      </w:r>
      <w:r>
        <w:rPr>
          <w:rFonts w:hint="eastAsia" w:ascii="仿宋" w:hAnsi="仿宋" w:eastAsia="仿宋" w:cs="仿宋"/>
          <w:sz w:val="30"/>
          <w:szCs w:val="30"/>
          <w:highlight w:val="none"/>
        </w:rPr>
        <w:t>可行性研究报告的批复》</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曲阳发改审字</w:t>
      </w:r>
      <w:r>
        <w:rPr>
          <w:rFonts w:hint="eastAsia" w:ascii="仿宋" w:hAnsi="仿宋" w:eastAsia="仿宋" w:cs="仿宋"/>
          <w:sz w:val="30"/>
          <w:szCs w:val="30"/>
          <w:highlight w:val="none"/>
          <w:lang w:val="en-US" w:eastAsia="en-US"/>
        </w:rPr>
        <w:t>[</w:t>
      </w:r>
      <w:r>
        <w:rPr>
          <w:rFonts w:hint="eastAsia" w:ascii="仿宋" w:hAnsi="仿宋" w:eastAsia="仿宋" w:cs="仿宋"/>
          <w:sz w:val="30"/>
          <w:szCs w:val="30"/>
          <w:highlight w:val="none"/>
          <w:lang w:val="en-US" w:eastAsia="zh-CN"/>
        </w:rPr>
        <w:t>2022</w:t>
      </w:r>
      <w:r>
        <w:rPr>
          <w:rFonts w:hint="eastAsia" w:ascii="仿宋" w:hAnsi="仿宋" w:eastAsia="仿宋" w:cs="仿宋"/>
          <w:sz w:val="30"/>
          <w:szCs w:val="30"/>
          <w:highlight w:val="none"/>
          <w:lang w:val="en-US" w:eastAsia="en-US"/>
        </w:rPr>
        <w:t xml:space="preserve">] </w:t>
      </w:r>
      <w:r>
        <w:rPr>
          <w:rFonts w:hint="eastAsia" w:ascii="仿宋" w:hAnsi="仿宋" w:eastAsia="仿宋" w:cs="仿宋"/>
          <w:sz w:val="30"/>
          <w:szCs w:val="30"/>
          <w:highlight w:val="none"/>
          <w:lang w:val="en-US" w:eastAsia="zh-CN"/>
        </w:rPr>
        <w:t>16</w:t>
      </w:r>
      <w:r>
        <w:rPr>
          <w:rFonts w:hint="eastAsia" w:ascii="仿宋" w:hAnsi="仿宋" w:eastAsia="仿宋" w:cs="仿宋"/>
          <w:sz w:val="30"/>
          <w:szCs w:val="30"/>
          <w:highlight w:val="none"/>
        </w:rPr>
        <w:t>号</w:t>
      </w:r>
      <w:r>
        <w:rPr>
          <w:rFonts w:hint="eastAsia" w:ascii="仿宋" w:hAnsi="仿宋" w:eastAsia="仿宋" w:cs="仿宋"/>
          <w:sz w:val="30"/>
          <w:szCs w:val="30"/>
          <w:highlight w:val="none"/>
          <w:lang w:eastAsia="zh-CN"/>
        </w:rPr>
        <w:t>）</w:t>
      </w:r>
      <w:bookmarkEnd w:id="42"/>
      <w:bookmarkEnd w:id="43"/>
      <w:bookmarkEnd w:id="44"/>
      <w:bookmarkEnd w:id="45"/>
      <w:bookmarkEnd w:id="46"/>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曲阳县发展和改革局《关于</w:t>
      </w:r>
      <w:r>
        <w:rPr>
          <w:rFonts w:hint="eastAsia" w:ascii="仿宋" w:hAnsi="仿宋" w:eastAsia="仿宋" w:cs="仿宋"/>
          <w:sz w:val="30"/>
          <w:szCs w:val="30"/>
          <w:highlight w:val="none"/>
          <w:lang w:eastAsia="zh-CN"/>
        </w:rPr>
        <w:t>曲阳县城区老旧小区管网改造及新建配水管网项目初步设计</w:t>
      </w:r>
      <w:r>
        <w:rPr>
          <w:rFonts w:hint="eastAsia" w:ascii="仿宋" w:hAnsi="仿宋" w:eastAsia="仿宋" w:cs="仿宋"/>
          <w:sz w:val="30"/>
          <w:szCs w:val="30"/>
          <w:highlight w:val="none"/>
        </w:rPr>
        <w:t>的批复》</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曲阳发改审字</w:t>
      </w:r>
      <w:r>
        <w:rPr>
          <w:rFonts w:hint="eastAsia" w:ascii="仿宋" w:hAnsi="仿宋" w:eastAsia="仿宋" w:cs="仿宋"/>
          <w:sz w:val="30"/>
          <w:szCs w:val="30"/>
          <w:highlight w:val="none"/>
          <w:lang w:val="en-US" w:eastAsia="en-US"/>
        </w:rPr>
        <w:t>[</w:t>
      </w:r>
      <w:r>
        <w:rPr>
          <w:rFonts w:hint="eastAsia" w:ascii="仿宋" w:hAnsi="仿宋" w:eastAsia="仿宋" w:cs="仿宋"/>
          <w:sz w:val="30"/>
          <w:szCs w:val="30"/>
          <w:highlight w:val="none"/>
          <w:lang w:val="en-US" w:eastAsia="zh-CN"/>
        </w:rPr>
        <w:t>2022</w:t>
      </w:r>
      <w:r>
        <w:rPr>
          <w:rFonts w:hint="eastAsia" w:ascii="仿宋" w:hAnsi="仿宋" w:eastAsia="仿宋" w:cs="仿宋"/>
          <w:sz w:val="30"/>
          <w:szCs w:val="30"/>
          <w:highlight w:val="none"/>
          <w:lang w:val="en-US" w:eastAsia="en-US"/>
        </w:rPr>
        <w:t>]</w:t>
      </w:r>
      <w:r>
        <w:rPr>
          <w:rFonts w:hint="eastAsia" w:ascii="仿宋" w:hAnsi="仿宋" w:eastAsia="仿宋" w:cs="仿宋"/>
          <w:sz w:val="30"/>
          <w:szCs w:val="30"/>
          <w:highlight w:val="none"/>
          <w:lang w:val="en-US" w:eastAsia="zh-CN"/>
        </w:rPr>
        <w:t xml:space="preserve"> 84</w:t>
      </w:r>
      <w:r>
        <w:rPr>
          <w:rFonts w:hint="eastAsia" w:ascii="仿宋" w:hAnsi="仿宋" w:eastAsia="仿宋" w:cs="仿宋"/>
          <w:sz w:val="30"/>
          <w:szCs w:val="30"/>
          <w:highlight w:val="none"/>
        </w:rPr>
        <w:t>号</w:t>
      </w:r>
      <w:r>
        <w:rPr>
          <w:rFonts w:hint="eastAsia" w:ascii="仿宋" w:hAnsi="仿宋" w:eastAsia="仿宋" w:cs="仿宋"/>
          <w:sz w:val="30"/>
          <w:szCs w:val="30"/>
          <w:highlight w:val="none"/>
          <w:lang w:eastAsia="zh-CN"/>
        </w:rPr>
        <w:t>）等。</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我们认为该项目设定依据充分，</w:t>
      </w:r>
      <w:r>
        <w:rPr>
          <w:rFonts w:hint="eastAsia" w:ascii="仿宋" w:hAnsi="仿宋" w:eastAsia="仿宋" w:cs="仿宋"/>
          <w:sz w:val="30"/>
          <w:szCs w:val="30"/>
          <w:highlight w:val="none"/>
          <w:lang w:val="en-US" w:eastAsia="zh-CN"/>
        </w:rPr>
        <w:t>按照规定的程序申请设立，已经过必要的可行性研究、专家论证等。</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（2）项目决策必要性（</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项目内容设置与国家及地方政策、规划、社会需求等相关内容相符程度，决策过程是否规范，用以反映和考核项目决策的必要性。</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bookmarkStart w:id="47" w:name="_Toc24207"/>
      <w:bookmarkStart w:id="48" w:name="_Toc83630332"/>
      <w:bookmarkStart w:id="49" w:name="_Toc83631042"/>
      <w:bookmarkStart w:id="50" w:name="_Toc83630428"/>
      <w:bookmarkStart w:id="51" w:name="_Toc32149"/>
      <w:r>
        <w:rPr>
          <w:rFonts w:hint="eastAsia" w:ascii="仿宋" w:hAnsi="仿宋" w:eastAsia="仿宋" w:cs="仿宋"/>
          <w:sz w:val="30"/>
          <w:szCs w:val="30"/>
          <w:highlight w:val="none"/>
          <w:lang w:val="en-US" w:eastAsia="zh-CN"/>
        </w:rPr>
        <w:fldChar w:fldCharType="begin"/>
      </w:r>
      <w:r>
        <w:rPr>
          <w:rFonts w:hint="eastAsia" w:ascii="仿宋" w:hAnsi="仿宋" w:eastAsia="仿宋" w:cs="仿宋"/>
          <w:sz w:val="30"/>
          <w:szCs w:val="30"/>
          <w:highlight w:val="none"/>
          <w:lang w:val="en-US" w:eastAsia="zh-CN"/>
        </w:rPr>
        <w:instrText xml:space="preserve"> = 1 \* GB3 \* MERGEFORMAT </w:instrText>
      </w:r>
      <w:r>
        <w:rPr>
          <w:rFonts w:hint="eastAsia" w:ascii="仿宋" w:hAnsi="仿宋" w:eastAsia="仿宋" w:cs="仿宋"/>
          <w:sz w:val="30"/>
          <w:szCs w:val="30"/>
          <w:highlight w:val="none"/>
          <w:lang w:val="en-US" w:eastAsia="zh-CN"/>
        </w:rPr>
        <w:fldChar w:fldCharType="separate"/>
      </w:r>
      <w:r>
        <w:rPr>
          <w:rFonts w:hint="eastAsia" w:ascii="仿宋" w:hAnsi="仿宋" w:eastAsia="仿宋" w:cs="仿宋"/>
          <w:sz w:val="30"/>
          <w:szCs w:val="30"/>
          <w:highlight w:val="none"/>
          <w:lang w:val="en-US" w:eastAsia="zh-CN"/>
        </w:rPr>
        <w:t>①</w:t>
      </w:r>
      <w:r>
        <w:rPr>
          <w:rFonts w:hint="eastAsia" w:ascii="仿宋" w:hAnsi="仿宋" w:eastAsia="仿宋" w:cs="仿宋"/>
          <w:sz w:val="30"/>
          <w:szCs w:val="30"/>
          <w:highlight w:val="none"/>
          <w:lang w:val="en-US" w:eastAsia="zh-CN"/>
        </w:rPr>
        <w:fldChar w:fldCharType="end"/>
      </w:r>
      <w:r>
        <w:rPr>
          <w:rFonts w:hint="eastAsia" w:ascii="仿宋" w:hAnsi="仿宋" w:eastAsia="仿宋" w:cs="仿宋"/>
          <w:sz w:val="30"/>
          <w:szCs w:val="30"/>
          <w:highlight w:val="none"/>
          <w:lang w:val="en-US" w:eastAsia="zh-CN"/>
        </w:rPr>
        <w:t>项目的建设，是提高供水安全卫生的保障</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老旧小区由于自来水管道老化、破损，导致水压不稳、水管跑冒滴漏等问题时有发生。同时自来水在管道内经过较长时间运行，管壁会出现水垢，造成管道内径变窄、水质下降。为有效保障水压平稳，防止水质污染，避免将不合格的水送入居民家中,对城区部分老旧小区自来水管网进行改造，保障居民用水安全。针对老旧小区供水管网存在的问题，采取扩大管径、淘汰“高龄” 管道、更换不合规的老旧管材等措施，保证缺水地块的供水及水的流动性。通过科学合理布局管网、使用新型优质管材，以达到</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改善供水水质、提高供水压力、节约水资源、确保管网安全运行，提高供水安全卫生。</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fldChar w:fldCharType="begin"/>
      </w:r>
      <w:r>
        <w:rPr>
          <w:rFonts w:hint="eastAsia" w:ascii="仿宋" w:hAnsi="仿宋" w:eastAsia="仿宋" w:cs="仿宋"/>
          <w:sz w:val="30"/>
          <w:szCs w:val="30"/>
          <w:highlight w:val="none"/>
          <w:lang w:val="en-US" w:eastAsia="zh-CN"/>
        </w:rPr>
        <w:instrText xml:space="preserve"> = 2 \* GB3 \* MERGEFORMAT </w:instrText>
      </w:r>
      <w:r>
        <w:rPr>
          <w:rFonts w:hint="eastAsia" w:ascii="仿宋" w:hAnsi="仿宋" w:eastAsia="仿宋" w:cs="仿宋"/>
          <w:sz w:val="30"/>
          <w:szCs w:val="30"/>
          <w:highlight w:val="none"/>
          <w:lang w:val="en-US" w:eastAsia="zh-CN"/>
        </w:rPr>
        <w:fldChar w:fldCharType="separate"/>
      </w:r>
      <w:r>
        <w:rPr>
          <w:rFonts w:hint="eastAsia" w:ascii="仿宋" w:hAnsi="仿宋" w:eastAsia="仿宋" w:cs="仿宋"/>
          <w:sz w:val="30"/>
          <w:szCs w:val="30"/>
          <w:highlight w:val="none"/>
          <w:lang w:val="en-US" w:eastAsia="zh-CN"/>
        </w:rPr>
        <w:t>②</w:t>
      </w:r>
      <w:r>
        <w:rPr>
          <w:rFonts w:hint="eastAsia" w:ascii="仿宋" w:hAnsi="仿宋" w:eastAsia="仿宋" w:cs="仿宋"/>
          <w:sz w:val="30"/>
          <w:szCs w:val="30"/>
          <w:highlight w:val="none"/>
          <w:lang w:val="en-US" w:eastAsia="zh-CN"/>
        </w:rPr>
        <w:fldChar w:fldCharType="end"/>
      </w:r>
      <w:r>
        <w:rPr>
          <w:rFonts w:hint="eastAsia" w:ascii="仿宋" w:hAnsi="仿宋" w:eastAsia="仿宋" w:cs="仿宋"/>
          <w:sz w:val="30"/>
          <w:szCs w:val="30"/>
          <w:highlight w:val="none"/>
          <w:lang w:val="en-US" w:eastAsia="zh-CN"/>
        </w:rPr>
        <w:t>项目的建设，有效降低水资源浪费</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曲阳县城区现有供水管网大部分建设年限超过二十年，管材老旧漏损严重。且在用计量水表超过使用年限的占九成，长期不换水表，内部零件经过磨损后，会导致水表计量特性发生变化，难以确保其准确性。为解决城区现有管网年限长，管材老旧漏损严重，水表计量精准度低等问题，降低水资源浪费，提高水量计算精准度对曲阳县自来水管网及水表进行改造，有效降低资源浪费。</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fldChar w:fldCharType="begin"/>
      </w:r>
      <w:r>
        <w:rPr>
          <w:rFonts w:hint="eastAsia" w:ascii="仿宋" w:hAnsi="仿宋" w:eastAsia="仿宋" w:cs="仿宋"/>
          <w:sz w:val="30"/>
          <w:szCs w:val="30"/>
          <w:highlight w:val="none"/>
          <w:lang w:val="en-US" w:eastAsia="zh-CN"/>
        </w:rPr>
        <w:instrText xml:space="preserve"> = 3 \* GB3 \* MERGEFORMAT </w:instrText>
      </w:r>
      <w:r>
        <w:rPr>
          <w:rFonts w:hint="eastAsia" w:ascii="仿宋" w:hAnsi="仿宋" w:eastAsia="仿宋" w:cs="仿宋"/>
          <w:sz w:val="30"/>
          <w:szCs w:val="30"/>
          <w:highlight w:val="none"/>
          <w:lang w:val="en-US" w:eastAsia="zh-CN"/>
        </w:rPr>
        <w:fldChar w:fldCharType="separate"/>
      </w:r>
      <w:r>
        <w:rPr>
          <w:rFonts w:hint="eastAsia" w:ascii="仿宋" w:hAnsi="仿宋" w:eastAsia="仿宋" w:cs="仿宋"/>
          <w:sz w:val="30"/>
          <w:szCs w:val="30"/>
          <w:highlight w:val="none"/>
          <w:lang w:val="en-US" w:eastAsia="zh-CN"/>
        </w:rPr>
        <w:t>③</w:t>
      </w:r>
      <w:r>
        <w:rPr>
          <w:rFonts w:hint="eastAsia" w:ascii="仿宋" w:hAnsi="仿宋" w:eastAsia="仿宋" w:cs="仿宋"/>
          <w:sz w:val="30"/>
          <w:szCs w:val="30"/>
          <w:highlight w:val="none"/>
          <w:lang w:val="en-US" w:eastAsia="zh-CN"/>
        </w:rPr>
        <w:fldChar w:fldCharType="end"/>
      </w:r>
      <w:r>
        <w:rPr>
          <w:rFonts w:hint="eastAsia" w:ascii="仿宋" w:hAnsi="仿宋" w:eastAsia="仿宋" w:cs="仿宋"/>
          <w:sz w:val="30"/>
          <w:szCs w:val="30"/>
          <w:highlight w:val="none"/>
          <w:lang w:val="en-US" w:eastAsia="zh-CN"/>
        </w:rPr>
        <w:t>项目的建设，是曲阳县城市发展的需要</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自来水管网是城市基础设施的重要组成部分。城市是社会经济的主要物质载体，是促进区域经济的主要动力源和辐射源。加快城市化进程，尤其是加快区域经济中心城市的建设，加强中心城市的战略地位，强化中心城市的综合职能，提高中心城市的经济聚集能力，是实现社会经济加速发展的必要前提。因此，实施曲阳县城区老旧小区管网改造及新建配水管网项目，对增强城市综合服务功能，提升城市的整体水平是非常重要的。</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fldChar w:fldCharType="begin"/>
      </w:r>
      <w:r>
        <w:rPr>
          <w:rFonts w:hint="eastAsia" w:ascii="仿宋" w:hAnsi="仿宋" w:eastAsia="仿宋" w:cs="仿宋"/>
          <w:sz w:val="30"/>
          <w:szCs w:val="30"/>
          <w:highlight w:val="none"/>
          <w:lang w:val="en-US" w:eastAsia="zh-CN"/>
        </w:rPr>
        <w:instrText xml:space="preserve"> = 4 \* GB3 \* MERGEFORMAT </w:instrText>
      </w:r>
      <w:r>
        <w:rPr>
          <w:rFonts w:hint="eastAsia" w:ascii="仿宋" w:hAnsi="仿宋" w:eastAsia="仿宋" w:cs="仿宋"/>
          <w:sz w:val="30"/>
          <w:szCs w:val="30"/>
          <w:highlight w:val="none"/>
          <w:lang w:val="en-US" w:eastAsia="zh-CN"/>
        </w:rPr>
        <w:fldChar w:fldCharType="separate"/>
      </w:r>
      <w:r>
        <w:rPr>
          <w:rFonts w:hint="eastAsia" w:ascii="仿宋" w:hAnsi="仿宋" w:eastAsia="仿宋" w:cs="仿宋"/>
          <w:sz w:val="30"/>
          <w:szCs w:val="30"/>
          <w:highlight w:val="none"/>
          <w:lang w:val="en-US" w:eastAsia="zh-CN"/>
        </w:rPr>
        <w:t>④</w:t>
      </w:r>
      <w:r>
        <w:rPr>
          <w:rFonts w:hint="eastAsia" w:ascii="仿宋" w:hAnsi="仿宋" w:eastAsia="仿宋" w:cs="仿宋"/>
          <w:sz w:val="30"/>
          <w:szCs w:val="30"/>
          <w:highlight w:val="none"/>
          <w:lang w:val="en-US" w:eastAsia="zh-CN"/>
        </w:rPr>
        <w:fldChar w:fldCharType="end"/>
      </w:r>
      <w:r>
        <w:rPr>
          <w:rFonts w:hint="eastAsia" w:ascii="仿宋" w:hAnsi="仿宋" w:eastAsia="仿宋" w:cs="仿宋"/>
          <w:sz w:val="30"/>
          <w:szCs w:val="30"/>
          <w:highlight w:val="none"/>
          <w:lang w:val="en-US" w:eastAsia="zh-CN"/>
        </w:rPr>
        <w:t>项目的建设，是广大人民群众的强烈愿望</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避免水质二次污染，保证供水安全卫生，减低管网漏损关系到广大人民群众的切身利益，随着经济的发展、生活水平的提高，广大人民群众对城市基础设施的要求越来越高，对城市基础设施的建设标准越来越挑剔，对城市安全饮水工程越来越关心。实施曲阳县城区老旧小区管网改造及新建配水管网项目，有利于密切党群关系，是政府落实科学发展观的具体体现，是为民执政、为民造福的具体体现。</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fldChar w:fldCharType="begin"/>
      </w:r>
      <w:r>
        <w:rPr>
          <w:rFonts w:hint="eastAsia" w:ascii="仿宋" w:hAnsi="仿宋" w:eastAsia="仿宋" w:cs="仿宋"/>
          <w:sz w:val="30"/>
          <w:szCs w:val="30"/>
          <w:highlight w:val="none"/>
          <w:lang w:val="en-US" w:eastAsia="zh-CN"/>
        </w:rPr>
        <w:instrText xml:space="preserve"> = 5 \* GB3 \* MERGEFORMAT </w:instrText>
      </w:r>
      <w:r>
        <w:rPr>
          <w:rFonts w:hint="eastAsia" w:ascii="仿宋" w:hAnsi="仿宋" w:eastAsia="仿宋" w:cs="仿宋"/>
          <w:sz w:val="30"/>
          <w:szCs w:val="30"/>
          <w:highlight w:val="none"/>
          <w:lang w:val="en-US" w:eastAsia="zh-CN"/>
        </w:rPr>
        <w:fldChar w:fldCharType="separate"/>
      </w:r>
      <w:r>
        <w:rPr>
          <w:rFonts w:hint="eastAsia" w:ascii="仿宋" w:hAnsi="仿宋" w:eastAsia="仿宋" w:cs="仿宋"/>
          <w:sz w:val="30"/>
          <w:szCs w:val="30"/>
          <w:highlight w:val="none"/>
          <w:lang w:val="en-US" w:eastAsia="zh-CN"/>
        </w:rPr>
        <w:t>⑤</w:t>
      </w:r>
      <w:r>
        <w:rPr>
          <w:rFonts w:hint="eastAsia" w:ascii="仿宋" w:hAnsi="仿宋" w:eastAsia="仿宋" w:cs="仿宋"/>
          <w:sz w:val="30"/>
          <w:szCs w:val="30"/>
          <w:highlight w:val="none"/>
          <w:lang w:val="en-US" w:eastAsia="zh-CN"/>
        </w:rPr>
        <w:fldChar w:fldCharType="end"/>
      </w:r>
      <w:r>
        <w:rPr>
          <w:rFonts w:hint="eastAsia" w:ascii="仿宋" w:hAnsi="仿宋" w:eastAsia="仿宋" w:cs="仿宋"/>
          <w:sz w:val="30"/>
          <w:szCs w:val="30"/>
          <w:highlight w:val="none"/>
          <w:lang w:val="en-US" w:eastAsia="zh-CN"/>
        </w:rPr>
        <w:t>项目的建设，是加速曲阳县经济建设进程的有效措施。</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实施曲阳县城区老旧小区管网改造及新建配水管网项目，可以提升城市供水安全，加快城市供水管网改造，加强城市供水管网漏损控制，切实提高城市供水效率，为城市建设和经济发展提供安全可靠的供水保障。项目的建设切实改善居民生产生活环境，对全面提高曲阳县的投资环境和加快招商引资步伐，加速曲阳县经济建设进程具有重要意义。</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经评估，该项目建设与国家及地方政策、规划、社会需求相符，决策过程较为规范。</w:t>
      </w:r>
    </w:p>
    <w:bookmarkEnd w:id="47"/>
    <w:bookmarkEnd w:id="48"/>
    <w:bookmarkEnd w:id="49"/>
    <w:bookmarkEnd w:id="50"/>
    <w:bookmarkEnd w:id="51"/>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2.绩效目标（</w:t>
      </w:r>
      <w:r>
        <w:rPr>
          <w:rFonts w:hint="eastAsia" w:ascii="仿宋" w:hAnsi="仿宋" w:eastAsia="仿宋" w:cs="仿宋"/>
          <w:sz w:val="30"/>
          <w:szCs w:val="30"/>
          <w:highlight w:val="none"/>
          <w:lang w:val="en-US" w:eastAsia="zh-CN"/>
        </w:rPr>
        <w:t>8</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该指标共包含2个三级指标，主要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项目绩效目标依据是否充分，项目绩效指标是否清晰、细化、量化、可衡量。</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（1）合理性（</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项目绩效目标依据是否充分，与客观实际相符的情况。</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rPr>
        <w:t>经检查，</w:t>
      </w:r>
      <w:r>
        <w:rPr>
          <w:rFonts w:hint="eastAsia" w:ascii="仿宋" w:hAnsi="仿宋" w:eastAsia="仿宋" w:cs="仿宋"/>
          <w:sz w:val="30"/>
          <w:szCs w:val="30"/>
          <w:highlight w:val="none"/>
          <w:lang w:eastAsia="zh-CN"/>
        </w:rPr>
        <w:t>该</w:t>
      </w:r>
      <w:r>
        <w:rPr>
          <w:rFonts w:hint="eastAsia" w:ascii="仿宋" w:hAnsi="仿宋" w:eastAsia="仿宋" w:cs="仿宋"/>
          <w:sz w:val="30"/>
          <w:szCs w:val="30"/>
          <w:highlight w:val="none"/>
        </w:rPr>
        <w:t>项目</w:t>
      </w:r>
      <w:r>
        <w:rPr>
          <w:rFonts w:hint="eastAsia" w:ascii="仿宋" w:hAnsi="仿宋" w:eastAsia="仿宋" w:cs="仿宋"/>
          <w:sz w:val="30"/>
          <w:szCs w:val="30"/>
          <w:highlight w:val="none"/>
          <w:lang w:val="en-US" w:eastAsia="zh-CN"/>
        </w:rPr>
        <w:t>的绩效目标：1通过工程实施，保证自备井的顺利关停；2、通过工程实施，保证南水北调水量的消纳；3、通过工程实施，保证居民供水安全。</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该项目绩效目标是依据</w:t>
      </w:r>
      <w:r>
        <w:rPr>
          <w:rFonts w:hint="eastAsia" w:ascii="仿宋" w:hAnsi="仿宋" w:eastAsia="仿宋" w:cs="仿宋"/>
          <w:sz w:val="30"/>
          <w:szCs w:val="30"/>
          <w:highlight w:val="none"/>
          <w:lang w:val="en-US" w:eastAsia="zh-CN"/>
        </w:rPr>
        <w:t>项目实施方案文件内容设定的，绩效目标设置</w:t>
      </w:r>
      <w:r>
        <w:rPr>
          <w:rFonts w:hint="eastAsia" w:ascii="仿宋" w:hAnsi="仿宋" w:eastAsia="仿宋" w:cs="仿宋"/>
          <w:sz w:val="30"/>
          <w:szCs w:val="30"/>
          <w:highlight w:val="none"/>
        </w:rPr>
        <w:t>依据</w:t>
      </w:r>
      <w:r>
        <w:rPr>
          <w:rFonts w:hint="eastAsia" w:ascii="仿宋" w:hAnsi="仿宋" w:eastAsia="仿宋" w:cs="仿宋"/>
          <w:sz w:val="30"/>
          <w:szCs w:val="30"/>
          <w:highlight w:val="none"/>
          <w:lang w:val="en-US" w:eastAsia="zh-CN"/>
        </w:rPr>
        <w:t>较为</w:t>
      </w:r>
      <w:r>
        <w:rPr>
          <w:rFonts w:hint="eastAsia" w:ascii="仿宋" w:hAnsi="仿宋" w:eastAsia="仿宋" w:cs="仿宋"/>
          <w:sz w:val="30"/>
          <w:szCs w:val="30"/>
          <w:highlight w:val="none"/>
        </w:rPr>
        <w:t>充分，与客观实际相符</w:t>
      </w:r>
      <w:r>
        <w:rPr>
          <w:rFonts w:hint="eastAsia" w:ascii="仿宋" w:hAnsi="仿宋" w:eastAsia="仿宋" w:cs="仿宋"/>
          <w:sz w:val="30"/>
          <w:szCs w:val="30"/>
          <w:highlight w:val="none"/>
          <w:lang w:val="en-US"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（2）明确性（</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项目绩效指标是否清晰、细化、量化、可衡量，及其与当年工作任务的匹配情况。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经检查，</w:t>
      </w:r>
      <w:r>
        <w:rPr>
          <w:rFonts w:hint="eastAsia" w:ascii="仿宋" w:hAnsi="仿宋" w:eastAsia="仿宋" w:cs="仿宋"/>
          <w:sz w:val="30"/>
          <w:szCs w:val="30"/>
          <w:highlight w:val="none"/>
          <w:lang w:eastAsia="zh-CN"/>
        </w:rPr>
        <w:t>该单位提供了预算项目绩效表</w:t>
      </w:r>
      <w:r>
        <w:rPr>
          <w:rFonts w:hint="eastAsia" w:ascii="仿宋" w:hAnsi="仿宋" w:eastAsia="仿宋" w:cs="仿宋"/>
          <w:sz w:val="30"/>
          <w:szCs w:val="30"/>
          <w:highlight w:val="none"/>
          <w:lang w:val="en-US" w:eastAsia="zh-CN"/>
        </w:rPr>
        <w:t>，相关</w:t>
      </w:r>
      <w:r>
        <w:rPr>
          <w:rFonts w:hint="eastAsia" w:ascii="仿宋" w:hAnsi="仿宋" w:eastAsia="仿宋" w:cs="仿宋"/>
          <w:sz w:val="30"/>
          <w:szCs w:val="30"/>
          <w:highlight w:val="none"/>
        </w:rPr>
        <w:t>绩效指标</w:t>
      </w:r>
      <w:r>
        <w:rPr>
          <w:rFonts w:hint="eastAsia" w:ascii="仿宋" w:hAnsi="仿宋" w:eastAsia="仿宋" w:cs="仿宋"/>
          <w:sz w:val="30"/>
          <w:szCs w:val="30"/>
          <w:highlight w:val="none"/>
          <w:lang w:val="en-US" w:eastAsia="zh-CN"/>
        </w:rPr>
        <w:t>设定</w:t>
      </w:r>
      <w:r>
        <w:rPr>
          <w:rFonts w:hint="eastAsia" w:ascii="仿宋" w:hAnsi="仿宋" w:eastAsia="仿宋" w:cs="仿宋"/>
          <w:sz w:val="30"/>
          <w:szCs w:val="30"/>
          <w:highlight w:val="none"/>
        </w:rPr>
        <w:t>清晰、细化、量化、可衡量，</w:t>
      </w:r>
      <w:r>
        <w:rPr>
          <w:rFonts w:hint="eastAsia" w:ascii="仿宋" w:hAnsi="仿宋" w:eastAsia="仿宋" w:cs="仿宋"/>
          <w:sz w:val="30"/>
          <w:szCs w:val="30"/>
          <w:highlight w:val="none"/>
          <w:lang w:val="en-US" w:eastAsia="zh-CN"/>
        </w:rPr>
        <w:t>但未按年度细化匹配年度工作任务，不利于考核年度任务完成情况，扣2分。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rPr>
        <w:t>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highlight w:val="none"/>
        </w:rPr>
      </w:pPr>
      <w:bookmarkStart w:id="52" w:name="_Toc83631044"/>
      <w:bookmarkStart w:id="53" w:name="_Toc21302"/>
      <w:bookmarkStart w:id="54" w:name="_Toc8907"/>
      <w:bookmarkStart w:id="55" w:name="_Toc27328"/>
      <w:bookmarkStart w:id="56" w:name="_Toc83630334"/>
      <w:r>
        <w:rPr>
          <w:rFonts w:hint="eastAsia" w:ascii="仿宋" w:hAnsi="仿宋" w:eastAsia="仿宋" w:cs="仿宋"/>
          <w:b w:val="0"/>
          <w:bCs w:val="0"/>
          <w:sz w:val="30"/>
          <w:szCs w:val="30"/>
          <w:highlight w:val="none"/>
        </w:rPr>
        <w:t>（二）项目过程管理（</w:t>
      </w:r>
      <w:r>
        <w:rPr>
          <w:rFonts w:hint="eastAsia" w:ascii="仿宋" w:hAnsi="仿宋" w:eastAsia="仿宋" w:cs="仿宋"/>
          <w:b w:val="0"/>
          <w:bCs w:val="0"/>
          <w:sz w:val="30"/>
          <w:szCs w:val="30"/>
          <w:highlight w:val="none"/>
          <w:lang w:val="en-US" w:eastAsia="zh-CN"/>
        </w:rPr>
        <w:t>40</w:t>
      </w:r>
      <w:r>
        <w:rPr>
          <w:rFonts w:hint="eastAsia" w:ascii="仿宋" w:hAnsi="仿宋" w:eastAsia="仿宋" w:cs="仿宋"/>
          <w:b w:val="0"/>
          <w:bCs w:val="0"/>
          <w:sz w:val="30"/>
          <w:szCs w:val="30"/>
          <w:highlight w:val="none"/>
        </w:rPr>
        <w:t>分）</w:t>
      </w:r>
      <w:bookmarkEnd w:id="52"/>
      <w:bookmarkEnd w:id="53"/>
      <w:bookmarkEnd w:id="54"/>
      <w:bookmarkEnd w:id="55"/>
      <w:bookmarkEnd w:id="56"/>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一级指标包含项目财务管理和项目业务管理2个二级指标，主要反映该项目在实施过程中，财务管理是否规范、资金使用是否合规、项目业务管理是否按照相关规定执行，以保障财政资金的安全性和项目顺利实施。</w:t>
      </w:r>
    </w:p>
    <w:p>
      <w:pPr>
        <w:pStyle w:val="16"/>
        <w:rPr>
          <w:rFonts w:hint="eastAsia"/>
          <w:highlight w:val="none"/>
        </w:rPr>
      </w:pPr>
    </w:p>
    <w:tbl>
      <w:tblPr>
        <w:tblStyle w:val="19"/>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2079"/>
        <w:gridCol w:w="1853"/>
        <w:gridCol w:w="2834"/>
        <w:gridCol w:w="1511"/>
        <w:gridCol w:w="1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7" w:hRule="exact"/>
          <w:jc w:val="center"/>
        </w:trPr>
        <w:tc>
          <w:tcPr>
            <w:tcW w:w="107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一级指标</w:t>
            </w:r>
          </w:p>
        </w:tc>
        <w:tc>
          <w:tcPr>
            <w:tcW w:w="959"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二级指标</w:t>
            </w: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三级指标</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分数权重</w:t>
            </w:r>
          </w:p>
        </w:tc>
        <w:tc>
          <w:tcPr>
            <w:tcW w:w="715"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2" w:hRule="exact"/>
          <w:jc w:val="center"/>
        </w:trPr>
        <w:tc>
          <w:tcPr>
            <w:tcW w:w="1076"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项目过程管理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40</w:t>
            </w:r>
            <w:r>
              <w:rPr>
                <w:rFonts w:hint="eastAsia" w:ascii="仿宋" w:hAnsi="仿宋" w:eastAsia="仿宋" w:cs="仿宋"/>
                <w:color w:val="000000"/>
                <w:kern w:val="0"/>
                <w:sz w:val="24"/>
                <w:szCs w:val="24"/>
                <w:highlight w:val="none"/>
              </w:rPr>
              <w:t>分）</w:t>
            </w:r>
          </w:p>
        </w:tc>
        <w:tc>
          <w:tcPr>
            <w:tcW w:w="959"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项目财务管理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20</w:t>
            </w:r>
            <w:r>
              <w:rPr>
                <w:rFonts w:hint="eastAsia" w:ascii="仿宋" w:hAnsi="仿宋" w:eastAsia="仿宋" w:cs="仿宋"/>
                <w:color w:val="000000"/>
                <w:kern w:val="0"/>
                <w:sz w:val="24"/>
                <w:szCs w:val="24"/>
                <w:highlight w:val="none"/>
              </w:rPr>
              <w:t>分）</w:t>
            </w: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eastAsia="zh-CN"/>
              </w:rPr>
              <w:t>专项资金</w:t>
            </w:r>
            <w:r>
              <w:rPr>
                <w:rFonts w:hint="eastAsia" w:ascii="仿宋" w:hAnsi="仿宋" w:eastAsia="仿宋" w:cs="仿宋"/>
                <w:color w:val="000000"/>
                <w:kern w:val="0"/>
                <w:sz w:val="24"/>
                <w:szCs w:val="24"/>
                <w:highlight w:val="none"/>
              </w:rPr>
              <w:t>使用率</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51"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会计核算</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6</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9"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资金支出合规性</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6"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项目业务管理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20</w:t>
            </w:r>
            <w:r>
              <w:rPr>
                <w:rFonts w:hint="eastAsia" w:ascii="仿宋" w:hAnsi="仿宋" w:eastAsia="仿宋" w:cs="仿宋"/>
                <w:color w:val="000000"/>
                <w:kern w:val="0"/>
                <w:sz w:val="24"/>
                <w:szCs w:val="24"/>
                <w:highlight w:val="none"/>
              </w:rPr>
              <w:t>分）</w:t>
            </w: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管理制度是否健全</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75"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制度执行有效性</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6</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59"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项目档案资料完整性</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2" w:hRule="exact"/>
          <w:jc w:val="center"/>
        </w:trPr>
        <w:tc>
          <w:tcPr>
            <w:tcW w:w="3502" w:type="pct"/>
            <w:gridSpan w:val="3"/>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  计</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40</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38</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1.项目财务管理（</w:t>
      </w:r>
      <w:r>
        <w:rPr>
          <w:rFonts w:hint="eastAsia" w:ascii="仿宋" w:hAnsi="仿宋" w:eastAsia="仿宋" w:cs="仿宋"/>
          <w:sz w:val="30"/>
          <w:szCs w:val="30"/>
          <w:highlight w:val="none"/>
          <w:lang w:val="en-US" w:eastAsia="zh-CN"/>
        </w:rPr>
        <w:t>20</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    （1）</w:t>
      </w:r>
      <w:r>
        <w:rPr>
          <w:rFonts w:hint="eastAsia" w:ascii="仿宋" w:hAnsi="仿宋" w:eastAsia="仿宋" w:cs="仿宋"/>
          <w:sz w:val="30"/>
          <w:szCs w:val="30"/>
          <w:highlight w:val="none"/>
          <w:lang w:eastAsia="zh-CN"/>
        </w:rPr>
        <w:t>专项资金</w:t>
      </w:r>
      <w:r>
        <w:rPr>
          <w:rFonts w:hint="eastAsia" w:ascii="仿宋" w:hAnsi="仿宋" w:eastAsia="仿宋" w:cs="仿宋"/>
          <w:sz w:val="30"/>
          <w:szCs w:val="30"/>
          <w:highlight w:val="none"/>
        </w:rPr>
        <w:t>使用率（</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实际使用</w:t>
      </w:r>
      <w:r>
        <w:rPr>
          <w:rFonts w:hint="eastAsia" w:ascii="仿宋" w:hAnsi="仿宋" w:eastAsia="仿宋" w:cs="仿宋"/>
          <w:sz w:val="30"/>
          <w:szCs w:val="30"/>
          <w:highlight w:val="none"/>
          <w:lang w:val="en-US" w:eastAsia="zh-CN"/>
        </w:rPr>
        <w:t>专项债券</w:t>
      </w:r>
      <w:r>
        <w:rPr>
          <w:rFonts w:hint="eastAsia" w:ascii="仿宋" w:hAnsi="仿宋" w:eastAsia="仿宋" w:cs="仿宋"/>
          <w:sz w:val="30"/>
          <w:szCs w:val="30"/>
          <w:highlight w:val="none"/>
        </w:rPr>
        <w:t>资金数额占</w:t>
      </w:r>
      <w:r>
        <w:rPr>
          <w:rFonts w:hint="eastAsia" w:ascii="仿宋" w:hAnsi="仿宋" w:eastAsia="仿宋" w:cs="仿宋"/>
          <w:sz w:val="30"/>
          <w:szCs w:val="30"/>
          <w:highlight w:val="none"/>
          <w:lang w:val="en-US" w:eastAsia="zh-CN"/>
        </w:rPr>
        <w:t>专项债券资金</w:t>
      </w:r>
      <w:r>
        <w:rPr>
          <w:rFonts w:hint="eastAsia" w:ascii="仿宋" w:hAnsi="仿宋" w:eastAsia="仿宋" w:cs="仿宋"/>
          <w:sz w:val="30"/>
          <w:szCs w:val="30"/>
          <w:highlight w:val="none"/>
        </w:rPr>
        <w:t>实际拨付额比例。</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经检查，</w:t>
      </w:r>
      <w:r>
        <w:rPr>
          <w:rFonts w:hint="eastAsia" w:ascii="仿宋" w:hAnsi="仿宋" w:eastAsia="仿宋" w:cs="仿宋"/>
          <w:sz w:val="30"/>
          <w:szCs w:val="30"/>
          <w:highlight w:val="none"/>
          <w:lang w:val="en-US" w:eastAsia="zh-CN"/>
        </w:rPr>
        <w:t>该项目2022年</w:t>
      </w:r>
      <w:r>
        <w:rPr>
          <w:rFonts w:hint="eastAsia" w:ascii="仿宋" w:hAnsi="仿宋" w:eastAsia="仿宋" w:cs="仿宋"/>
          <w:sz w:val="30"/>
          <w:szCs w:val="30"/>
          <w:highlight w:val="none"/>
          <w:lang w:eastAsia="zh-CN"/>
        </w:rPr>
        <w:t>度共安排</w:t>
      </w:r>
      <w:r>
        <w:rPr>
          <w:rFonts w:hint="eastAsia" w:ascii="仿宋" w:hAnsi="仿宋" w:eastAsia="仿宋" w:cs="仿宋"/>
          <w:sz w:val="30"/>
          <w:szCs w:val="30"/>
          <w:highlight w:val="none"/>
          <w:lang w:val="en-US" w:eastAsia="zh-CN"/>
        </w:rPr>
        <w:t>专项债券资金4,000.00</w:t>
      </w:r>
      <w:r>
        <w:rPr>
          <w:rFonts w:hint="eastAsia" w:ascii="仿宋" w:hAnsi="仿宋" w:eastAsia="仿宋" w:cs="仿宋"/>
          <w:sz w:val="30"/>
          <w:szCs w:val="30"/>
          <w:highlight w:val="none"/>
          <w:lang w:eastAsia="zh-CN"/>
        </w:rPr>
        <w:t>万元，2022年</w:t>
      </w:r>
      <w:r>
        <w:rPr>
          <w:rFonts w:hint="eastAsia" w:ascii="仿宋" w:hAnsi="仿宋" w:eastAsia="仿宋" w:cs="仿宋"/>
          <w:sz w:val="30"/>
          <w:szCs w:val="30"/>
          <w:highlight w:val="none"/>
        </w:rPr>
        <w:t>度</w:t>
      </w:r>
      <w:r>
        <w:rPr>
          <w:rFonts w:hint="eastAsia" w:ascii="仿宋" w:hAnsi="仿宋" w:eastAsia="仿宋" w:cs="仿宋"/>
          <w:sz w:val="30"/>
          <w:szCs w:val="30"/>
          <w:highlight w:val="none"/>
          <w:lang w:val="en-US" w:eastAsia="zh-CN"/>
        </w:rPr>
        <w:t>共使用专项债券资金4,000.00</w:t>
      </w:r>
      <w:r>
        <w:rPr>
          <w:rFonts w:hint="eastAsia" w:ascii="仿宋" w:hAnsi="仿宋" w:eastAsia="仿宋" w:cs="仿宋"/>
          <w:sz w:val="30"/>
          <w:szCs w:val="30"/>
          <w:highlight w:val="none"/>
          <w:lang w:eastAsia="zh-CN"/>
        </w:rPr>
        <w:t>万元</w:t>
      </w:r>
      <w:r>
        <w:rPr>
          <w:rFonts w:hint="eastAsia" w:ascii="仿宋" w:hAnsi="仿宋" w:eastAsia="仿宋" w:cs="仿宋"/>
          <w:sz w:val="30"/>
          <w:szCs w:val="30"/>
          <w:highlight w:val="none"/>
        </w:rPr>
        <w:t>，实际使用</w:t>
      </w:r>
      <w:r>
        <w:rPr>
          <w:rFonts w:hint="eastAsia" w:ascii="仿宋" w:hAnsi="仿宋" w:eastAsia="仿宋" w:cs="仿宋"/>
          <w:sz w:val="30"/>
          <w:szCs w:val="30"/>
          <w:highlight w:val="none"/>
          <w:lang w:val="en-US" w:eastAsia="zh-CN"/>
        </w:rPr>
        <w:t>专项债券</w:t>
      </w:r>
      <w:r>
        <w:rPr>
          <w:rFonts w:hint="eastAsia" w:ascii="仿宋" w:hAnsi="仿宋" w:eastAsia="仿宋" w:cs="仿宋"/>
          <w:sz w:val="30"/>
          <w:szCs w:val="30"/>
          <w:highlight w:val="none"/>
        </w:rPr>
        <w:t>资金数额占专项</w:t>
      </w:r>
      <w:r>
        <w:rPr>
          <w:rFonts w:hint="eastAsia" w:ascii="仿宋" w:hAnsi="仿宋" w:eastAsia="仿宋" w:cs="仿宋"/>
          <w:sz w:val="30"/>
          <w:szCs w:val="30"/>
          <w:highlight w:val="none"/>
          <w:lang w:val="en-US" w:eastAsia="zh-CN"/>
        </w:rPr>
        <w:t>债券</w:t>
      </w:r>
      <w:r>
        <w:rPr>
          <w:rFonts w:hint="eastAsia" w:ascii="仿宋" w:hAnsi="仿宋" w:eastAsia="仿宋" w:cs="仿宋"/>
          <w:sz w:val="30"/>
          <w:szCs w:val="30"/>
          <w:highlight w:val="none"/>
        </w:rPr>
        <w:t>资金拨付额的比例为</w:t>
      </w:r>
      <w:r>
        <w:rPr>
          <w:rFonts w:hint="eastAsia" w:ascii="仿宋" w:hAnsi="仿宋" w:eastAsia="仿宋" w:cs="仿宋"/>
          <w:sz w:val="30"/>
          <w:szCs w:val="30"/>
          <w:highlight w:val="none"/>
          <w:lang w:val="en-US" w:eastAsia="zh-CN"/>
        </w:rPr>
        <w:t>100</w:t>
      </w:r>
      <w:r>
        <w:rPr>
          <w:rFonts w:hint="eastAsia" w:ascii="仿宋" w:hAnsi="仿宋" w:eastAsia="仿宋" w:cs="仿宋"/>
          <w:sz w:val="30"/>
          <w:szCs w:val="30"/>
          <w:highlight w:val="none"/>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该项指标实际得分</w:t>
      </w:r>
      <w:r>
        <w:rPr>
          <w:rFonts w:hint="eastAsia" w:ascii="仿宋" w:hAnsi="仿宋" w:eastAsia="仿宋" w:cs="仿宋"/>
          <w:sz w:val="30"/>
          <w:szCs w:val="30"/>
          <w:highlight w:val="none"/>
          <w:lang w:val="en-US" w:eastAsia="zh-CN"/>
        </w:rPr>
        <w:t>7*100</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（2）会计核算（</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会计核算是否严格遵守有关法规及制度规定，会计核算是否规范，专项资金支付申报、审批流程是否完善、支付依据是否合法。</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经检查，该项目资金按照合同要求的付款进度进行支付；</w:t>
      </w:r>
      <w:r>
        <w:rPr>
          <w:rFonts w:hint="eastAsia" w:ascii="仿宋" w:hAnsi="仿宋" w:eastAsia="仿宋" w:cs="仿宋"/>
          <w:sz w:val="30"/>
          <w:szCs w:val="30"/>
          <w:highlight w:val="none"/>
          <w:lang w:val="en-US" w:eastAsia="zh-CN"/>
        </w:rPr>
        <w:t>曲阳县城市管理综合行政执法局</w:t>
      </w:r>
      <w:r>
        <w:rPr>
          <w:rFonts w:hint="eastAsia" w:ascii="仿宋" w:hAnsi="仿宋" w:eastAsia="仿宋" w:cs="仿宋"/>
          <w:sz w:val="30"/>
          <w:szCs w:val="30"/>
          <w:highlight w:val="none"/>
          <w:lang w:eastAsia="zh-CN"/>
        </w:rPr>
        <w:t>会计核算严格遵守《政府会计制度》的相关规定，各项资金的支付申报、审批流程完善，支付依据充分合法。但</w:t>
      </w:r>
      <w:r>
        <w:rPr>
          <w:rFonts w:hint="eastAsia" w:ascii="仿宋" w:hAnsi="仿宋" w:eastAsia="仿宋" w:cs="仿宋"/>
          <w:sz w:val="30"/>
          <w:szCs w:val="30"/>
          <w:highlight w:val="none"/>
          <w:lang w:val="en-US" w:eastAsia="zh-CN"/>
        </w:rPr>
        <w:t>2022年度项目预付款4000.00万支付通过业务活动费用科目核算，科目使用不规范，扣2分。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该项指标实际得分</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（3）资金支出合规性（</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专项资金是否严格按照资金管理办法的用途支出，是否有截留、挤占、挪用等违规行为。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经检查，该项目</w:t>
      </w:r>
      <w:r>
        <w:rPr>
          <w:rFonts w:hint="eastAsia" w:ascii="仿宋" w:hAnsi="仿宋" w:eastAsia="仿宋" w:cs="仿宋"/>
          <w:sz w:val="30"/>
          <w:szCs w:val="30"/>
          <w:highlight w:val="none"/>
          <w:lang w:val="en-US" w:eastAsia="zh-CN"/>
        </w:rPr>
        <w:t>专项债券</w:t>
      </w:r>
      <w:r>
        <w:rPr>
          <w:rFonts w:hint="eastAsia" w:ascii="仿宋" w:hAnsi="仿宋" w:eastAsia="仿宋" w:cs="仿宋"/>
          <w:sz w:val="30"/>
          <w:szCs w:val="30"/>
          <w:highlight w:val="none"/>
        </w:rPr>
        <w:t>资金</w:t>
      </w:r>
      <w:r>
        <w:rPr>
          <w:rFonts w:hint="eastAsia" w:ascii="仿宋" w:hAnsi="仿宋" w:eastAsia="仿宋" w:cs="仿宋"/>
          <w:sz w:val="30"/>
          <w:szCs w:val="30"/>
          <w:highlight w:val="none"/>
          <w:lang w:val="en-US" w:eastAsia="zh-CN"/>
        </w:rPr>
        <w:t>均用于项目工程款支付，</w:t>
      </w:r>
      <w:r>
        <w:rPr>
          <w:rFonts w:hint="eastAsia" w:ascii="仿宋" w:hAnsi="仿宋" w:eastAsia="仿宋" w:cs="仿宋"/>
          <w:sz w:val="30"/>
          <w:szCs w:val="30"/>
          <w:highlight w:val="none"/>
        </w:rPr>
        <w:t>专款专用，</w:t>
      </w:r>
      <w:r>
        <w:rPr>
          <w:rFonts w:hint="eastAsia" w:ascii="仿宋" w:hAnsi="仿宋" w:eastAsia="仿宋" w:cs="仿宋"/>
          <w:sz w:val="30"/>
          <w:szCs w:val="30"/>
          <w:highlight w:val="none"/>
          <w:lang w:val="en-US" w:eastAsia="zh-CN"/>
        </w:rPr>
        <w:t>资金通过国库集中支付，</w:t>
      </w:r>
      <w:r>
        <w:rPr>
          <w:rFonts w:hint="eastAsia" w:ascii="仿宋" w:hAnsi="仿宋" w:eastAsia="仿宋" w:cs="仿宋"/>
          <w:sz w:val="30"/>
          <w:szCs w:val="30"/>
          <w:highlight w:val="none"/>
        </w:rPr>
        <w:t>不存在截留、挤占、挪用等违规行为。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2.项目业务管理（</w:t>
      </w:r>
      <w:r>
        <w:rPr>
          <w:rFonts w:hint="eastAsia" w:ascii="仿宋" w:hAnsi="仿宋" w:eastAsia="仿宋" w:cs="仿宋"/>
          <w:sz w:val="30"/>
          <w:szCs w:val="30"/>
          <w:highlight w:val="none"/>
          <w:lang w:val="en-US" w:eastAsia="zh-CN"/>
        </w:rPr>
        <w:t>20</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bookmarkStart w:id="57" w:name="_Toc21112"/>
      <w:bookmarkStart w:id="58" w:name="_Toc83631045"/>
      <w:bookmarkStart w:id="59" w:name="_Toc30993"/>
      <w:bookmarkStart w:id="60" w:name="_Toc83630335"/>
      <w:bookmarkStart w:id="61" w:name="_Toc6507"/>
      <w:r>
        <w:rPr>
          <w:rFonts w:hint="eastAsia" w:ascii="仿宋" w:hAnsi="仿宋" w:eastAsia="仿宋" w:cs="仿宋"/>
          <w:sz w:val="30"/>
          <w:szCs w:val="30"/>
          <w:highlight w:val="none"/>
        </w:rPr>
        <w:t>（1）</w:t>
      </w:r>
      <w:r>
        <w:rPr>
          <w:rFonts w:hint="eastAsia" w:ascii="仿宋" w:hAnsi="仿宋" w:eastAsia="仿宋" w:cs="仿宋"/>
          <w:sz w:val="30"/>
          <w:szCs w:val="30"/>
          <w:highlight w:val="none"/>
          <w:lang w:val="en-US" w:eastAsia="zh-CN"/>
        </w:rPr>
        <w:t>管理制度是否健全</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项目制定的管理制度和措施是否全面、明确、合理</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能否保障项目顺利实施</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rPr>
        <w:t>经检查，</w:t>
      </w:r>
      <w:r>
        <w:rPr>
          <w:rFonts w:hint="eastAsia" w:ascii="仿宋" w:hAnsi="仿宋" w:eastAsia="仿宋" w:cs="仿宋"/>
          <w:sz w:val="30"/>
          <w:szCs w:val="30"/>
          <w:highlight w:val="none"/>
          <w:lang w:eastAsia="zh-CN"/>
        </w:rPr>
        <w:t>该项目制定了施工管理制度方案，</w:t>
      </w:r>
      <w:r>
        <w:rPr>
          <w:rFonts w:hint="eastAsia" w:ascii="仿宋" w:hAnsi="仿宋" w:eastAsia="仿宋" w:cs="仿宋"/>
          <w:sz w:val="30"/>
          <w:szCs w:val="30"/>
          <w:highlight w:val="none"/>
          <w:lang w:val="en-US" w:eastAsia="zh-CN"/>
        </w:rPr>
        <w:t>明确了项目过程管理要求，有效保障了项目的顺利实施；项目《实施方案》中明确了项目资金管理方案，保障了</w:t>
      </w:r>
      <w:r>
        <w:rPr>
          <w:rFonts w:hint="eastAsia" w:ascii="仿宋" w:hAnsi="仿宋" w:eastAsia="仿宋" w:cs="仿宋"/>
          <w:sz w:val="30"/>
          <w:szCs w:val="30"/>
          <w:highlight w:val="none"/>
        </w:rPr>
        <w:t>债券资金</w:t>
      </w:r>
      <w:r>
        <w:rPr>
          <w:rFonts w:hint="eastAsia" w:ascii="仿宋" w:hAnsi="仿宋" w:eastAsia="仿宋" w:cs="仿宋"/>
          <w:sz w:val="30"/>
          <w:szCs w:val="30"/>
          <w:highlight w:val="none"/>
          <w:lang w:eastAsia="zh-CN"/>
        </w:rPr>
        <w:t>的</w:t>
      </w:r>
      <w:r>
        <w:rPr>
          <w:rFonts w:hint="eastAsia" w:ascii="仿宋" w:hAnsi="仿宋" w:eastAsia="仿宋" w:cs="仿宋"/>
          <w:sz w:val="30"/>
          <w:szCs w:val="30"/>
          <w:highlight w:val="none"/>
        </w:rPr>
        <w:t>合规使用</w:t>
      </w:r>
      <w:r>
        <w:rPr>
          <w:rFonts w:hint="eastAsia" w:ascii="仿宋" w:hAnsi="仿宋" w:eastAsia="仿宋" w:cs="仿宋"/>
          <w:sz w:val="30"/>
          <w:szCs w:val="30"/>
          <w:highlight w:val="none"/>
          <w:lang w:val="en-US"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val="en-US" w:eastAsia="zh-CN"/>
        </w:rPr>
        <w:t>制度执行有效性</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项目实施是否符合相关法律法规、业务管理制度的规定</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经</w:t>
      </w:r>
      <w:r>
        <w:rPr>
          <w:rFonts w:hint="eastAsia" w:ascii="仿宋" w:hAnsi="仿宋" w:eastAsia="仿宋" w:cs="仿宋"/>
          <w:sz w:val="30"/>
          <w:szCs w:val="30"/>
          <w:highlight w:val="none"/>
          <w:lang w:val="en-US" w:eastAsia="zh-CN"/>
        </w:rPr>
        <w:t>评估</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项目实施</w:t>
      </w:r>
      <w:r>
        <w:rPr>
          <w:rFonts w:hint="eastAsia" w:ascii="仿宋" w:hAnsi="仿宋" w:eastAsia="仿宋" w:cs="仿宋"/>
          <w:sz w:val="30"/>
          <w:szCs w:val="30"/>
          <w:highlight w:val="none"/>
        </w:rPr>
        <w:t>符合相关法律法规</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业务管理制度</w:t>
      </w:r>
      <w:r>
        <w:rPr>
          <w:rFonts w:hint="eastAsia" w:ascii="仿宋" w:hAnsi="仿宋" w:eastAsia="仿宋" w:cs="仿宋"/>
          <w:sz w:val="30"/>
          <w:szCs w:val="30"/>
          <w:highlight w:val="none"/>
          <w:lang w:eastAsia="zh-CN"/>
        </w:rPr>
        <w:t>的</w:t>
      </w:r>
      <w:r>
        <w:rPr>
          <w:rFonts w:hint="eastAsia" w:ascii="仿宋" w:hAnsi="仿宋" w:eastAsia="仿宋" w:cs="仿宋"/>
          <w:sz w:val="30"/>
          <w:szCs w:val="30"/>
          <w:highlight w:val="none"/>
        </w:rPr>
        <w:t>规定</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该指标得分</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项目档案资料完整性（</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项目档案资料是否齐全，保存是否完整。</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经评估，项目</w:t>
      </w:r>
      <w:r>
        <w:rPr>
          <w:rFonts w:hint="eastAsia" w:ascii="仿宋" w:hAnsi="仿宋" w:eastAsia="仿宋" w:cs="仿宋"/>
          <w:sz w:val="30"/>
          <w:szCs w:val="30"/>
          <w:highlight w:val="none"/>
        </w:rPr>
        <w:t>项目档案资料齐全，保存完整</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符合相关法律法规、业务管理制度的规定</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（三）项目产出（</w:t>
      </w:r>
      <w:r>
        <w:rPr>
          <w:rFonts w:hint="eastAsia" w:ascii="仿宋" w:hAnsi="仿宋" w:eastAsia="仿宋" w:cs="仿宋"/>
          <w:b w:val="0"/>
          <w:bCs w:val="0"/>
          <w:sz w:val="30"/>
          <w:szCs w:val="30"/>
          <w:highlight w:val="none"/>
          <w:lang w:val="en-US" w:eastAsia="zh-CN"/>
        </w:rPr>
        <w:t>10</w:t>
      </w:r>
      <w:r>
        <w:rPr>
          <w:rFonts w:hint="eastAsia" w:ascii="仿宋" w:hAnsi="仿宋" w:eastAsia="仿宋" w:cs="仿宋"/>
          <w:b w:val="0"/>
          <w:bCs w:val="0"/>
          <w:sz w:val="30"/>
          <w:szCs w:val="30"/>
          <w:highlight w:val="none"/>
        </w:rPr>
        <w:t>分）</w:t>
      </w:r>
      <w:bookmarkEnd w:id="57"/>
      <w:bookmarkEnd w:id="58"/>
      <w:bookmarkEnd w:id="59"/>
      <w:bookmarkEnd w:id="60"/>
      <w:bookmarkEnd w:id="61"/>
    </w:p>
    <w:p>
      <w:pPr>
        <w:spacing w:line="360" w:lineRule="auto"/>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该一级指标包含1个二级指标</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rPr>
        <w:t>个三级指标，主要</w:t>
      </w:r>
      <w:r>
        <w:rPr>
          <w:rFonts w:hint="eastAsia" w:ascii="仿宋" w:hAnsi="仿宋" w:eastAsia="仿宋" w:cs="仿宋"/>
          <w:sz w:val="30"/>
          <w:szCs w:val="30"/>
          <w:highlight w:val="none"/>
          <w:lang w:val="en-US" w:eastAsia="zh-CN"/>
        </w:rPr>
        <w:t>从实际完成率、完成及时率</w:t>
      </w:r>
      <w:r>
        <w:rPr>
          <w:rFonts w:hint="eastAsia" w:ascii="仿宋" w:hAnsi="仿宋" w:eastAsia="仿宋" w:cs="仿宋"/>
          <w:sz w:val="30"/>
          <w:szCs w:val="30"/>
          <w:highlight w:val="none"/>
        </w:rPr>
        <w:t>是否达到预期</w:t>
      </w:r>
      <w:r>
        <w:rPr>
          <w:rFonts w:hint="eastAsia" w:ascii="仿宋" w:hAnsi="仿宋" w:eastAsia="仿宋" w:cs="仿宋"/>
          <w:sz w:val="30"/>
          <w:szCs w:val="30"/>
          <w:highlight w:val="none"/>
          <w:lang w:val="en-US" w:eastAsia="zh-CN"/>
        </w:rPr>
        <w:t>目标</w:t>
      </w:r>
      <w:r>
        <w:rPr>
          <w:rFonts w:hint="eastAsia" w:ascii="仿宋" w:hAnsi="仿宋" w:eastAsia="仿宋" w:cs="仿宋"/>
          <w:sz w:val="30"/>
          <w:szCs w:val="30"/>
          <w:highlight w:val="none"/>
        </w:rPr>
        <w:t>。</w:t>
      </w:r>
    </w:p>
    <w:tbl>
      <w:tblPr>
        <w:tblStyle w:val="19"/>
        <w:tblW w:w="4992" w:type="pct"/>
        <w:jc w:val="center"/>
        <w:tblLayout w:type="autofit"/>
        <w:tblCellMar>
          <w:top w:w="15" w:type="dxa"/>
          <w:left w:w="15" w:type="dxa"/>
          <w:bottom w:w="15" w:type="dxa"/>
          <w:right w:w="15" w:type="dxa"/>
        </w:tblCellMar>
      </w:tblPr>
      <w:tblGrid>
        <w:gridCol w:w="1666"/>
        <w:gridCol w:w="1447"/>
        <w:gridCol w:w="3994"/>
        <w:gridCol w:w="1462"/>
        <w:gridCol w:w="1084"/>
      </w:tblGrid>
      <w:tr>
        <w:trPr>
          <w:trHeight w:val="507" w:hRule="exact"/>
          <w:jc w:val="center"/>
        </w:trPr>
        <w:tc>
          <w:tcPr>
            <w:tcW w:w="863"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一级指标</w:t>
            </w:r>
          </w:p>
        </w:tc>
        <w:tc>
          <w:tcPr>
            <w:tcW w:w="749"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二级指标</w:t>
            </w:r>
          </w:p>
        </w:tc>
        <w:tc>
          <w:tcPr>
            <w:tcW w:w="2067"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三级指标</w:t>
            </w:r>
          </w:p>
        </w:tc>
        <w:tc>
          <w:tcPr>
            <w:tcW w:w="757"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分数权重</w:t>
            </w:r>
          </w:p>
        </w:tc>
        <w:tc>
          <w:tcPr>
            <w:tcW w:w="561"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得分</w:t>
            </w:r>
          </w:p>
        </w:tc>
      </w:tr>
      <w:tr>
        <w:tblPrEx>
          <w:tblCellMar>
            <w:top w:w="15" w:type="dxa"/>
            <w:left w:w="15" w:type="dxa"/>
            <w:bottom w:w="15" w:type="dxa"/>
            <w:right w:w="15" w:type="dxa"/>
          </w:tblCellMar>
        </w:tblPrEx>
        <w:trPr>
          <w:trHeight w:val="853" w:hRule="exact"/>
          <w:jc w:val="center"/>
        </w:trPr>
        <w:tc>
          <w:tcPr>
            <w:tcW w:w="863" w:type="pct"/>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项目产出</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10</w:t>
            </w:r>
            <w:r>
              <w:rPr>
                <w:rFonts w:hint="eastAsia" w:ascii="仿宋" w:hAnsi="仿宋" w:eastAsia="仿宋" w:cs="仿宋"/>
                <w:color w:val="000000"/>
                <w:kern w:val="0"/>
                <w:sz w:val="24"/>
                <w:szCs w:val="24"/>
                <w:highlight w:val="none"/>
              </w:rPr>
              <w:t>分）</w:t>
            </w:r>
          </w:p>
        </w:tc>
        <w:tc>
          <w:tcPr>
            <w:tcW w:w="749" w:type="pct"/>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w:t>
            </w:r>
            <w:r>
              <w:rPr>
                <w:rFonts w:hint="eastAsia" w:ascii="仿宋" w:hAnsi="仿宋" w:eastAsia="仿宋" w:cs="仿宋"/>
                <w:color w:val="000000"/>
                <w:kern w:val="0"/>
                <w:sz w:val="24"/>
                <w:szCs w:val="24"/>
                <w:highlight w:val="none"/>
                <w:lang w:val="en-US" w:eastAsia="zh-CN"/>
              </w:rPr>
              <w:t>产出</w:t>
            </w:r>
          </w:p>
        </w:tc>
        <w:tc>
          <w:tcPr>
            <w:tcW w:w="2067"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实际完成率</w:t>
            </w:r>
          </w:p>
        </w:tc>
        <w:tc>
          <w:tcPr>
            <w:tcW w:w="757"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5</w:t>
            </w:r>
          </w:p>
        </w:tc>
        <w:tc>
          <w:tcPr>
            <w:tcW w:w="561"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3</w:t>
            </w:r>
          </w:p>
        </w:tc>
      </w:tr>
      <w:tr>
        <w:trPr>
          <w:trHeight w:val="828" w:hRule="exact"/>
          <w:jc w:val="center"/>
        </w:trPr>
        <w:tc>
          <w:tcPr>
            <w:tcW w:w="863" w:type="pct"/>
            <w:vMerge w:val="continue"/>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749"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p>
        </w:tc>
        <w:tc>
          <w:tcPr>
            <w:tcW w:w="2067"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完成及时率</w:t>
            </w:r>
          </w:p>
        </w:tc>
        <w:tc>
          <w:tcPr>
            <w:tcW w:w="757"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5</w:t>
            </w:r>
          </w:p>
        </w:tc>
        <w:tc>
          <w:tcPr>
            <w:tcW w:w="561"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5</w:t>
            </w:r>
          </w:p>
        </w:tc>
      </w:tr>
      <w:tr>
        <w:trPr>
          <w:trHeight w:val="609" w:hRule="exact"/>
          <w:jc w:val="center"/>
        </w:trPr>
        <w:tc>
          <w:tcPr>
            <w:tcW w:w="3680" w:type="pct"/>
            <w:gridSpan w:val="3"/>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  计</w:t>
            </w:r>
          </w:p>
        </w:tc>
        <w:tc>
          <w:tcPr>
            <w:tcW w:w="75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10</w:t>
            </w:r>
          </w:p>
        </w:tc>
        <w:tc>
          <w:tcPr>
            <w:tcW w:w="56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8</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bookmarkStart w:id="62" w:name="_Toc16415"/>
      <w:bookmarkStart w:id="63" w:name="_Toc83631046"/>
      <w:bookmarkStart w:id="64" w:name="_Toc833"/>
      <w:bookmarkStart w:id="65" w:name="_Toc1929"/>
      <w:bookmarkStart w:id="66" w:name="_Toc83630336"/>
      <w:r>
        <w:rPr>
          <w:rFonts w:hint="eastAsia" w:ascii="仿宋" w:hAnsi="仿宋" w:eastAsia="仿宋" w:cs="仿宋"/>
          <w:sz w:val="30"/>
          <w:szCs w:val="30"/>
          <w:highlight w:val="none"/>
          <w:lang w:val="en-US" w:eastAsia="zh-CN"/>
        </w:rPr>
        <w:t>1.实际完成率（5分）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该指标主要评估项目实施的实际产出数与计划产出数的比率，用以反映和考核项目产出数量目标的实现程度。</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经评估，项目施工合同显示的计划工期为2022年10月1日至2024年3月31日，开工令显示的项目实际开工时间为2023年2月14日，项目开展时间较为滞后，扣2分。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该项指标实际得分3分。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2.完成及时率（5分）</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该指标主要评估项目实际提前完成时间与计划完成时间的比率，用以反映和考核项目产出时效目标的实现程度。</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经评估，该项目施工合同显示的计划工期为2022年10月1日至2024年3月31日，截至评估日，项目未完工，无法考核该指标完成情况，但由于项目实际工期未超计划工期，所以不予扣分。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该项指标实际得分5分。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（四）项目效果（</w:t>
      </w:r>
      <w:r>
        <w:rPr>
          <w:rFonts w:hint="eastAsia" w:ascii="仿宋" w:hAnsi="仿宋" w:eastAsia="仿宋" w:cs="仿宋"/>
          <w:b w:val="0"/>
          <w:bCs w:val="0"/>
          <w:sz w:val="30"/>
          <w:szCs w:val="30"/>
          <w:highlight w:val="none"/>
          <w:lang w:val="en-US" w:eastAsia="zh-CN"/>
        </w:rPr>
        <w:t>30</w:t>
      </w:r>
      <w:r>
        <w:rPr>
          <w:rFonts w:hint="eastAsia" w:ascii="仿宋" w:hAnsi="仿宋" w:eastAsia="仿宋" w:cs="仿宋"/>
          <w:b w:val="0"/>
          <w:bCs w:val="0"/>
          <w:sz w:val="30"/>
          <w:szCs w:val="30"/>
          <w:highlight w:val="none"/>
        </w:rPr>
        <w:t>分）</w:t>
      </w:r>
      <w:bookmarkEnd w:id="62"/>
      <w:bookmarkEnd w:id="63"/>
      <w:bookmarkEnd w:id="64"/>
      <w:bookmarkEnd w:id="65"/>
      <w:bookmarkEnd w:id="66"/>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一级指标包含项目效益1个二级指标和3个三级指标，分别是社会效益、生态效益、可持续影响力。主要评估项目实施后所产生的各种效益，包括项目实施对社会发展、生态环境所带来的直接或间接影响情况、项目实施的可持续影响程度等。</w:t>
      </w:r>
    </w:p>
    <w:tbl>
      <w:tblPr>
        <w:tblStyle w:val="19"/>
        <w:tblW w:w="0" w:type="auto"/>
        <w:jc w:val="center"/>
        <w:tblLayout w:type="fixed"/>
        <w:tblCellMar>
          <w:top w:w="15" w:type="dxa"/>
          <w:left w:w="15" w:type="dxa"/>
          <w:bottom w:w="15" w:type="dxa"/>
          <w:right w:w="15" w:type="dxa"/>
        </w:tblCellMar>
      </w:tblPr>
      <w:tblGrid>
        <w:gridCol w:w="1591"/>
        <w:gridCol w:w="1489"/>
        <w:gridCol w:w="2588"/>
        <w:gridCol w:w="1434"/>
        <w:gridCol w:w="1490"/>
      </w:tblGrid>
      <w:tr>
        <w:tblPrEx>
          <w:tblCellMar>
            <w:top w:w="15" w:type="dxa"/>
            <w:left w:w="15" w:type="dxa"/>
            <w:bottom w:w="15" w:type="dxa"/>
            <w:right w:w="15" w:type="dxa"/>
          </w:tblCellMar>
        </w:tblPrEx>
        <w:trPr>
          <w:trHeight w:val="454" w:hRule="exact"/>
          <w:jc w:val="center"/>
        </w:trPr>
        <w:tc>
          <w:tcPr>
            <w:tcW w:w="15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一级指标</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二级指标</w:t>
            </w:r>
          </w:p>
        </w:tc>
        <w:tc>
          <w:tcPr>
            <w:tcW w:w="258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三级指标</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分数权重</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得分</w:t>
            </w:r>
          </w:p>
        </w:tc>
      </w:tr>
      <w:tr>
        <w:tblPrEx>
          <w:tblCellMar>
            <w:top w:w="15" w:type="dxa"/>
            <w:left w:w="15" w:type="dxa"/>
            <w:bottom w:w="15" w:type="dxa"/>
            <w:right w:w="15" w:type="dxa"/>
          </w:tblCellMar>
        </w:tblPrEx>
        <w:trPr>
          <w:trHeight w:val="746" w:hRule="exact"/>
          <w:jc w:val="center"/>
        </w:trPr>
        <w:tc>
          <w:tcPr>
            <w:tcW w:w="159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项目效果</w:t>
            </w:r>
          </w:p>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w:t>
            </w:r>
            <w:r>
              <w:rPr>
                <w:rFonts w:hint="eastAsia" w:ascii="仿宋" w:hAnsi="仿宋" w:eastAsia="仿宋" w:cs="仿宋"/>
                <w:color w:val="000000"/>
                <w:kern w:val="0"/>
                <w:sz w:val="24"/>
                <w:szCs w:val="24"/>
                <w:highlight w:val="none"/>
                <w:lang w:val="en-US" w:eastAsia="zh-CN" w:bidi="ar"/>
              </w:rPr>
              <w:t>30</w:t>
            </w:r>
            <w:r>
              <w:rPr>
                <w:rFonts w:hint="eastAsia" w:ascii="仿宋" w:hAnsi="仿宋" w:eastAsia="仿宋" w:cs="仿宋"/>
                <w:color w:val="000000"/>
                <w:kern w:val="0"/>
                <w:sz w:val="24"/>
                <w:szCs w:val="24"/>
                <w:highlight w:val="none"/>
                <w:lang w:bidi="ar"/>
              </w:rPr>
              <w:t>分）</w:t>
            </w:r>
          </w:p>
        </w:tc>
        <w:tc>
          <w:tcPr>
            <w:tcW w:w="148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项目效益</w:t>
            </w:r>
          </w:p>
        </w:tc>
        <w:tc>
          <w:tcPr>
            <w:tcW w:w="258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社会效益</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10</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10</w:t>
            </w:r>
          </w:p>
        </w:tc>
      </w:tr>
      <w:tr>
        <w:tblPrEx>
          <w:tblCellMar>
            <w:top w:w="15" w:type="dxa"/>
            <w:left w:w="15" w:type="dxa"/>
            <w:bottom w:w="15" w:type="dxa"/>
            <w:right w:w="15" w:type="dxa"/>
          </w:tblCellMar>
        </w:tblPrEx>
        <w:trPr>
          <w:trHeight w:val="746" w:hRule="exact"/>
          <w:jc w:val="center"/>
        </w:trPr>
        <w:tc>
          <w:tcPr>
            <w:tcW w:w="1591"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highlight w:val="none"/>
                <w:lang w:bidi="ar"/>
              </w:rPr>
            </w:pPr>
          </w:p>
        </w:tc>
        <w:tc>
          <w:tcPr>
            <w:tcW w:w="1489"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highlight w:val="none"/>
                <w:lang w:bidi="ar"/>
              </w:rPr>
            </w:pPr>
          </w:p>
        </w:tc>
        <w:tc>
          <w:tcPr>
            <w:tcW w:w="258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生态效益</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10</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10</w:t>
            </w:r>
          </w:p>
        </w:tc>
      </w:tr>
      <w:tr>
        <w:tblPrEx>
          <w:tblCellMar>
            <w:top w:w="15" w:type="dxa"/>
            <w:left w:w="15" w:type="dxa"/>
            <w:bottom w:w="15" w:type="dxa"/>
            <w:right w:w="15" w:type="dxa"/>
          </w:tblCellMar>
        </w:tblPrEx>
        <w:trPr>
          <w:trHeight w:val="694" w:hRule="exact"/>
          <w:jc w:val="center"/>
        </w:trPr>
        <w:tc>
          <w:tcPr>
            <w:tcW w:w="159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highlight w:val="none"/>
              </w:rPr>
            </w:pPr>
          </w:p>
        </w:tc>
        <w:tc>
          <w:tcPr>
            <w:tcW w:w="148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highlight w:val="none"/>
              </w:rPr>
            </w:pPr>
          </w:p>
        </w:tc>
        <w:tc>
          <w:tcPr>
            <w:tcW w:w="258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可持续影响力</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10</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10</w:t>
            </w:r>
          </w:p>
        </w:tc>
      </w:tr>
      <w:tr>
        <w:tblPrEx>
          <w:tblCellMar>
            <w:top w:w="15" w:type="dxa"/>
            <w:left w:w="15" w:type="dxa"/>
            <w:bottom w:w="15" w:type="dxa"/>
            <w:right w:w="15" w:type="dxa"/>
          </w:tblCellMar>
        </w:tblPrEx>
        <w:trPr>
          <w:trHeight w:val="596" w:hRule="exact"/>
          <w:jc w:val="center"/>
        </w:trPr>
        <w:tc>
          <w:tcPr>
            <w:tcW w:w="5668"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合  计</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30</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30</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1.社会效益（10分）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该指标主要评估该项目实施对社会发展所带来的直接或间接影响情况。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估，本项目的建成将提供新的自来水管网系统，降低漏损、避免水质二次污染，保证供水安全卫生，提升曲阳县市政基础设施建设水平，将保障当地居民的用水安全，维护居民的身体健康，预计社会效益较好。</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该项指标实际得分10分。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2.生态效益（10分）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该指标主要评价项目实施对生态环境所带来的直接或间接影响情况。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 xml:space="preserve">经评估，通过本项目的实施，将完善曲阳县城区的自来水管网系统， </w:t>
      </w:r>
    </w:p>
    <w:p>
      <w:pPr>
        <w:pageBreakBefore w:val="0"/>
        <w:kinsoku/>
        <w:wordWrap/>
        <w:overflowPunct/>
        <w:topLinePunct w:val="0"/>
        <w:autoSpaceDE/>
        <w:autoSpaceDN/>
        <w:bidi w:val="0"/>
        <w:adjustRightInd/>
        <w:snapToGrid/>
        <w:spacing w:line="560" w:lineRule="exact"/>
        <w:jc w:val="left"/>
        <w:rPr>
          <w:rFonts w:hint="eastAsia"/>
          <w:highlight w:val="none"/>
          <w:lang w:val="en-US" w:eastAsia="zh-CN"/>
        </w:rPr>
      </w:pPr>
      <w:r>
        <w:rPr>
          <w:rFonts w:hint="eastAsia" w:ascii="仿宋" w:hAnsi="仿宋" w:eastAsia="仿宋" w:cs="仿宋"/>
          <w:sz w:val="30"/>
          <w:szCs w:val="30"/>
          <w:highlight w:val="none"/>
          <w:lang w:val="en-US" w:eastAsia="zh-CN"/>
        </w:rPr>
        <w:t>改善曲阳县的生态环境，预计对生态环境带来较好的影响。</w:t>
      </w:r>
    </w:p>
    <w:p>
      <w:pPr>
        <w:pageBreakBefore w:val="0"/>
        <w:numPr>
          <w:ilvl w:val="0"/>
          <w:numId w:val="0"/>
        </w:numPr>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3.可持续影响力（10分）</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该指标主要评估</w:t>
      </w:r>
      <w:r>
        <w:rPr>
          <w:rFonts w:hint="default" w:ascii="仿宋" w:hAnsi="仿宋" w:eastAsia="仿宋" w:cs="仿宋"/>
          <w:sz w:val="30"/>
          <w:szCs w:val="30"/>
          <w:highlight w:val="none"/>
          <w:lang w:val="en-US" w:eastAsia="zh-CN"/>
        </w:rPr>
        <w:t>项目后续运行及成效发挥的可持续影响情况。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经评估，本项目的实施可改善曲阳县城区的供水条件，保证供水水质</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安全，满足广大居民日益增长的用水需求；可提高用水计量精确性，减少水资源浪费，降低供水成本；提高曲阳县基础设施水平，加速曲阳县经济建设进程，预计可持续影响效果较好。</w:t>
      </w:r>
    </w:p>
    <w:p>
      <w:pPr>
        <w:pageBreakBefore w:val="0"/>
        <w:kinsoku/>
        <w:wordWrap/>
        <w:overflowPunct/>
        <w:topLinePunct w:val="0"/>
        <w:autoSpaceDE/>
        <w:autoSpaceDN/>
        <w:bidi w:val="0"/>
        <w:adjustRightInd/>
        <w:snapToGrid/>
        <w:spacing w:line="560" w:lineRule="exact"/>
        <w:ind w:firstLine="600" w:firstLineChars="200"/>
        <w:jc w:val="left"/>
        <w:rPr>
          <w:rFonts w:hint="default"/>
          <w:highlight w:val="none"/>
          <w:lang w:val="en-US" w:eastAsia="zh-CN"/>
        </w:rPr>
      </w:pPr>
      <w:r>
        <w:rPr>
          <w:rFonts w:hint="eastAsia" w:ascii="仿宋" w:hAnsi="仿宋" w:eastAsia="仿宋" w:cs="仿宋"/>
          <w:sz w:val="30"/>
          <w:szCs w:val="30"/>
          <w:highlight w:val="none"/>
          <w:lang w:val="en-US" w:eastAsia="zh-CN"/>
        </w:rPr>
        <w:t>该项指标实际得分10分。</w:t>
      </w:r>
    </w:p>
    <w:p>
      <w:pPr>
        <w:pStyle w:val="3"/>
        <w:pageBreakBefore w:val="0"/>
        <w:kinsoku/>
        <w:wordWrap/>
        <w:overflowPunct/>
        <w:topLinePunct w:val="0"/>
        <w:autoSpaceDE/>
        <w:autoSpaceDN/>
        <w:bidi w:val="0"/>
        <w:adjustRightInd/>
        <w:snapToGrid/>
        <w:spacing w:beforeAutospacing="0" w:afterAutospacing="0" w:line="560" w:lineRule="exact"/>
        <w:ind w:firstLine="643" w:firstLineChars="200"/>
        <w:rPr>
          <w:rFonts w:hint="eastAsia" w:ascii="仿宋" w:hAnsi="仿宋" w:eastAsia="仿宋" w:cs="仿宋"/>
          <w:sz w:val="32"/>
          <w:szCs w:val="32"/>
          <w:highlight w:val="none"/>
        </w:rPr>
      </w:pPr>
      <w:bookmarkStart w:id="67" w:name="_Toc501368363"/>
      <w:bookmarkStart w:id="68" w:name="_Toc6602"/>
      <w:bookmarkStart w:id="69" w:name="_Toc10985"/>
      <w:bookmarkStart w:id="70" w:name="_Toc2211"/>
      <w:bookmarkStart w:id="71" w:name="_Toc83630434"/>
      <w:bookmarkStart w:id="72" w:name="_Toc24878"/>
      <w:bookmarkStart w:id="73" w:name="_Toc12802"/>
      <w:bookmarkStart w:id="74" w:name="_Toc83631048"/>
      <w:r>
        <w:rPr>
          <w:rFonts w:hint="eastAsia" w:ascii="仿宋" w:hAnsi="仿宋" w:eastAsia="仿宋" w:cs="仿宋"/>
          <w:sz w:val="32"/>
          <w:szCs w:val="32"/>
          <w:highlight w:val="none"/>
          <w:lang w:val="en-US" w:eastAsia="zh-CN"/>
        </w:rPr>
        <w:t>六</w:t>
      </w:r>
      <w:r>
        <w:rPr>
          <w:rFonts w:hint="eastAsia" w:ascii="仿宋" w:hAnsi="仿宋" w:eastAsia="仿宋" w:cs="仿宋"/>
          <w:sz w:val="32"/>
          <w:szCs w:val="32"/>
          <w:highlight w:val="none"/>
        </w:rPr>
        <w:t>、项目综合</w:t>
      </w:r>
      <w:bookmarkEnd w:id="67"/>
      <w:bookmarkEnd w:id="68"/>
      <w:r>
        <w:rPr>
          <w:rFonts w:hint="eastAsia" w:ascii="仿宋" w:hAnsi="仿宋" w:eastAsia="仿宋" w:cs="仿宋"/>
          <w:sz w:val="32"/>
          <w:szCs w:val="32"/>
          <w:highlight w:val="none"/>
          <w:lang w:eastAsia="zh-CN"/>
        </w:rPr>
        <w:t>评估</w:t>
      </w:r>
      <w:r>
        <w:rPr>
          <w:rFonts w:hint="eastAsia" w:ascii="仿宋" w:hAnsi="仿宋" w:eastAsia="仿宋" w:cs="仿宋"/>
          <w:sz w:val="32"/>
          <w:szCs w:val="32"/>
          <w:highlight w:val="none"/>
        </w:rPr>
        <w:t>结论和</w:t>
      </w:r>
      <w:r>
        <w:rPr>
          <w:rFonts w:hint="eastAsia" w:ascii="仿宋" w:hAnsi="仿宋" w:eastAsia="仿宋" w:cs="仿宋"/>
          <w:sz w:val="32"/>
          <w:szCs w:val="32"/>
          <w:highlight w:val="none"/>
          <w:lang w:eastAsia="zh-CN"/>
        </w:rPr>
        <w:t>评估</w:t>
      </w:r>
      <w:r>
        <w:rPr>
          <w:rFonts w:hint="eastAsia" w:ascii="仿宋" w:hAnsi="仿宋" w:eastAsia="仿宋" w:cs="仿宋"/>
          <w:sz w:val="32"/>
          <w:szCs w:val="32"/>
          <w:highlight w:val="none"/>
        </w:rPr>
        <w:t>等级</w:t>
      </w:r>
      <w:bookmarkEnd w:id="69"/>
      <w:bookmarkEnd w:id="70"/>
      <w:bookmarkEnd w:id="71"/>
      <w:bookmarkEnd w:id="72"/>
      <w:bookmarkEnd w:id="73"/>
      <w:bookmarkEnd w:id="74"/>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bookmarkStart w:id="75" w:name="_Toc501368364"/>
      <w:r>
        <w:rPr>
          <w:rFonts w:hint="eastAsia" w:ascii="仿宋" w:hAnsi="仿宋" w:eastAsia="仿宋" w:cs="仿宋"/>
          <w:sz w:val="30"/>
          <w:szCs w:val="30"/>
          <w:highlight w:val="none"/>
        </w:rPr>
        <w:t>1.</w:t>
      </w:r>
      <w:r>
        <w:rPr>
          <w:rFonts w:hint="eastAsia" w:ascii="仿宋" w:hAnsi="仿宋" w:eastAsia="仿宋" w:cs="仿宋"/>
          <w:sz w:val="30"/>
          <w:szCs w:val="30"/>
          <w:highlight w:val="none"/>
          <w:lang w:val="en-US" w:eastAsia="zh-CN"/>
        </w:rPr>
        <w:t>确定</w:t>
      </w:r>
      <w:bookmarkEnd w:id="75"/>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lang w:val="en-US" w:eastAsia="zh-CN"/>
        </w:rPr>
        <w:t>分值：94分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等级</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优</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3.项目综合</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结论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bookmarkStart w:id="76" w:name="_Toc83630435"/>
      <w:bookmarkStart w:id="77" w:name="_Toc25027"/>
      <w:bookmarkStart w:id="78" w:name="_Toc28969"/>
      <w:bookmarkStart w:id="79" w:name="_Toc83631049"/>
      <w:r>
        <w:rPr>
          <w:rFonts w:hint="eastAsia" w:ascii="仿宋" w:hAnsi="仿宋" w:eastAsia="仿宋" w:cs="仿宋"/>
          <w:sz w:val="30"/>
          <w:szCs w:val="30"/>
          <w:highlight w:val="none"/>
        </w:rPr>
        <w:t>该项目严格</w:t>
      </w:r>
      <w:r>
        <w:rPr>
          <w:rFonts w:hint="eastAsia" w:ascii="仿宋" w:hAnsi="仿宋" w:eastAsia="仿宋" w:cs="仿宋"/>
          <w:sz w:val="30"/>
          <w:szCs w:val="30"/>
          <w:highlight w:val="none"/>
          <w:lang w:val="en-US" w:eastAsia="zh-CN"/>
        </w:rPr>
        <w:t>专项债券</w:t>
      </w:r>
      <w:r>
        <w:rPr>
          <w:rFonts w:hint="eastAsia" w:ascii="仿宋" w:hAnsi="仿宋" w:eastAsia="仿宋" w:cs="仿宋"/>
          <w:sz w:val="30"/>
          <w:szCs w:val="30"/>
          <w:highlight w:val="none"/>
        </w:rPr>
        <w:t>资金使用管理，</w:t>
      </w:r>
      <w:bookmarkEnd w:id="76"/>
      <w:bookmarkEnd w:id="77"/>
      <w:bookmarkEnd w:id="78"/>
      <w:bookmarkEnd w:id="79"/>
      <w:r>
        <w:rPr>
          <w:rFonts w:hint="eastAsia" w:ascii="仿宋" w:hAnsi="仿宋" w:eastAsia="仿宋" w:cs="仿宋"/>
          <w:sz w:val="30"/>
          <w:szCs w:val="30"/>
          <w:highlight w:val="none"/>
          <w:lang w:val="en-US" w:eastAsia="zh-CN"/>
        </w:rPr>
        <w:t>专项债券资金于2022年度完成支付，全部为工程款支出，</w:t>
      </w:r>
      <w:r>
        <w:rPr>
          <w:rFonts w:hint="eastAsia" w:ascii="仿宋" w:hAnsi="仿宋" w:eastAsia="仿宋" w:cs="仿宋"/>
          <w:sz w:val="30"/>
          <w:szCs w:val="30"/>
          <w:highlight w:val="none"/>
        </w:rPr>
        <w:t>专款专用</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无结余资金</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截至评估日，正在进行项目建设。通过项目实施，本项目的实施可改善曲阳县城区的供水条件，保证供水水质安全，满足广大居民日益增长的用水需求；可提高用水计量精确性，减少水资源浪费，降低供水成本；提高曲阳县基础设施水平，加速曲阳县经济建设进程</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有利于推动当地社会和谐与稳定，预期社会效益、生态效益和可持续影响效果较好</w:t>
      </w:r>
      <w:r>
        <w:rPr>
          <w:rFonts w:hint="eastAsia" w:ascii="仿宋" w:hAnsi="仿宋" w:eastAsia="仿宋" w:cs="仿宋"/>
          <w:sz w:val="30"/>
          <w:szCs w:val="30"/>
          <w:highlight w:val="none"/>
        </w:rPr>
        <w:t>。</w:t>
      </w:r>
    </w:p>
    <w:p>
      <w:pPr>
        <w:pStyle w:val="3"/>
        <w:pageBreakBefore w:val="0"/>
        <w:kinsoku/>
        <w:wordWrap/>
        <w:overflowPunct/>
        <w:topLinePunct w:val="0"/>
        <w:autoSpaceDE/>
        <w:autoSpaceDN/>
        <w:bidi w:val="0"/>
        <w:adjustRightInd/>
        <w:snapToGrid/>
        <w:spacing w:beforeAutospacing="0" w:afterAutospacing="0" w:line="560" w:lineRule="exact"/>
        <w:ind w:firstLine="643" w:firstLineChars="200"/>
        <w:rPr>
          <w:rFonts w:hint="eastAsia" w:ascii="仿宋" w:hAnsi="仿宋" w:eastAsia="仿宋" w:cs="仿宋"/>
          <w:bCs/>
          <w:sz w:val="32"/>
          <w:szCs w:val="32"/>
          <w:highlight w:val="none"/>
        </w:rPr>
      </w:pPr>
      <w:bookmarkStart w:id="80" w:name="_Toc7207"/>
      <w:bookmarkStart w:id="81" w:name="_Toc27278"/>
      <w:bookmarkStart w:id="82" w:name="_Toc22941"/>
      <w:bookmarkStart w:id="83" w:name="_Toc30518"/>
      <w:bookmarkStart w:id="84" w:name="_Toc83631050"/>
      <w:bookmarkStart w:id="85" w:name="_Toc83630436"/>
      <w:r>
        <w:rPr>
          <w:rFonts w:hint="eastAsia" w:ascii="仿宋" w:hAnsi="仿宋" w:eastAsia="仿宋" w:cs="仿宋"/>
          <w:bCs/>
          <w:sz w:val="32"/>
          <w:szCs w:val="32"/>
          <w:highlight w:val="none"/>
          <w:lang w:val="en-US" w:eastAsia="zh-CN"/>
        </w:rPr>
        <w:t>七</w:t>
      </w:r>
      <w:r>
        <w:rPr>
          <w:rFonts w:hint="eastAsia" w:ascii="仿宋" w:hAnsi="仿宋" w:eastAsia="仿宋" w:cs="仿宋"/>
          <w:bCs/>
          <w:sz w:val="32"/>
          <w:szCs w:val="32"/>
          <w:highlight w:val="none"/>
        </w:rPr>
        <w:t>、存在的问题</w:t>
      </w:r>
      <w:bookmarkEnd w:id="80"/>
      <w:bookmarkEnd w:id="81"/>
      <w:bookmarkEnd w:id="82"/>
      <w:bookmarkEnd w:id="83"/>
      <w:bookmarkEnd w:id="84"/>
      <w:bookmarkEnd w:id="85"/>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该项目取得的成绩是肯定的，但在实现绩效目标过程中也存在一些不足之处，具体归纳为：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bookmarkStart w:id="86" w:name="_Toc83630437"/>
      <w:bookmarkStart w:id="87" w:name="_Toc23781"/>
      <w:bookmarkStart w:id="88" w:name="_Toc6530"/>
      <w:bookmarkStart w:id="89" w:name="_Toc83631051"/>
      <w:r>
        <w:rPr>
          <w:rFonts w:hint="eastAsia" w:ascii="仿宋" w:hAnsi="仿宋" w:eastAsia="仿宋" w:cs="仿宋"/>
          <w:sz w:val="30"/>
          <w:szCs w:val="30"/>
          <w:highlight w:val="none"/>
          <w:lang w:eastAsia="zh-CN"/>
        </w:rPr>
        <w:t>（一）绩效指标设定</w:t>
      </w:r>
      <w:r>
        <w:rPr>
          <w:rFonts w:hint="eastAsia" w:ascii="仿宋" w:hAnsi="仿宋" w:eastAsia="仿宋" w:cs="仿宋"/>
          <w:sz w:val="30"/>
          <w:szCs w:val="30"/>
          <w:highlight w:val="none"/>
          <w:lang w:val="en-US" w:eastAsia="zh-CN"/>
        </w:rPr>
        <w:t>方面</w:t>
      </w:r>
    </w:p>
    <w:p>
      <w:pPr>
        <w:pageBreakBefore w:val="0"/>
        <w:kinsoku/>
        <w:wordWrap/>
        <w:overflowPunct/>
        <w:topLinePunct w:val="0"/>
        <w:autoSpaceDE/>
        <w:autoSpaceDN/>
        <w:bidi w:val="0"/>
        <w:adjustRightInd/>
        <w:snapToGrid/>
        <w:spacing w:line="560" w:lineRule="exact"/>
        <w:ind w:firstLine="600" w:firstLineChars="200"/>
        <w:jc w:val="left"/>
        <w:rPr>
          <w:rFonts w:hint="eastAsia"/>
          <w:highlight w:val="none"/>
          <w:lang w:eastAsia="zh-CN"/>
        </w:rPr>
      </w:pPr>
      <w:r>
        <w:rPr>
          <w:rFonts w:hint="eastAsia" w:ascii="仿宋" w:hAnsi="仿宋" w:eastAsia="仿宋" w:cs="仿宋"/>
          <w:sz w:val="30"/>
          <w:szCs w:val="30"/>
          <w:highlight w:val="none"/>
          <w:lang w:val="en-US" w:eastAsia="zh-CN"/>
        </w:rPr>
        <w:t>项目绩效自评表中绩效指标的明确性有待加强，</w:t>
      </w:r>
      <w:r>
        <w:rPr>
          <w:rFonts w:hint="eastAsia" w:ascii="仿宋" w:hAnsi="仿宋" w:eastAsia="仿宋" w:cs="仿宋"/>
          <w:sz w:val="30"/>
          <w:szCs w:val="30"/>
          <w:highlight w:val="none"/>
          <w:lang w:eastAsia="zh-CN"/>
        </w:rPr>
        <w:t>产出指标估计不足，指标</w:t>
      </w:r>
      <w:r>
        <w:rPr>
          <w:rFonts w:hint="eastAsia" w:ascii="仿宋" w:hAnsi="仿宋" w:eastAsia="仿宋" w:cs="仿宋"/>
          <w:sz w:val="30"/>
          <w:szCs w:val="30"/>
          <w:highlight w:val="none"/>
          <w:lang w:val="en-US" w:eastAsia="zh-CN"/>
        </w:rPr>
        <w:t>设置</w:t>
      </w:r>
      <w:r>
        <w:rPr>
          <w:rFonts w:hint="eastAsia" w:ascii="仿宋" w:hAnsi="仿宋" w:eastAsia="仿宋" w:cs="仿宋"/>
          <w:sz w:val="30"/>
          <w:szCs w:val="30"/>
          <w:highlight w:val="none"/>
          <w:lang w:eastAsia="zh-CN"/>
        </w:rPr>
        <w:t>不够细化，指标值</w:t>
      </w:r>
      <w:r>
        <w:rPr>
          <w:rFonts w:hint="eastAsia" w:ascii="仿宋" w:hAnsi="仿宋" w:eastAsia="仿宋" w:cs="仿宋"/>
          <w:sz w:val="30"/>
          <w:szCs w:val="30"/>
          <w:highlight w:val="none"/>
          <w:lang w:val="en-US" w:eastAsia="zh-CN"/>
        </w:rPr>
        <w:t>未能与年度工作任务相匹配，不利于考核年度任务完成情况</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（二）会计核算规范性方面</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2022年度工程预付款支出记账科目使用不规范。</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（三）项目实施进度方面</w:t>
      </w:r>
    </w:p>
    <w:p>
      <w:pPr>
        <w:pStyle w:val="2"/>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该项目施工合同显示的计划工期为2022年10月1日至2024年3月31日，开工令显示的项目实际开工时间为2023年2月14日，经询问相关人员，受疫情影响，项目开展时间较为滞后。</w:t>
      </w:r>
    </w:p>
    <w:p>
      <w:pPr>
        <w:pStyle w:val="3"/>
        <w:pageBreakBefore w:val="0"/>
        <w:kinsoku/>
        <w:wordWrap/>
        <w:overflowPunct/>
        <w:topLinePunct w:val="0"/>
        <w:autoSpaceDE/>
        <w:autoSpaceDN/>
        <w:bidi w:val="0"/>
        <w:adjustRightInd/>
        <w:snapToGrid/>
        <w:spacing w:beforeAutospacing="0" w:afterAutospacing="0" w:line="560" w:lineRule="exact"/>
        <w:ind w:firstLine="643" w:firstLineChars="200"/>
        <w:rPr>
          <w:rFonts w:hint="eastAsia" w:ascii="仿宋" w:hAnsi="仿宋" w:eastAsia="仿宋" w:cs="仿宋"/>
          <w:bCs/>
          <w:sz w:val="32"/>
          <w:szCs w:val="32"/>
          <w:highlight w:val="none"/>
          <w:lang w:val="en-US" w:eastAsia="zh-CN"/>
        </w:rPr>
      </w:pPr>
      <w:r>
        <w:rPr>
          <w:rFonts w:hint="eastAsia" w:ascii="仿宋" w:hAnsi="仿宋" w:eastAsia="仿宋" w:cs="仿宋"/>
          <w:bCs/>
          <w:sz w:val="32"/>
          <w:szCs w:val="32"/>
          <w:highlight w:val="none"/>
          <w:lang w:val="en-US" w:eastAsia="zh-CN"/>
        </w:rPr>
        <w:t>八、建议及改进措施</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（一）针对项目绩效指标未能与年度工作任务相匹配方面问题，建议项目实施单位细化绩效指标设置，对跨年度实施的项目，明确年度工作任务，制定合理的年度目标任务，从而更好的考核项目完成进度情况。</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600" w:firstLineChars="200"/>
        <w:jc w:val="left"/>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（二）针对会计核算规范性方面问题，建议项目实施单位进一步加强财务管理，规范财务会计行为。</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600" w:firstLineChars="200"/>
        <w:jc w:val="left"/>
        <w:textAlignment w:val="auto"/>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（三）针对</w:t>
      </w:r>
      <w:r>
        <w:rPr>
          <w:rFonts w:hint="eastAsia" w:ascii="仿宋" w:hAnsi="仿宋" w:eastAsia="仿宋" w:cs="仿宋"/>
          <w:b w:val="0"/>
          <w:bCs w:val="0"/>
          <w:sz w:val="30"/>
          <w:szCs w:val="30"/>
          <w:highlight w:val="none"/>
          <w:lang w:val="en-US" w:eastAsia="zh-CN"/>
        </w:rPr>
        <w:t>项目实施进度方面问题，</w:t>
      </w:r>
      <w:r>
        <w:rPr>
          <w:rFonts w:hint="eastAsia" w:ascii="仿宋" w:hAnsi="仿宋" w:eastAsia="仿宋" w:cs="仿宋"/>
          <w:sz w:val="30"/>
          <w:szCs w:val="30"/>
          <w:highlight w:val="none"/>
          <w:lang w:val="en-US" w:eastAsia="zh-CN"/>
        </w:rPr>
        <w:t>建议项目实施单位加强项目过程控制，保证实施进度。</w:t>
      </w:r>
    </w:p>
    <w:bookmarkEnd w:id="86"/>
    <w:bookmarkEnd w:id="87"/>
    <w:bookmarkEnd w:id="88"/>
    <w:bookmarkEnd w:id="89"/>
    <w:p>
      <w:pPr>
        <w:pageBreakBefore w:val="0"/>
        <w:kinsoku/>
        <w:wordWrap/>
        <w:overflowPunct/>
        <w:topLinePunct w:val="0"/>
        <w:autoSpaceDE/>
        <w:autoSpaceDN/>
        <w:bidi w:val="0"/>
        <w:adjustRightInd/>
        <w:snapToGrid/>
        <w:spacing w:line="560" w:lineRule="exact"/>
        <w:ind w:firstLine="6300" w:firstLineChars="2100"/>
        <w:rPr>
          <w:rFonts w:hint="eastAsia" w:ascii="仿宋" w:hAnsi="仿宋" w:eastAsia="仿宋" w:cs="仿宋"/>
          <w:sz w:val="30"/>
          <w:szCs w:val="30"/>
          <w:highlight w:val="none"/>
          <w:lang w:eastAsia="zh-CN"/>
        </w:rPr>
      </w:pPr>
    </w:p>
    <w:p>
      <w:pPr>
        <w:pStyle w:val="2"/>
        <w:rPr>
          <w:rFonts w:hint="eastAsia" w:ascii="仿宋" w:hAnsi="仿宋" w:eastAsia="仿宋" w:cs="仿宋"/>
          <w:sz w:val="30"/>
          <w:szCs w:val="30"/>
          <w:highlight w:val="none"/>
          <w:lang w:eastAsia="zh-CN"/>
        </w:rPr>
      </w:pPr>
    </w:p>
    <w:p>
      <w:pPr>
        <w:pStyle w:val="2"/>
        <w:rPr>
          <w:rFonts w:hint="eastAsia" w:ascii="仿宋" w:hAnsi="仿宋" w:eastAsia="仿宋" w:cs="仿宋"/>
          <w:sz w:val="30"/>
          <w:szCs w:val="30"/>
          <w:highlight w:val="none"/>
          <w:lang w:val="en-US" w:eastAsia="zh-CN"/>
        </w:rPr>
      </w:pPr>
    </w:p>
    <w:p>
      <w:pPr>
        <w:ind w:firstLine="7200" w:firstLineChars="2400"/>
        <w:rPr>
          <w:rFonts w:hint="eastAsia"/>
          <w:lang w:val="en-US" w:eastAsia="zh-CN"/>
        </w:rPr>
      </w:pPr>
      <w:r>
        <w:rPr>
          <w:rFonts w:hint="eastAsia" w:ascii="仿宋" w:hAnsi="仿宋" w:eastAsia="仿宋" w:cs="仿宋"/>
          <w:sz w:val="30"/>
          <w:szCs w:val="30"/>
          <w:highlight w:val="none"/>
          <w:lang w:val="en-US" w:eastAsia="zh-CN"/>
        </w:rPr>
        <w:t>曲阳县财政局</w:t>
      </w:r>
    </w:p>
    <w:p>
      <w:pPr>
        <w:pageBreakBefore w:val="0"/>
        <w:kinsoku/>
        <w:wordWrap/>
        <w:overflowPunct/>
        <w:topLinePunct w:val="0"/>
        <w:autoSpaceDE/>
        <w:autoSpaceDN/>
        <w:bidi w:val="0"/>
        <w:adjustRightInd/>
        <w:snapToGrid/>
        <w:spacing w:line="560" w:lineRule="exact"/>
        <w:ind w:firstLine="7200" w:firstLineChars="24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2023年</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lang w:eastAsia="zh-CN"/>
        </w:rPr>
        <w:t>月</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lang w:eastAsia="zh-CN"/>
        </w:rPr>
        <w:t>日</w:t>
      </w:r>
    </w:p>
    <w:p>
      <w:pPr>
        <w:rPr>
          <w:rFonts w:hint="eastAsia" w:ascii="仿宋" w:hAnsi="仿宋" w:eastAsia="仿宋" w:cs="仿宋"/>
          <w:sz w:val="30"/>
          <w:szCs w:val="30"/>
          <w:highlight w:val="none"/>
          <w:lang w:eastAsia="zh-CN"/>
        </w:rPr>
      </w:pPr>
    </w:p>
    <w:p>
      <w:pPr>
        <w:pStyle w:val="2"/>
        <w:rPr>
          <w:rFonts w:hint="eastAsia"/>
          <w:lang w:eastAsia="zh-CN"/>
        </w:rPr>
      </w:pPr>
    </w:p>
    <w:sectPr>
      <w:pgSz w:w="11906" w:h="16838"/>
      <w:pgMar w:top="964" w:right="1134" w:bottom="964" w:left="1134" w:header="1134" w:footer="680" w:gutter="0"/>
      <w:pgBorders>
        <w:top w:val="none" w:sz="0" w:space="0"/>
        <w:left w:val="none" w:sz="0" w:space="0"/>
        <w:bottom w:val="none" w:sz="0" w:space="0"/>
        <w:right w:val="none" w:sz="0" w:space="0"/>
      </w:pgBorders>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489866"/>
    <w:multiLevelType w:val="singleLevel"/>
    <w:tmpl w:val="BD489866"/>
    <w:lvl w:ilvl="0" w:tentative="0">
      <w:start w:val="2"/>
      <w:numFmt w:val="decimal"/>
      <w:suff w:val="nothing"/>
      <w:lvlText w:val="%1、"/>
      <w:lvlJc w:val="left"/>
    </w:lvl>
  </w:abstractNum>
  <w:abstractNum w:abstractNumId="1">
    <w:nsid w:val="D319868D"/>
    <w:multiLevelType w:val="singleLevel"/>
    <w:tmpl w:val="D319868D"/>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5"/>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yYWFlYmY1MDgzZjVkMTIyZDNjNGU3MzRhOTU3MzYifQ=="/>
  </w:docVars>
  <w:rsids>
    <w:rsidRoot w:val="00172A27"/>
    <w:rsid w:val="00001E81"/>
    <w:rsid w:val="00002FE3"/>
    <w:rsid w:val="0001237A"/>
    <w:rsid w:val="00012B1F"/>
    <w:rsid w:val="00013039"/>
    <w:rsid w:val="00016780"/>
    <w:rsid w:val="00016877"/>
    <w:rsid w:val="00022151"/>
    <w:rsid w:val="00025856"/>
    <w:rsid w:val="0002621F"/>
    <w:rsid w:val="00033AA9"/>
    <w:rsid w:val="0003796B"/>
    <w:rsid w:val="00040467"/>
    <w:rsid w:val="00045C4A"/>
    <w:rsid w:val="00051E6A"/>
    <w:rsid w:val="000526B1"/>
    <w:rsid w:val="000545E4"/>
    <w:rsid w:val="00061A9C"/>
    <w:rsid w:val="00061CE6"/>
    <w:rsid w:val="0006219F"/>
    <w:rsid w:val="000708F8"/>
    <w:rsid w:val="0007441F"/>
    <w:rsid w:val="0007465C"/>
    <w:rsid w:val="00074D40"/>
    <w:rsid w:val="000755AD"/>
    <w:rsid w:val="00075E9A"/>
    <w:rsid w:val="00077141"/>
    <w:rsid w:val="00085E3D"/>
    <w:rsid w:val="0009369D"/>
    <w:rsid w:val="0009497A"/>
    <w:rsid w:val="00097090"/>
    <w:rsid w:val="000A0869"/>
    <w:rsid w:val="000A1167"/>
    <w:rsid w:val="000A3E44"/>
    <w:rsid w:val="000A4680"/>
    <w:rsid w:val="000B0D5C"/>
    <w:rsid w:val="000B155D"/>
    <w:rsid w:val="000B1E0C"/>
    <w:rsid w:val="000B20C4"/>
    <w:rsid w:val="000B2F28"/>
    <w:rsid w:val="000C0219"/>
    <w:rsid w:val="000C04B4"/>
    <w:rsid w:val="000D406E"/>
    <w:rsid w:val="000D62DD"/>
    <w:rsid w:val="000D7C44"/>
    <w:rsid w:val="000D7C62"/>
    <w:rsid w:val="000E2FF4"/>
    <w:rsid w:val="000E55B5"/>
    <w:rsid w:val="000E7041"/>
    <w:rsid w:val="000F06E0"/>
    <w:rsid w:val="000F4DB6"/>
    <w:rsid w:val="000F6F4D"/>
    <w:rsid w:val="000F7314"/>
    <w:rsid w:val="00102339"/>
    <w:rsid w:val="00103596"/>
    <w:rsid w:val="0010607C"/>
    <w:rsid w:val="0010686E"/>
    <w:rsid w:val="00107E9D"/>
    <w:rsid w:val="001118A5"/>
    <w:rsid w:val="001129D8"/>
    <w:rsid w:val="00117D1C"/>
    <w:rsid w:val="00123040"/>
    <w:rsid w:val="00123913"/>
    <w:rsid w:val="00127425"/>
    <w:rsid w:val="001337FE"/>
    <w:rsid w:val="00135522"/>
    <w:rsid w:val="0014634C"/>
    <w:rsid w:val="001471EC"/>
    <w:rsid w:val="00151E0E"/>
    <w:rsid w:val="00153236"/>
    <w:rsid w:val="00155639"/>
    <w:rsid w:val="00157B84"/>
    <w:rsid w:val="00161CEF"/>
    <w:rsid w:val="00163C86"/>
    <w:rsid w:val="0016529A"/>
    <w:rsid w:val="0016552F"/>
    <w:rsid w:val="00165B00"/>
    <w:rsid w:val="00167578"/>
    <w:rsid w:val="00172A27"/>
    <w:rsid w:val="001730CC"/>
    <w:rsid w:val="00175C51"/>
    <w:rsid w:val="001775FA"/>
    <w:rsid w:val="00177706"/>
    <w:rsid w:val="00181EDE"/>
    <w:rsid w:val="00196D03"/>
    <w:rsid w:val="001973EC"/>
    <w:rsid w:val="001A0FA2"/>
    <w:rsid w:val="001A47A9"/>
    <w:rsid w:val="001A6DAC"/>
    <w:rsid w:val="001A6DCF"/>
    <w:rsid w:val="001A7692"/>
    <w:rsid w:val="001B348D"/>
    <w:rsid w:val="001B48F3"/>
    <w:rsid w:val="001B5178"/>
    <w:rsid w:val="001B55E7"/>
    <w:rsid w:val="001C05EB"/>
    <w:rsid w:val="001C0981"/>
    <w:rsid w:val="001C0A70"/>
    <w:rsid w:val="001C370C"/>
    <w:rsid w:val="001C5733"/>
    <w:rsid w:val="001C587B"/>
    <w:rsid w:val="001D420F"/>
    <w:rsid w:val="001D7CB3"/>
    <w:rsid w:val="001E3AEC"/>
    <w:rsid w:val="001E5575"/>
    <w:rsid w:val="001E6191"/>
    <w:rsid w:val="001E6D7F"/>
    <w:rsid w:val="001F37F7"/>
    <w:rsid w:val="001F3B46"/>
    <w:rsid w:val="002019BF"/>
    <w:rsid w:val="00204D34"/>
    <w:rsid w:val="00205B2A"/>
    <w:rsid w:val="002061DE"/>
    <w:rsid w:val="00206E4A"/>
    <w:rsid w:val="00211650"/>
    <w:rsid w:val="00212B85"/>
    <w:rsid w:val="00214D2D"/>
    <w:rsid w:val="00217674"/>
    <w:rsid w:val="002238F1"/>
    <w:rsid w:val="0022441E"/>
    <w:rsid w:val="002262ED"/>
    <w:rsid w:val="00227687"/>
    <w:rsid w:val="00231583"/>
    <w:rsid w:val="00231E73"/>
    <w:rsid w:val="00232C0B"/>
    <w:rsid w:val="00236FF9"/>
    <w:rsid w:val="002371BA"/>
    <w:rsid w:val="00241DDA"/>
    <w:rsid w:val="0024577B"/>
    <w:rsid w:val="002477B2"/>
    <w:rsid w:val="002478F4"/>
    <w:rsid w:val="002513BE"/>
    <w:rsid w:val="00256A4B"/>
    <w:rsid w:val="00264E36"/>
    <w:rsid w:val="00266F46"/>
    <w:rsid w:val="002678E2"/>
    <w:rsid w:val="0027048A"/>
    <w:rsid w:val="00270705"/>
    <w:rsid w:val="00271949"/>
    <w:rsid w:val="00274702"/>
    <w:rsid w:val="0027470D"/>
    <w:rsid w:val="002762DA"/>
    <w:rsid w:val="00280437"/>
    <w:rsid w:val="002837BF"/>
    <w:rsid w:val="0028433C"/>
    <w:rsid w:val="00287E1A"/>
    <w:rsid w:val="002938D8"/>
    <w:rsid w:val="00294650"/>
    <w:rsid w:val="00294ED2"/>
    <w:rsid w:val="00297960"/>
    <w:rsid w:val="002A4C4D"/>
    <w:rsid w:val="002A5E76"/>
    <w:rsid w:val="002A68A6"/>
    <w:rsid w:val="002B37B6"/>
    <w:rsid w:val="002B45E5"/>
    <w:rsid w:val="002C1CA4"/>
    <w:rsid w:val="002E02E3"/>
    <w:rsid w:val="002E2613"/>
    <w:rsid w:val="002E2C1A"/>
    <w:rsid w:val="002E45FD"/>
    <w:rsid w:val="002E7CB4"/>
    <w:rsid w:val="002F0A16"/>
    <w:rsid w:val="002F2D01"/>
    <w:rsid w:val="002F72F6"/>
    <w:rsid w:val="00303ADF"/>
    <w:rsid w:val="00306C5A"/>
    <w:rsid w:val="00307390"/>
    <w:rsid w:val="00307D5B"/>
    <w:rsid w:val="00311278"/>
    <w:rsid w:val="00313749"/>
    <w:rsid w:val="00313C79"/>
    <w:rsid w:val="0032011B"/>
    <w:rsid w:val="003225CE"/>
    <w:rsid w:val="00323DE4"/>
    <w:rsid w:val="00325654"/>
    <w:rsid w:val="00327721"/>
    <w:rsid w:val="00330324"/>
    <w:rsid w:val="00330AA2"/>
    <w:rsid w:val="003362FC"/>
    <w:rsid w:val="0033673E"/>
    <w:rsid w:val="00344370"/>
    <w:rsid w:val="00350222"/>
    <w:rsid w:val="00350722"/>
    <w:rsid w:val="00351B3C"/>
    <w:rsid w:val="00354F98"/>
    <w:rsid w:val="00355135"/>
    <w:rsid w:val="003559E9"/>
    <w:rsid w:val="00360C3A"/>
    <w:rsid w:val="00361A21"/>
    <w:rsid w:val="00361C36"/>
    <w:rsid w:val="00371E92"/>
    <w:rsid w:val="003722A1"/>
    <w:rsid w:val="00375B5C"/>
    <w:rsid w:val="003776F3"/>
    <w:rsid w:val="0038027C"/>
    <w:rsid w:val="00382AC7"/>
    <w:rsid w:val="0039160E"/>
    <w:rsid w:val="003918F6"/>
    <w:rsid w:val="003933E7"/>
    <w:rsid w:val="00395AAD"/>
    <w:rsid w:val="0039616C"/>
    <w:rsid w:val="00397291"/>
    <w:rsid w:val="00397784"/>
    <w:rsid w:val="003A468C"/>
    <w:rsid w:val="003A5D20"/>
    <w:rsid w:val="003B0599"/>
    <w:rsid w:val="003B506F"/>
    <w:rsid w:val="003B55FC"/>
    <w:rsid w:val="003C2817"/>
    <w:rsid w:val="003D5A13"/>
    <w:rsid w:val="003E4CEC"/>
    <w:rsid w:val="003E58F6"/>
    <w:rsid w:val="003F5AA4"/>
    <w:rsid w:val="0040171A"/>
    <w:rsid w:val="0040642B"/>
    <w:rsid w:val="00411120"/>
    <w:rsid w:val="00412B46"/>
    <w:rsid w:val="00421AA7"/>
    <w:rsid w:val="004220AA"/>
    <w:rsid w:val="0043069F"/>
    <w:rsid w:val="00431254"/>
    <w:rsid w:val="00432102"/>
    <w:rsid w:val="00435890"/>
    <w:rsid w:val="00437563"/>
    <w:rsid w:val="0045092F"/>
    <w:rsid w:val="0045268D"/>
    <w:rsid w:val="00455858"/>
    <w:rsid w:val="0045663E"/>
    <w:rsid w:val="00460005"/>
    <w:rsid w:val="004603D0"/>
    <w:rsid w:val="00464C8B"/>
    <w:rsid w:val="00464E7C"/>
    <w:rsid w:val="00471474"/>
    <w:rsid w:val="00474E33"/>
    <w:rsid w:val="00476CA9"/>
    <w:rsid w:val="00477A0A"/>
    <w:rsid w:val="004837D1"/>
    <w:rsid w:val="00484031"/>
    <w:rsid w:val="004949BB"/>
    <w:rsid w:val="00494D2C"/>
    <w:rsid w:val="00495D03"/>
    <w:rsid w:val="00496C00"/>
    <w:rsid w:val="004A6E0D"/>
    <w:rsid w:val="004B34D2"/>
    <w:rsid w:val="004B36EF"/>
    <w:rsid w:val="004B60B0"/>
    <w:rsid w:val="004C077B"/>
    <w:rsid w:val="004C16C1"/>
    <w:rsid w:val="004C42FF"/>
    <w:rsid w:val="004D3E55"/>
    <w:rsid w:val="004E1A51"/>
    <w:rsid w:val="004E4D3D"/>
    <w:rsid w:val="004E78EF"/>
    <w:rsid w:val="004F05AB"/>
    <w:rsid w:val="004F1584"/>
    <w:rsid w:val="004F6320"/>
    <w:rsid w:val="005035A0"/>
    <w:rsid w:val="00503F54"/>
    <w:rsid w:val="00504D24"/>
    <w:rsid w:val="00506B53"/>
    <w:rsid w:val="0050755A"/>
    <w:rsid w:val="00525EA6"/>
    <w:rsid w:val="00525F5C"/>
    <w:rsid w:val="005262DE"/>
    <w:rsid w:val="0053461A"/>
    <w:rsid w:val="00535CEF"/>
    <w:rsid w:val="005443B3"/>
    <w:rsid w:val="005511A7"/>
    <w:rsid w:val="0055165F"/>
    <w:rsid w:val="0055189E"/>
    <w:rsid w:val="005605EF"/>
    <w:rsid w:val="0056126D"/>
    <w:rsid w:val="00573D78"/>
    <w:rsid w:val="00577454"/>
    <w:rsid w:val="00580E0D"/>
    <w:rsid w:val="00581141"/>
    <w:rsid w:val="00587B04"/>
    <w:rsid w:val="00587DA6"/>
    <w:rsid w:val="00596FA9"/>
    <w:rsid w:val="005975A7"/>
    <w:rsid w:val="005A0AFA"/>
    <w:rsid w:val="005A1FA5"/>
    <w:rsid w:val="005A2809"/>
    <w:rsid w:val="005A4668"/>
    <w:rsid w:val="005B0ABE"/>
    <w:rsid w:val="005B2098"/>
    <w:rsid w:val="005B5D50"/>
    <w:rsid w:val="005B604D"/>
    <w:rsid w:val="005C6CF3"/>
    <w:rsid w:val="005D4511"/>
    <w:rsid w:val="005D511C"/>
    <w:rsid w:val="005D6237"/>
    <w:rsid w:val="005D6295"/>
    <w:rsid w:val="005E0754"/>
    <w:rsid w:val="005E12F4"/>
    <w:rsid w:val="005E4912"/>
    <w:rsid w:val="005E5A26"/>
    <w:rsid w:val="005E5BF3"/>
    <w:rsid w:val="005F109C"/>
    <w:rsid w:val="005F702A"/>
    <w:rsid w:val="0060053D"/>
    <w:rsid w:val="00601408"/>
    <w:rsid w:val="00606C8F"/>
    <w:rsid w:val="00610D3F"/>
    <w:rsid w:val="006153F8"/>
    <w:rsid w:val="00617B84"/>
    <w:rsid w:val="00620728"/>
    <w:rsid w:val="00626BD6"/>
    <w:rsid w:val="0063198C"/>
    <w:rsid w:val="0063202E"/>
    <w:rsid w:val="006334E7"/>
    <w:rsid w:val="00635205"/>
    <w:rsid w:val="006355C2"/>
    <w:rsid w:val="00637149"/>
    <w:rsid w:val="00640245"/>
    <w:rsid w:val="006474D2"/>
    <w:rsid w:val="006526B7"/>
    <w:rsid w:val="006528E7"/>
    <w:rsid w:val="0066512C"/>
    <w:rsid w:val="0066533C"/>
    <w:rsid w:val="006726C0"/>
    <w:rsid w:val="00677E52"/>
    <w:rsid w:val="0068590D"/>
    <w:rsid w:val="00685CC1"/>
    <w:rsid w:val="00687599"/>
    <w:rsid w:val="0069340F"/>
    <w:rsid w:val="00695DF0"/>
    <w:rsid w:val="006A1A90"/>
    <w:rsid w:val="006B14A2"/>
    <w:rsid w:val="006B6D32"/>
    <w:rsid w:val="006B7630"/>
    <w:rsid w:val="006C4007"/>
    <w:rsid w:val="006C4F4C"/>
    <w:rsid w:val="006C6718"/>
    <w:rsid w:val="006D0B17"/>
    <w:rsid w:val="006D102D"/>
    <w:rsid w:val="006D6EC8"/>
    <w:rsid w:val="006D7836"/>
    <w:rsid w:val="006E16C9"/>
    <w:rsid w:val="006E3BE1"/>
    <w:rsid w:val="006E6313"/>
    <w:rsid w:val="006E6AEF"/>
    <w:rsid w:val="006E7061"/>
    <w:rsid w:val="006F03CB"/>
    <w:rsid w:val="006F3E20"/>
    <w:rsid w:val="006F4C35"/>
    <w:rsid w:val="006F585B"/>
    <w:rsid w:val="00704022"/>
    <w:rsid w:val="00707385"/>
    <w:rsid w:val="007105B6"/>
    <w:rsid w:val="007118CE"/>
    <w:rsid w:val="0071448D"/>
    <w:rsid w:val="00717AF6"/>
    <w:rsid w:val="00725607"/>
    <w:rsid w:val="00726DC9"/>
    <w:rsid w:val="00730116"/>
    <w:rsid w:val="00731011"/>
    <w:rsid w:val="00732D83"/>
    <w:rsid w:val="00734070"/>
    <w:rsid w:val="0073497B"/>
    <w:rsid w:val="00735F2F"/>
    <w:rsid w:val="00743F08"/>
    <w:rsid w:val="00747C52"/>
    <w:rsid w:val="007511E3"/>
    <w:rsid w:val="0076471E"/>
    <w:rsid w:val="007762CE"/>
    <w:rsid w:val="00780B07"/>
    <w:rsid w:val="0078765B"/>
    <w:rsid w:val="00795A90"/>
    <w:rsid w:val="007A3B28"/>
    <w:rsid w:val="007A4F6D"/>
    <w:rsid w:val="007A6F84"/>
    <w:rsid w:val="007B3C17"/>
    <w:rsid w:val="007B7DF5"/>
    <w:rsid w:val="007B7E86"/>
    <w:rsid w:val="007C28A6"/>
    <w:rsid w:val="007C4661"/>
    <w:rsid w:val="007D2F68"/>
    <w:rsid w:val="007D3D44"/>
    <w:rsid w:val="007D560A"/>
    <w:rsid w:val="007D5CC0"/>
    <w:rsid w:val="007D6665"/>
    <w:rsid w:val="007D6692"/>
    <w:rsid w:val="007E2B66"/>
    <w:rsid w:val="007F0132"/>
    <w:rsid w:val="007F02D1"/>
    <w:rsid w:val="007F08E0"/>
    <w:rsid w:val="00803AB6"/>
    <w:rsid w:val="0080468A"/>
    <w:rsid w:val="00806336"/>
    <w:rsid w:val="0081237C"/>
    <w:rsid w:val="0081741F"/>
    <w:rsid w:val="008218D6"/>
    <w:rsid w:val="008252BD"/>
    <w:rsid w:val="008270C5"/>
    <w:rsid w:val="00827186"/>
    <w:rsid w:val="00827902"/>
    <w:rsid w:val="008317D2"/>
    <w:rsid w:val="00831E38"/>
    <w:rsid w:val="00833C82"/>
    <w:rsid w:val="00837564"/>
    <w:rsid w:val="0084040A"/>
    <w:rsid w:val="008418C4"/>
    <w:rsid w:val="0084365C"/>
    <w:rsid w:val="0084490C"/>
    <w:rsid w:val="00845C99"/>
    <w:rsid w:val="0084691A"/>
    <w:rsid w:val="00847274"/>
    <w:rsid w:val="008576D9"/>
    <w:rsid w:val="008626C1"/>
    <w:rsid w:val="00863446"/>
    <w:rsid w:val="00870DE1"/>
    <w:rsid w:val="00882D5B"/>
    <w:rsid w:val="00884402"/>
    <w:rsid w:val="00886A98"/>
    <w:rsid w:val="00890C6C"/>
    <w:rsid w:val="008A1ABB"/>
    <w:rsid w:val="008A2EDD"/>
    <w:rsid w:val="008A5256"/>
    <w:rsid w:val="008B11CB"/>
    <w:rsid w:val="008B2164"/>
    <w:rsid w:val="008B31E9"/>
    <w:rsid w:val="008B43F7"/>
    <w:rsid w:val="008B693D"/>
    <w:rsid w:val="008B6CC8"/>
    <w:rsid w:val="008B7945"/>
    <w:rsid w:val="008B7EA3"/>
    <w:rsid w:val="008C34DF"/>
    <w:rsid w:val="008C4E78"/>
    <w:rsid w:val="008C6BD0"/>
    <w:rsid w:val="008C71D6"/>
    <w:rsid w:val="008D2C8F"/>
    <w:rsid w:val="008D41B3"/>
    <w:rsid w:val="008D70D4"/>
    <w:rsid w:val="008D743B"/>
    <w:rsid w:val="008E0755"/>
    <w:rsid w:val="008F1A99"/>
    <w:rsid w:val="008F1BDB"/>
    <w:rsid w:val="008F2F12"/>
    <w:rsid w:val="00900305"/>
    <w:rsid w:val="0090326A"/>
    <w:rsid w:val="00904477"/>
    <w:rsid w:val="00904A01"/>
    <w:rsid w:val="00912D2E"/>
    <w:rsid w:val="00913359"/>
    <w:rsid w:val="00917252"/>
    <w:rsid w:val="00924661"/>
    <w:rsid w:val="00924F2A"/>
    <w:rsid w:val="00924F8C"/>
    <w:rsid w:val="009250C7"/>
    <w:rsid w:val="0092512C"/>
    <w:rsid w:val="009258A4"/>
    <w:rsid w:val="0093087E"/>
    <w:rsid w:val="00935039"/>
    <w:rsid w:val="00936FCD"/>
    <w:rsid w:val="009444BB"/>
    <w:rsid w:val="0094494F"/>
    <w:rsid w:val="009474C6"/>
    <w:rsid w:val="0095178C"/>
    <w:rsid w:val="00955E76"/>
    <w:rsid w:val="00955FD6"/>
    <w:rsid w:val="009737D8"/>
    <w:rsid w:val="00973C01"/>
    <w:rsid w:val="00977FBC"/>
    <w:rsid w:val="00980669"/>
    <w:rsid w:val="00984C16"/>
    <w:rsid w:val="00984CCE"/>
    <w:rsid w:val="00991A94"/>
    <w:rsid w:val="009944B4"/>
    <w:rsid w:val="0099465A"/>
    <w:rsid w:val="009959AC"/>
    <w:rsid w:val="009A0DF7"/>
    <w:rsid w:val="009A1232"/>
    <w:rsid w:val="009A3761"/>
    <w:rsid w:val="009B33B3"/>
    <w:rsid w:val="009B4723"/>
    <w:rsid w:val="009B53B3"/>
    <w:rsid w:val="009B61CB"/>
    <w:rsid w:val="009D06CE"/>
    <w:rsid w:val="009D4F29"/>
    <w:rsid w:val="009D5BA9"/>
    <w:rsid w:val="009E3A54"/>
    <w:rsid w:val="009E4C36"/>
    <w:rsid w:val="009E74B1"/>
    <w:rsid w:val="009F26D4"/>
    <w:rsid w:val="009F69B1"/>
    <w:rsid w:val="009F69D8"/>
    <w:rsid w:val="00A02D53"/>
    <w:rsid w:val="00A031AB"/>
    <w:rsid w:val="00A03725"/>
    <w:rsid w:val="00A05142"/>
    <w:rsid w:val="00A1354F"/>
    <w:rsid w:val="00A13D82"/>
    <w:rsid w:val="00A15FE0"/>
    <w:rsid w:val="00A216ED"/>
    <w:rsid w:val="00A315AC"/>
    <w:rsid w:val="00A35407"/>
    <w:rsid w:val="00A370C2"/>
    <w:rsid w:val="00A4018F"/>
    <w:rsid w:val="00A436E7"/>
    <w:rsid w:val="00A4517C"/>
    <w:rsid w:val="00A51D4D"/>
    <w:rsid w:val="00A522AD"/>
    <w:rsid w:val="00A54887"/>
    <w:rsid w:val="00A578EB"/>
    <w:rsid w:val="00A57DDD"/>
    <w:rsid w:val="00A6170A"/>
    <w:rsid w:val="00A64359"/>
    <w:rsid w:val="00A67DE5"/>
    <w:rsid w:val="00A72467"/>
    <w:rsid w:val="00A736A2"/>
    <w:rsid w:val="00A77D60"/>
    <w:rsid w:val="00A80257"/>
    <w:rsid w:val="00A820FC"/>
    <w:rsid w:val="00A85BE0"/>
    <w:rsid w:val="00A90F4C"/>
    <w:rsid w:val="00A92B31"/>
    <w:rsid w:val="00A938F4"/>
    <w:rsid w:val="00A94484"/>
    <w:rsid w:val="00A977FD"/>
    <w:rsid w:val="00AA06F9"/>
    <w:rsid w:val="00AA2C06"/>
    <w:rsid w:val="00AA7C05"/>
    <w:rsid w:val="00AB0F07"/>
    <w:rsid w:val="00AC4D96"/>
    <w:rsid w:val="00AC52FA"/>
    <w:rsid w:val="00AD0798"/>
    <w:rsid w:val="00AD50B9"/>
    <w:rsid w:val="00AD6B17"/>
    <w:rsid w:val="00AD7D2F"/>
    <w:rsid w:val="00AE31CD"/>
    <w:rsid w:val="00AE3FED"/>
    <w:rsid w:val="00AE45E0"/>
    <w:rsid w:val="00AE4933"/>
    <w:rsid w:val="00AE6FB4"/>
    <w:rsid w:val="00AF025F"/>
    <w:rsid w:val="00AF7605"/>
    <w:rsid w:val="00B0350D"/>
    <w:rsid w:val="00B06FC2"/>
    <w:rsid w:val="00B175CE"/>
    <w:rsid w:val="00B1766A"/>
    <w:rsid w:val="00B20AC8"/>
    <w:rsid w:val="00B22073"/>
    <w:rsid w:val="00B24854"/>
    <w:rsid w:val="00B27D5F"/>
    <w:rsid w:val="00B357D9"/>
    <w:rsid w:val="00B41697"/>
    <w:rsid w:val="00B452F9"/>
    <w:rsid w:val="00B45D04"/>
    <w:rsid w:val="00B46AAD"/>
    <w:rsid w:val="00B561A3"/>
    <w:rsid w:val="00B60B6A"/>
    <w:rsid w:val="00B6723C"/>
    <w:rsid w:val="00B716AD"/>
    <w:rsid w:val="00B72444"/>
    <w:rsid w:val="00B760E5"/>
    <w:rsid w:val="00B80C9E"/>
    <w:rsid w:val="00B959F2"/>
    <w:rsid w:val="00B95AAB"/>
    <w:rsid w:val="00B96034"/>
    <w:rsid w:val="00B97746"/>
    <w:rsid w:val="00BA1E35"/>
    <w:rsid w:val="00BA356D"/>
    <w:rsid w:val="00BA4A20"/>
    <w:rsid w:val="00BB54BD"/>
    <w:rsid w:val="00BB63F9"/>
    <w:rsid w:val="00BB7272"/>
    <w:rsid w:val="00BC3E03"/>
    <w:rsid w:val="00BC6158"/>
    <w:rsid w:val="00BD2307"/>
    <w:rsid w:val="00BD2901"/>
    <w:rsid w:val="00BD5644"/>
    <w:rsid w:val="00BD589B"/>
    <w:rsid w:val="00BD62CC"/>
    <w:rsid w:val="00BE4093"/>
    <w:rsid w:val="00BE73F7"/>
    <w:rsid w:val="00BF0521"/>
    <w:rsid w:val="00BF6113"/>
    <w:rsid w:val="00C021CE"/>
    <w:rsid w:val="00C05D86"/>
    <w:rsid w:val="00C071B2"/>
    <w:rsid w:val="00C10F97"/>
    <w:rsid w:val="00C1251F"/>
    <w:rsid w:val="00C15E6D"/>
    <w:rsid w:val="00C2633C"/>
    <w:rsid w:val="00C30185"/>
    <w:rsid w:val="00C337E4"/>
    <w:rsid w:val="00C35279"/>
    <w:rsid w:val="00C37115"/>
    <w:rsid w:val="00C37717"/>
    <w:rsid w:val="00C37A13"/>
    <w:rsid w:val="00C402B1"/>
    <w:rsid w:val="00C41B37"/>
    <w:rsid w:val="00C53438"/>
    <w:rsid w:val="00C631CD"/>
    <w:rsid w:val="00C64E13"/>
    <w:rsid w:val="00C657E6"/>
    <w:rsid w:val="00C66572"/>
    <w:rsid w:val="00C6722E"/>
    <w:rsid w:val="00C67735"/>
    <w:rsid w:val="00C76BC8"/>
    <w:rsid w:val="00C808CD"/>
    <w:rsid w:val="00C81737"/>
    <w:rsid w:val="00C847CF"/>
    <w:rsid w:val="00C93435"/>
    <w:rsid w:val="00CA0FF6"/>
    <w:rsid w:val="00CA1456"/>
    <w:rsid w:val="00CA7BF4"/>
    <w:rsid w:val="00CC1421"/>
    <w:rsid w:val="00CC43C2"/>
    <w:rsid w:val="00CC75FA"/>
    <w:rsid w:val="00CD0298"/>
    <w:rsid w:val="00CD18CC"/>
    <w:rsid w:val="00CD2449"/>
    <w:rsid w:val="00CE0C7E"/>
    <w:rsid w:val="00CE1D6A"/>
    <w:rsid w:val="00CE1D8F"/>
    <w:rsid w:val="00CE6077"/>
    <w:rsid w:val="00CE6446"/>
    <w:rsid w:val="00CF0C84"/>
    <w:rsid w:val="00CF45BE"/>
    <w:rsid w:val="00CF5E7C"/>
    <w:rsid w:val="00CF6BF4"/>
    <w:rsid w:val="00D007B7"/>
    <w:rsid w:val="00D04C6B"/>
    <w:rsid w:val="00D13256"/>
    <w:rsid w:val="00D13829"/>
    <w:rsid w:val="00D153CF"/>
    <w:rsid w:val="00D2643F"/>
    <w:rsid w:val="00D27BC5"/>
    <w:rsid w:val="00D34CDD"/>
    <w:rsid w:val="00D36AB4"/>
    <w:rsid w:val="00D36AC2"/>
    <w:rsid w:val="00D45DE3"/>
    <w:rsid w:val="00D46895"/>
    <w:rsid w:val="00D47F71"/>
    <w:rsid w:val="00D53364"/>
    <w:rsid w:val="00D605E4"/>
    <w:rsid w:val="00D615EB"/>
    <w:rsid w:val="00D7205C"/>
    <w:rsid w:val="00D72934"/>
    <w:rsid w:val="00D748CA"/>
    <w:rsid w:val="00D75DE5"/>
    <w:rsid w:val="00D83950"/>
    <w:rsid w:val="00D84226"/>
    <w:rsid w:val="00D862E1"/>
    <w:rsid w:val="00D87E6D"/>
    <w:rsid w:val="00DA4E61"/>
    <w:rsid w:val="00DA5DB0"/>
    <w:rsid w:val="00DA691D"/>
    <w:rsid w:val="00DB0327"/>
    <w:rsid w:val="00DB03B8"/>
    <w:rsid w:val="00DB7DA1"/>
    <w:rsid w:val="00DC07A9"/>
    <w:rsid w:val="00DC2EEA"/>
    <w:rsid w:val="00DC3A4A"/>
    <w:rsid w:val="00DD3585"/>
    <w:rsid w:val="00DE602A"/>
    <w:rsid w:val="00DF3C90"/>
    <w:rsid w:val="00DF44F9"/>
    <w:rsid w:val="00DF5954"/>
    <w:rsid w:val="00DF69EE"/>
    <w:rsid w:val="00E023F5"/>
    <w:rsid w:val="00E06F2F"/>
    <w:rsid w:val="00E07928"/>
    <w:rsid w:val="00E1602F"/>
    <w:rsid w:val="00E1654D"/>
    <w:rsid w:val="00E2611B"/>
    <w:rsid w:val="00E26F1D"/>
    <w:rsid w:val="00E3404B"/>
    <w:rsid w:val="00E36DDE"/>
    <w:rsid w:val="00E40DE1"/>
    <w:rsid w:val="00E4162B"/>
    <w:rsid w:val="00E47B9D"/>
    <w:rsid w:val="00E47D72"/>
    <w:rsid w:val="00E5073B"/>
    <w:rsid w:val="00E5496C"/>
    <w:rsid w:val="00E54A5A"/>
    <w:rsid w:val="00E55442"/>
    <w:rsid w:val="00E55C12"/>
    <w:rsid w:val="00E56181"/>
    <w:rsid w:val="00E67C8B"/>
    <w:rsid w:val="00E74616"/>
    <w:rsid w:val="00E74D9A"/>
    <w:rsid w:val="00E818EA"/>
    <w:rsid w:val="00E87C9B"/>
    <w:rsid w:val="00E87CFA"/>
    <w:rsid w:val="00E93944"/>
    <w:rsid w:val="00E945E6"/>
    <w:rsid w:val="00E9664D"/>
    <w:rsid w:val="00E9720D"/>
    <w:rsid w:val="00EA5CFA"/>
    <w:rsid w:val="00EA76B4"/>
    <w:rsid w:val="00EA7D67"/>
    <w:rsid w:val="00EB1B57"/>
    <w:rsid w:val="00EB38C6"/>
    <w:rsid w:val="00EC5A80"/>
    <w:rsid w:val="00EC62E6"/>
    <w:rsid w:val="00EE706B"/>
    <w:rsid w:val="00EE7F0D"/>
    <w:rsid w:val="00EF1460"/>
    <w:rsid w:val="00EF45F7"/>
    <w:rsid w:val="00EF4D51"/>
    <w:rsid w:val="00F0129C"/>
    <w:rsid w:val="00F01563"/>
    <w:rsid w:val="00F0254F"/>
    <w:rsid w:val="00F04BFE"/>
    <w:rsid w:val="00F071CB"/>
    <w:rsid w:val="00F1167E"/>
    <w:rsid w:val="00F1229F"/>
    <w:rsid w:val="00F124AE"/>
    <w:rsid w:val="00F153DC"/>
    <w:rsid w:val="00F20147"/>
    <w:rsid w:val="00F209EB"/>
    <w:rsid w:val="00F21DBA"/>
    <w:rsid w:val="00F264EF"/>
    <w:rsid w:val="00F27F87"/>
    <w:rsid w:val="00F3212D"/>
    <w:rsid w:val="00F32DC2"/>
    <w:rsid w:val="00F40C25"/>
    <w:rsid w:val="00F43FF0"/>
    <w:rsid w:val="00F44735"/>
    <w:rsid w:val="00F44ADC"/>
    <w:rsid w:val="00F44C8B"/>
    <w:rsid w:val="00F46576"/>
    <w:rsid w:val="00F47A21"/>
    <w:rsid w:val="00F50B74"/>
    <w:rsid w:val="00F525F8"/>
    <w:rsid w:val="00F57BBB"/>
    <w:rsid w:val="00F64C8B"/>
    <w:rsid w:val="00F70989"/>
    <w:rsid w:val="00F747CC"/>
    <w:rsid w:val="00F81AD0"/>
    <w:rsid w:val="00F82BBB"/>
    <w:rsid w:val="00F83AF9"/>
    <w:rsid w:val="00F8434F"/>
    <w:rsid w:val="00F850F0"/>
    <w:rsid w:val="00F855FE"/>
    <w:rsid w:val="00F865F4"/>
    <w:rsid w:val="00F86B76"/>
    <w:rsid w:val="00F92C03"/>
    <w:rsid w:val="00F930C3"/>
    <w:rsid w:val="00F95F3C"/>
    <w:rsid w:val="00F96CD1"/>
    <w:rsid w:val="00FA1D9A"/>
    <w:rsid w:val="00FA275B"/>
    <w:rsid w:val="00FB15C4"/>
    <w:rsid w:val="00FC1747"/>
    <w:rsid w:val="00FC2FCA"/>
    <w:rsid w:val="00FC5532"/>
    <w:rsid w:val="00FC6631"/>
    <w:rsid w:val="00FC7E65"/>
    <w:rsid w:val="00FD3E76"/>
    <w:rsid w:val="00FD6E29"/>
    <w:rsid w:val="00FD6FEF"/>
    <w:rsid w:val="00FE13D4"/>
    <w:rsid w:val="00FE2CF2"/>
    <w:rsid w:val="00FE3BCB"/>
    <w:rsid w:val="00FE7C05"/>
    <w:rsid w:val="00FF14BA"/>
    <w:rsid w:val="00FF253C"/>
    <w:rsid w:val="00FF4832"/>
    <w:rsid w:val="00FF6D34"/>
    <w:rsid w:val="00FF726D"/>
    <w:rsid w:val="01441BB9"/>
    <w:rsid w:val="04141B96"/>
    <w:rsid w:val="098E39B9"/>
    <w:rsid w:val="0ADA152D"/>
    <w:rsid w:val="0D9E1C0C"/>
    <w:rsid w:val="0E4B143D"/>
    <w:rsid w:val="0E592CFA"/>
    <w:rsid w:val="0EF02E72"/>
    <w:rsid w:val="0F481A23"/>
    <w:rsid w:val="10814158"/>
    <w:rsid w:val="112F3D99"/>
    <w:rsid w:val="12844DC1"/>
    <w:rsid w:val="13A407D7"/>
    <w:rsid w:val="142E56E9"/>
    <w:rsid w:val="1823357E"/>
    <w:rsid w:val="187036B2"/>
    <w:rsid w:val="1B1A3889"/>
    <w:rsid w:val="1C850D11"/>
    <w:rsid w:val="1E145C1F"/>
    <w:rsid w:val="1F94354A"/>
    <w:rsid w:val="20A718E2"/>
    <w:rsid w:val="21460153"/>
    <w:rsid w:val="21DA3F9D"/>
    <w:rsid w:val="223D0F22"/>
    <w:rsid w:val="23FA42D0"/>
    <w:rsid w:val="24743B37"/>
    <w:rsid w:val="25470B20"/>
    <w:rsid w:val="29483C47"/>
    <w:rsid w:val="2A8314C1"/>
    <w:rsid w:val="2A8F3BCE"/>
    <w:rsid w:val="2B872E60"/>
    <w:rsid w:val="2BCE0FAE"/>
    <w:rsid w:val="2C02237E"/>
    <w:rsid w:val="2CAF4831"/>
    <w:rsid w:val="2D486D92"/>
    <w:rsid w:val="2DFC5A4D"/>
    <w:rsid w:val="2F1D0509"/>
    <w:rsid w:val="3161561E"/>
    <w:rsid w:val="31AA78D1"/>
    <w:rsid w:val="321B7CF6"/>
    <w:rsid w:val="38963FA8"/>
    <w:rsid w:val="3A186A29"/>
    <w:rsid w:val="3E792B8A"/>
    <w:rsid w:val="436D3360"/>
    <w:rsid w:val="45361007"/>
    <w:rsid w:val="48A44F3A"/>
    <w:rsid w:val="494A68AB"/>
    <w:rsid w:val="4D03459A"/>
    <w:rsid w:val="4E2540DD"/>
    <w:rsid w:val="4E830D12"/>
    <w:rsid w:val="4F0928DF"/>
    <w:rsid w:val="50FC5AC1"/>
    <w:rsid w:val="52381F73"/>
    <w:rsid w:val="53387659"/>
    <w:rsid w:val="55104550"/>
    <w:rsid w:val="57F3068C"/>
    <w:rsid w:val="58D20590"/>
    <w:rsid w:val="59D80EBD"/>
    <w:rsid w:val="5D410D65"/>
    <w:rsid w:val="5E5B23C1"/>
    <w:rsid w:val="5E660CC1"/>
    <w:rsid w:val="5E6C52B2"/>
    <w:rsid w:val="5E8C78A8"/>
    <w:rsid w:val="5F6F6A11"/>
    <w:rsid w:val="632A16BD"/>
    <w:rsid w:val="657965BE"/>
    <w:rsid w:val="661D5A78"/>
    <w:rsid w:val="663566D9"/>
    <w:rsid w:val="663B1AE6"/>
    <w:rsid w:val="67B21F12"/>
    <w:rsid w:val="67D461F9"/>
    <w:rsid w:val="6B300AA0"/>
    <w:rsid w:val="6B9306BB"/>
    <w:rsid w:val="6E2053BF"/>
    <w:rsid w:val="6E3D39F9"/>
    <w:rsid w:val="6ECA1DC7"/>
    <w:rsid w:val="6F860363"/>
    <w:rsid w:val="6FA81A09"/>
    <w:rsid w:val="70350492"/>
    <w:rsid w:val="706C20E6"/>
    <w:rsid w:val="71D44901"/>
    <w:rsid w:val="71FD397A"/>
    <w:rsid w:val="720924FA"/>
    <w:rsid w:val="73007C27"/>
    <w:rsid w:val="74B13A97"/>
    <w:rsid w:val="74DE6D70"/>
    <w:rsid w:val="75435570"/>
    <w:rsid w:val="76171091"/>
    <w:rsid w:val="790C5BF2"/>
    <w:rsid w:val="7A1A6C48"/>
    <w:rsid w:val="7AFE135D"/>
    <w:rsid w:val="7CEF1D89"/>
    <w:rsid w:val="7CF65DD9"/>
    <w:rsid w:val="7E494DA3"/>
    <w:rsid w:val="7FC43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b/>
      <w:kern w:val="44"/>
      <w:sz w:val="48"/>
      <w:szCs w:val="48"/>
    </w:rPr>
  </w:style>
  <w:style w:type="paragraph" w:styleId="4">
    <w:name w:val="heading 2"/>
    <w:basedOn w:val="1"/>
    <w:next w:val="1"/>
    <w:qFormat/>
    <w:uiPriority w:val="0"/>
    <w:pPr>
      <w:keepNext/>
      <w:keepLines/>
      <w:spacing w:before="260" w:after="260" w:line="416" w:lineRule="auto"/>
      <w:outlineLvl w:val="1"/>
    </w:pPr>
    <w:rPr>
      <w:rFonts w:ascii="Cambria" w:hAnsi="Cambria"/>
      <w:b/>
      <w:bCs/>
      <w:sz w:val="32"/>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customStyle="1" w:styleId="2">
    <w:name w:val="Default"/>
    <w:basedOn w:val="1"/>
    <w:next w:val="1"/>
    <w:qFormat/>
    <w:uiPriority w:val="0"/>
    <w:pPr>
      <w:autoSpaceDE w:val="0"/>
      <w:autoSpaceDN w:val="0"/>
      <w:adjustRightInd w:val="0"/>
      <w:spacing w:line="240" w:lineRule="auto"/>
      <w:ind w:firstLine="0" w:firstLineChars="0"/>
      <w:jc w:val="left"/>
    </w:pPr>
    <w:rPr>
      <w:rFonts w:ascii="宋体" w:hAnsi="宋体" w:cs="宋体"/>
      <w:kern w:val="0"/>
    </w:rPr>
  </w:style>
  <w:style w:type="paragraph" w:styleId="5">
    <w:name w:val="Body Text"/>
    <w:basedOn w:val="1"/>
    <w:next w:val="6"/>
    <w:unhideWhenUsed/>
    <w:qFormat/>
    <w:uiPriority w:val="1"/>
    <w:pPr>
      <w:spacing w:before="41"/>
      <w:ind w:left="121"/>
      <w:jc w:val="left"/>
    </w:pPr>
    <w:rPr>
      <w:rFonts w:ascii="仿宋" w:hAnsi="仿宋" w:eastAsia="仿宋"/>
      <w:kern w:val="0"/>
      <w:sz w:val="28"/>
      <w:szCs w:val="28"/>
      <w:lang w:eastAsia="en-US"/>
    </w:rPr>
  </w:style>
  <w:style w:type="paragraph" w:customStyle="1" w:styleId="6">
    <w:name w:val="_Style 2"/>
    <w:basedOn w:val="1"/>
    <w:qFormat/>
    <w:uiPriority w:val="0"/>
    <w:pPr>
      <w:ind w:firstLine="420" w:firstLineChars="200"/>
    </w:pPr>
  </w:style>
  <w:style w:type="paragraph" w:styleId="7">
    <w:name w:val="Body Text Indent"/>
    <w:basedOn w:val="1"/>
    <w:next w:val="1"/>
    <w:qFormat/>
    <w:uiPriority w:val="0"/>
    <w:pPr>
      <w:spacing w:line="380" w:lineRule="exact"/>
      <w:ind w:firstLine="480" w:firstLineChars="200"/>
    </w:pPr>
    <w:rPr>
      <w:rFonts w:ascii="宋体" w:hAnsi="宋体"/>
      <w:sz w:val="24"/>
    </w:rPr>
  </w:style>
  <w:style w:type="paragraph" w:styleId="8">
    <w:name w:val="toc 3"/>
    <w:basedOn w:val="1"/>
    <w:next w:val="1"/>
    <w:unhideWhenUsed/>
    <w:qFormat/>
    <w:uiPriority w:val="39"/>
    <w:pPr>
      <w:widowControl/>
      <w:spacing w:after="100" w:line="276" w:lineRule="auto"/>
      <w:ind w:left="440"/>
      <w:jc w:val="left"/>
    </w:pPr>
    <w:rPr>
      <w:rFonts w:asciiTheme="minorHAnsi" w:hAnsiTheme="minorHAnsi" w:eastAsiaTheme="minorEastAsia" w:cstheme="minorBidi"/>
      <w:kern w:val="0"/>
      <w:sz w:val="22"/>
      <w:szCs w:val="22"/>
    </w:rPr>
  </w:style>
  <w:style w:type="paragraph" w:styleId="9">
    <w:name w:val="Plain Text"/>
    <w:basedOn w:val="1"/>
    <w:qFormat/>
    <w:uiPriority w:val="0"/>
    <w:rPr>
      <w:rFonts w:ascii="宋体" w:hAnsi="Courier New" w:cs="Courier New"/>
      <w:szCs w:val="21"/>
    </w:rPr>
  </w:style>
  <w:style w:type="paragraph" w:styleId="10">
    <w:name w:val="Date"/>
    <w:basedOn w:val="1"/>
    <w:next w:val="1"/>
    <w:qFormat/>
    <w:uiPriority w:val="0"/>
    <w:pPr>
      <w:ind w:left="100" w:leftChars="2500"/>
    </w:pPr>
    <w:rPr>
      <w:rFonts w:ascii="宋体" w:hAnsi="宋体"/>
      <w:sz w:val="24"/>
    </w:rPr>
  </w:style>
  <w:style w:type="paragraph" w:styleId="11">
    <w:name w:val="Balloon Text"/>
    <w:basedOn w:val="1"/>
    <w:link w:val="28"/>
    <w:qFormat/>
    <w:uiPriority w:val="0"/>
    <w:rPr>
      <w:sz w:val="18"/>
      <w:szCs w:val="18"/>
    </w:rPr>
  </w:style>
  <w:style w:type="paragraph" w:styleId="12">
    <w:name w:val="footer"/>
    <w:basedOn w:val="1"/>
    <w:link w:val="27"/>
    <w:qFormat/>
    <w:uiPriority w:val="99"/>
    <w:pPr>
      <w:tabs>
        <w:tab w:val="center" w:pos="4153"/>
        <w:tab w:val="right" w:pos="8306"/>
      </w:tabs>
      <w:snapToGrid w:val="0"/>
      <w:jc w:val="left"/>
    </w:pPr>
    <w:rPr>
      <w:sz w:val="18"/>
      <w:szCs w:val="18"/>
    </w:rPr>
  </w:style>
  <w:style w:type="paragraph" w:styleId="13">
    <w:name w:val="header"/>
    <w:basedOn w:val="1"/>
    <w:link w:val="29"/>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style>
  <w:style w:type="paragraph" w:styleId="15">
    <w:name w:val="footnote text"/>
    <w:basedOn w:val="1"/>
    <w:link w:val="30"/>
    <w:qFormat/>
    <w:uiPriority w:val="0"/>
    <w:pPr>
      <w:snapToGrid w:val="0"/>
      <w:jc w:val="left"/>
    </w:pPr>
    <w:rPr>
      <w:sz w:val="18"/>
      <w:szCs w:val="18"/>
    </w:rPr>
  </w:style>
  <w:style w:type="paragraph" w:styleId="16">
    <w:name w:val="toc 2"/>
    <w:basedOn w:val="1"/>
    <w:next w:val="1"/>
    <w:unhideWhenUsed/>
    <w:qFormat/>
    <w:uiPriority w:val="39"/>
    <w:pPr>
      <w:widowControl/>
      <w:spacing w:after="100" w:line="276" w:lineRule="auto"/>
      <w:ind w:left="220"/>
      <w:jc w:val="left"/>
    </w:pPr>
    <w:rPr>
      <w:rFonts w:ascii="Calibri" w:hAnsi="Calibri"/>
      <w:kern w:val="0"/>
      <w:sz w:val="22"/>
    </w:rPr>
  </w:style>
  <w:style w:type="paragraph" w:styleId="17">
    <w:name w:val="Normal (Web)"/>
    <w:basedOn w:val="1"/>
    <w:qFormat/>
    <w:uiPriority w:val="0"/>
    <w:pPr>
      <w:spacing w:beforeAutospacing="1" w:afterAutospacing="1"/>
      <w:jc w:val="left"/>
    </w:pPr>
    <w:rPr>
      <w:kern w:val="0"/>
      <w:sz w:val="24"/>
    </w:rPr>
  </w:style>
  <w:style w:type="paragraph" w:styleId="18">
    <w:name w:val="Body Text First Indent 2"/>
    <w:basedOn w:val="7"/>
    <w:next w:val="1"/>
    <w:unhideWhenUsed/>
    <w:qFormat/>
    <w:uiPriority w:val="99"/>
    <w:pPr>
      <w:widowControl/>
      <w:spacing w:after="0" w:line="440" w:lineRule="exact"/>
      <w:ind w:left="0" w:leftChars="0" w:firstLine="420" w:firstLineChars="200"/>
      <w:jc w:val="left"/>
    </w:pPr>
    <w:rPr>
      <w:rFonts w:ascii="Times New Roman" w:hAnsi="Times New Roman" w:eastAsia="宋体" w:cs="Times New Roman"/>
      <w:color w:val="FF0000"/>
      <w:kern w:val="0"/>
      <w:sz w:val="28"/>
      <w:szCs w:val="24"/>
      <w:lang w:val="en-US" w:eastAsia="zh-CN" w:bidi="ar-SA"/>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page number"/>
    <w:basedOn w:val="21"/>
    <w:qFormat/>
    <w:uiPriority w:val="0"/>
  </w:style>
  <w:style w:type="character" w:styleId="23">
    <w:name w:val="Hyperlink"/>
    <w:basedOn w:val="21"/>
    <w:unhideWhenUsed/>
    <w:qFormat/>
    <w:uiPriority w:val="99"/>
    <w:rPr>
      <w:color w:val="0000FF" w:themeColor="hyperlink"/>
      <w:u w:val="single"/>
      <w14:textFill>
        <w14:solidFill>
          <w14:schemeClr w14:val="hlink"/>
        </w14:solidFill>
      </w14:textFill>
    </w:rPr>
  </w:style>
  <w:style w:type="character" w:styleId="24">
    <w:name w:val="footnote reference"/>
    <w:basedOn w:val="21"/>
    <w:qFormat/>
    <w:uiPriority w:val="0"/>
    <w:rPr>
      <w:vertAlign w:val="superscript"/>
    </w:rPr>
  </w:style>
  <w:style w:type="character" w:customStyle="1" w:styleId="25">
    <w:name w:val="无间隔 Char"/>
    <w:basedOn w:val="21"/>
    <w:link w:val="26"/>
    <w:qFormat/>
    <w:uiPriority w:val="1"/>
    <w:rPr>
      <w:rFonts w:ascii="Calibri" w:hAnsi="Calibri"/>
      <w:sz w:val="22"/>
      <w:szCs w:val="22"/>
      <w:lang w:val="en-US" w:eastAsia="zh-CN" w:bidi="ar-SA"/>
    </w:rPr>
  </w:style>
  <w:style w:type="paragraph" w:styleId="26">
    <w:name w:val="No Spacing"/>
    <w:link w:val="25"/>
    <w:qFormat/>
    <w:uiPriority w:val="1"/>
    <w:rPr>
      <w:rFonts w:ascii="Calibri" w:hAnsi="Calibri" w:eastAsia="宋体" w:cs="Times New Roman"/>
      <w:sz w:val="22"/>
      <w:szCs w:val="22"/>
      <w:lang w:val="en-US" w:eastAsia="zh-CN" w:bidi="ar-SA"/>
    </w:rPr>
  </w:style>
  <w:style w:type="character" w:customStyle="1" w:styleId="27">
    <w:name w:val="页脚 Char"/>
    <w:basedOn w:val="21"/>
    <w:link w:val="12"/>
    <w:qFormat/>
    <w:uiPriority w:val="99"/>
    <w:rPr>
      <w:kern w:val="2"/>
      <w:sz w:val="18"/>
      <w:szCs w:val="18"/>
    </w:rPr>
  </w:style>
  <w:style w:type="character" w:customStyle="1" w:styleId="28">
    <w:name w:val="批注框文本 Char"/>
    <w:basedOn w:val="21"/>
    <w:link w:val="11"/>
    <w:qFormat/>
    <w:uiPriority w:val="0"/>
    <w:rPr>
      <w:kern w:val="2"/>
      <w:sz w:val="18"/>
      <w:szCs w:val="18"/>
    </w:rPr>
  </w:style>
  <w:style w:type="character" w:customStyle="1" w:styleId="29">
    <w:name w:val="页眉 Char"/>
    <w:basedOn w:val="21"/>
    <w:link w:val="13"/>
    <w:qFormat/>
    <w:uiPriority w:val="99"/>
    <w:rPr>
      <w:kern w:val="2"/>
      <w:sz w:val="18"/>
      <w:szCs w:val="18"/>
    </w:rPr>
  </w:style>
  <w:style w:type="character" w:customStyle="1" w:styleId="30">
    <w:name w:val="脚注文本 Char"/>
    <w:basedOn w:val="21"/>
    <w:link w:val="15"/>
    <w:qFormat/>
    <w:uiPriority w:val="0"/>
    <w:rPr>
      <w:kern w:val="2"/>
      <w:sz w:val="18"/>
      <w:szCs w:val="18"/>
    </w:rPr>
  </w:style>
  <w:style w:type="paragraph" w:customStyle="1" w:styleId="31">
    <w:name w:val="Other|2"/>
    <w:basedOn w:val="1"/>
    <w:qFormat/>
    <w:uiPriority w:val="0"/>
    <w:pPr>
      <w:jc w:val="center"/>
    </w:pPr>
    <w:rPr>
      <w:rFonts w:ascii="宋体" w:hAnsi="宋体" w:cs="宋体"/>
      <w:sz w:val="20"/>
      <w:lang w:val="zh-TW" w:eastAsia="zh-TW" w:bidi="zh-TW"/>
    </w:rPr>
  </w:style>
  <w:style w:type="paragraph" w:customStyle="1" w:styleId="32">
    <w:name w:val="Other|1"/>
    <w:basedOn w:val="1"/>
    <w:qFormat/>
    <w:uiPriority w:val="0"/>
    <w:pPr>
      <w:spacing w:line="401" w:lineRule="auto"/>
      <w:ind w:firstLine="400"/>
    </w:pPr>
    <w:rPr>
      <w:rFonts w:ascii="宋体" w:hAnsi="宋体" w:cs="宋体"/>
      <w:sz w:val="30"/>
      <w:szCs w:val="30"/>
      <w:lang w:val="zh-TW" w:eastAsia="zh-TW" w:bidi="zh-TW"/>
    </w:rPr>
  </w:style>
  <w:style w:type="paragraph" w:customStyle="1" w:styleId="33">
    <w:name w:val="Header or footer|2"/>
    <w:basedOn w:val="1"/>
    <w:qFormat/>
    <w:uiPriority w:val="0"/>
    <w:rPr>
      <w:sz w:val="20"/>
      <w:lang w:val="zh-TW" w:eastAsia="zh-TW" w:bidi="zh-TW"/>
    </w:rPr>
  </w:style>
  <w:style w:type="paragraph" w:customStyle="1" w:styleId="34">
    <w:name w:val="TOC Heading"/>
    <w:basedOn w:val="3"/>
    <w:next w:val="1"/>
    <w:semiHidden/>
    <w:unhideWhenUsed/>
    <w:qFormat/>
    <w:uiPriority w:val="39"/>
    <w:pPr>
      <w:keepNext/>
      <w:keepLines/>
      <w:widowControl/>
      <w:spacing w:before="480" w:beforeAutospacing="0" w:afterAutospacing="0" w:line="276" w:lineRule="auto"/>
      <w:outlineLvl w:val="9"/>
    </w:pPr>
    <w:rPr>
      <w:rFonts w:hint="default" w:asciiTheme="majorHAnsi" w:hAnsiTheme="majorHAnsi" w:eastAsiaTheme="majorEastAsia" w:cstheme="majorBidi"/>
      <w:bCs/>
      <w:color w:val="376092" w:themeColor="accent1" w:themeShade="BF"/>
      <w:kern w:val="0"/>
      <w:sz w:val="28"/>
      <w:szCs w:val="28"/>
    </w:rPr>
  </w:style>
  <w:style w:type="paragraph" w:customStyle="1" w:styleId="35">
    <w:name w:val="WPSOffice手动目录 1"/>
    <w:qFormat/>
    <w:uiPriority w:val="0"/>
    <w:pPr>
      <w:ind w:leftChars="0"/>
    </w:pPr>
    <w:rPr>
      <w:rFonts w:asciiTheme="minorHAnsi" w:hAnsiTheme="minorHAnsi" w:eastAsiaTheme="minorEastAsia" w:cstheme="minorBidi"/>
      <w:sz w:val="20"/>
      <w:szCs w:val="20"/>
    </w:rPr>
  </w:style>
  <w:style w:type="paragraph" w:styleId="36">
    <w:name w:val="List Paragraph"/>
    <w:basedOn w:val="1"/>
    <w:qFormat/>
    <w:uiPriority w:val="34"/>
    <w:pPr>
      <w:ind w:firstLine="420" w:firstLineChars="200"/>
    </w:pPr>
  </w:style>
  <w:style w:type="paragraph" w:customStyle="1" w:styleId="37">
    <w:name w:val="Body text|1"/>
    <w:basedOn w:val="1"/>
    <w:qFormat/>
    <w:uiPriority w:val="0"/>
    <w:pPr>
      <w:widowControl w:val="0"/>
      <w:shd w:val="clear" w:color="auto" w:fill="auto"/>
      <w:spacing w:line="329" w:lineRule="auto"/>
      <w:ind w:firstLine="400"/>
    </w:pPr>
    <w:rPr>
      <w:rFonts w:ascii="宋体" w:hAnsi="宋体" w:eastAsia="宋体" w:cs="宋体"/>
      <w:sz w:val="28"/>
      <w:szCs w:val="28"/>
      <w:u w:val="none"/>
      <w:shd w:val="clear" w:color="auto" w:fill="auto"/>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73DF80-32D0-48B6-BDC2-042DA4015297}">
  <ds:schemaRefs/>
</ds:datastoreItem>
</file>

<file path=docProps/app.xml><?xml version="1.0" encoding="utf-8"?>
<Properties xmlns="http://schemas.openxmlformats.org/officeDocument/2006/extended-properties" xmlns:vt="http://schemas.openxmlformats.org/officeDocument/2006/docPropsVTypes">
  <Template>Normal</Template>
  <Company>HP</Company>
  <Pages>20</Pages>
  <Words>10048</Words>
  <Characters>10515</Characters>
  <Lines>90</Lines>
  <Paragraphs>25</Paragraphs>
  <TotalTime>0</TotalTime>
  <ScaleCrop>false</ScaleCrop>
  <LinksUpToDate>false</LinksUpToDate>
  <CharactersWithSpaces>10810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2014-04-21T00:28:00Z</dcterms:created>
  <dc:creator>中兴科技</dc:creator>
  <cp:lastModifiedBy>晨曦</cp:lastModifiedBy>
  <cp:lastPrinted>2022-10-28T01:18:00Z</cp:lastPrinted>
  <dcterms:modified xsi:type="dcterms:W3CDTF">2023-11-07T08:30:01Z</dcterms:modified>
  <dc:title>审 计 报 告</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AA9140AAE1504A9893CA11E9B8F00E6C</vt:lpwstr>
  </property>
</Properties>
</file>