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jc w:val="center"/>
        <w:rPr>
          <w:rFonts w:ascii="宋体" w:hAnsi="宋体"/>
          <w:sz w:val="24"/>
          <w:szCs w:val="24"/>
          <w:highlight w:val="none"/>
        </w:rPr>
      </w:pPr>
    </w:p>
    <w:p>
      <w:pPr>
        <w:rPr>
          <w:rFonts w:ascii="宋体" w:hAnsi="宋体"/>
          <w:sz w:val="36"/>
          <w:szCs w:val="36"/>
          <w:highlight w:val="none"/>
        </w:rPr>
      </w:pPr>
    </w:p>
    <w:p>
      <w:pPr>
        <w:jc w:val="center"/>
        <w:rPr>
          <w:rFonts w:ascii="宋体" w:hAnsi="宋体"/>
          <w:szCs w:val="21"/>
          <w:highlight w:val="none"/>
        </w:rPr>
      </w:pPr>
    </w:p>
    <w:p>
      <w:pPr>
        <w:keepNext w:val="0"/>
        <w:keepLines w:val="0"/>
        <w:pageBreakBefore w:val="0"/>
        <w:widowControl w:val="0"/>
        <w:kinsoku/>
        <w:wordWrap/>
        <w:overflowPunct/>
        <w:topLinePunct w:val="0"/>
        <w:autoSpaceDE/>
        <w:autoSpaceDN/>
        <w:bidi w:val="0"/>
        <w:adjustRightInd/>
        <w:snapToGrid/>
        <w:spacing w:line="760" w:lineRule="exact"/>
        <w:jc w:val="center"/>
        <w:textAlignment w:val="auto"/>
        <w:rPr>
          <w:rFonts w:hint="eastAsia" w:ascii="宋体" w:hAnsi="宋体" w:cs="宋体"/>
          <w:b/>
          <w:bCs w:val="0"/>
          <w:sz w:val="44"/>
          <w:szCs w:val="44"/>
          <w:highlight w:val="none"/>
          <w:lang w:val="en-US" w:eastAsia="zh-CN"/>
        </w:rPr>
      </w:pPr>
      <w:r>
        <w:rPr>
          <w:rFonts w:hint="eastAsia" w:ascii="宋体" w:hAnsi="宋体" w:cs="宋体"/>
          <w:b/>
          <w:bCs w:val="0"/>
          <w:sz w:val="44"/>
          <w:szCs w:val="44"/>
          <w:highlight w:val="none"/>
          <w:lang w:val="en-US" w:eastAsia="zh-CN"/>
        </w:rPr>
        <w:t>曲阳县老旧小区改造项目</w:t>
      </w:r>
    </w:p>
    <w:p>
      <w:pPr>
        <w:pStyle w:val="2"/>
        <w:rPr>
          <w:highlight w:val="none"/>
        </w:rPr>
      </w:pPr>
    </w:p>
    <w:p>
      <w:pPr>
        <w:keepNext w:val="0"/>
        <w:keepLines w:val="0"/>
        <w:pageBreakBefore w:val="0"/>
        <w:widowControl w:val="0"/>
        <w:kinsoku/>
        <w:wordWrap/>
        <w:overflowPunct/>
        <w:topLinePunct w:val="0"/>
        <w:autoSpaceDE/>
        <w:autoSpaceDN/>
        <w:bidi w:val="0"/>
        <w:adjustRightInd/>
        <w:snapToGrid/>
        <w:spacing w:line="760" w:lineRule="exact"/>
        <w:jc w:val="center"/>
        <w:textAlignment w:val="auto"/>
        <w:rPr>
          <w:rFonts w:hint="eastAsia" w:ascii="宋体" w:hAnsi="宋体" w:eastAsia="宋体" w:cs="宋体"/>
          <w:b/>
          <w:bCs w:val="0"/>
          <w:sz w:val="44"/>
          <w:szCs w:val="44"/>
          <w:highlight w:val="none"/>
          <w:lang w:val="en-US" w:eastAsia="zh-CN"/>
        </w:rPr>
      </w:pPr>
      <w:r>
        <w:rPr>
          <w:rFonts w:hint="eastAsia" w:ascii="宋体" w:hAnsi="宋体" w:cs="宋体"/>
          <w:b/>
          <w:bCs w:val="0"/>
          <w:sz w:val="44"/>
          <w:szCs w:val="44"/>
          <w:highlight w:val="none"/>
          <w:lang w:val="en-US" w:eastAsia="zh-CN"/>
        </w:rPr>
        <w:t>绩效评价报告</w:t>
      </w:r>
    </w:p>
    <w:p>
      <w:pPr>
        <w:pStyle w:val="2"/>
        <w:ind w:left="0" w:leftChars="0" w:firstLine="0" w:firstLineChars="0"/>
        <w:rPr>
          <w:highlight w:val="none"/>
        </w:rPr>
      </w:pPr>
    </w:p>
    <w:p>
      <w:pPr>
        <w:pStyle w:val="2"/>
        <w:rPr>
          <w:highlight w:val="none"/>
        </w:rPr>
      </w:pPr>
    </w:p>
    <w:p>
      <w:pPr>
        <w:rPr>
          <w:highlight w:val="none"/>
        </w:rPr>
      </w:pPr>
    </w:p>
    <w:p>
      <w:pPr>
        <w:pStyle w:val="2"/>
        <w:rPr>
          <w:highlight w:val="none"/>
        </w:rPr>
      </w:pPr>
    </w:p>
    <w:p>
      <w:pPr>
        <w:rPr>
          <w:highlight w:val="none"/>
        </w:rPr>
      </w:pPr>
    </w:p>
    <w:p>
      <w:pPr>
        <w:pStyle w:val="2"/>
        <w:rPr>
          <w:highlight w:val="none"/>
        </w:rPr>
      </w:pPr>
    </w:p>
    <w:p/>
    <w:p>
      <w:pPr>
        <w:pStyle w:val="2"/>
        <w:rPr>
          <w:highlight w:val="none"/>
        </w:rPr>
      </w:pPr>
    </w:p>
    <w:p>
      <w:pPr>
        <w:rPr>
          <w:highlight w:val="none"/>
        </w:rPr>
      </w:pPr>
    </w:p>
    <w:p>
      <w:pPr>
        <w:spacing w:line="900" w:lineRule="exact"/>
        <w:ind w:firstLine="1280" w:firstLineChars="400"/>
        <w:jc w:val="left"/>
        <w:rPr>
          <w:rFonts w:hint="eastAsia" w:ascii="仿宋" w:hAnsi="仿宋" w:eastAsia="仿宋" w:cs="仿宋"/>
          <w:sz w:val="32"/>
          <w:szCs w:val="32"/>
          <w:highlight w:val="none"/>
          <w:lang w:eastAsia="zh-CN"/>
        </w:rPr>
      </w:pPr>
      <w:r>
        <w:rPr>
          <w:rFonts w:hint="eastAsia" w:ascii="仿宋" w:hAnsi="仿宋" w:eastAsia="仿宋" w:cs="仿宋"/>
          <w:sz w:val="32"/>
          <w:szCs w:val="32"/>
          <w:highlight w:val="none"/>
          <w:lang w:eastAsia="zh-CN"/>
        </w:rPr>
        <w:t>评估</w:t>
      </w:r>
      <w:r>
        <w:rPr>
          <w:rFonts w:hint="eastAsia" w:ascii="仿宋" w:hAnsi="仿宋" w:eastAsia="仿宋" w:cs="仿宋"/>
          <w:sz w:val="32"/>
          <w:szCs w:val="32"/>
          <w:highlight w:val="none"/>
        </w:rPr>
        <w:t>单位：</w:t>
      </w:r>
      <w:r>
        <w:rPr>
          <w:rFonts w:hint="eastAsia" w:ascii="仿宋" w:hAnsi="仿宋" w:eastAsia="仿宋" w:cs="仿宋"/>
          <w:sz w:val="32"/>
          <w:szCs w:val="32"/>
          <w:highlight w:val="none"/>
          <w:lang w:eastAsia="zh-CN"/>
        </w:rPr>
        <w:t>曲阳县财政局</w:t>
      </w:r>
    </w:p>
    <w:p>
      <w:pPr>
        <w:spacing w:line="900" w:lineRule="exact"/>
        <w:ind w:firstLine="1280" w:firstLineChars="400"/>
        <w:jc w:val="left"/>
        <w:rPr>
          <w:rFonts w:hint="eastAsia" w:ascii="仿宋" w:hAnsi="仿宋" w:eastAsia="仿宋" w:cs="仿宋"/>
          <w:sz w:val="32"/>
          <w:szCs w:val="32"/>
          <w:highlight w:val="none"/>
          <w:lang w:eastAsia="zh-CN"/>
        </w:rPr>
      </w:pPr>
      <w:r>
        <w:rPr>
          <w:rFonts w:hint="eastAsia" w:ascii="仿宋" w:hAnsi="仿宋" w:eastAsia="仿宋" w:cs="仿宋"/>
          <w:sz w:val="32"/>
          <w:szCs w:val="32"/>
          <w:highlight w:val="none"/>
        </w:rPr>
        <w:t>项目名称：</w:t>
      </w:r>
      <w:r>
        <w:rPr>
          <w:rFonts w:hint="eastAsia" w:ascii="仿宋" w:hAnsi="仿宋" w:eastAsia="仿宋" w:cs="仿宋"/>
          <w:sz w:val="32"/>
          <w:szCs w:val="32"/>
          <w:highlight w:val="none"/>
          <w:lang w:eastAsia="zh-CN"/>
        </w:rPr>
        <w:t>曲阳县老旧小区改造项目</w:t>
      </w:r>
    </w:p>
    <w:p>
      <w:pPr>
        <w:spacing w:line="900" w:lineRule="exact"/>
        <w:ind w:firstLine="1280" w:firstLineChars="400"/>
        <w:jc w:val="left"/>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项目实施主体：曲阳县住房和城乡建设局</w:t>
      </w:r>
    </w:p>
    <w:p>
      <w:pPr>
        <w:spacing w:line="900" w:lineRule="exact"/>
        <w:ind w:firstLine="1280" w:firstLineChars="400"/>
        <w:jc w:val="left"/>
        <w:rPr>
          <w:rFonts w:hint="eastAsia" w:ascii="仿宋" w:hAnsi="仿宋" w:eastAsia="仿宋" w:cs="仿宋"/>
          <w:sz w:val="32"/>
          <w:szCs w:val="32"/>
          <w:highlight w:val="none"/>
          <w:lang w:val="en-US" w:eastAsia="zh-CN"/>
        </w:rPr>
      </w:pPr>
      <w:r>
        <w:rPr>
          <w:rFonts w:hint="eastAsia" w:ascii="仿宋" w:hAnsi="仿宋" w:eastAsia="仿宋" w:cs="仿宋"/>
          <w:sz w:val="32"/>
          <w:szCs w:val="32"/>
          <w:highlight w:val="none"/>
          <w:lang w:val="en-US" w:eastAsia="zh-CN"/>
        </w:rPr>
        <w:t>评 估 日 期：</w:t>
      </w:r>
      <w:r>
        <w:rPr>
          <w:rFonts w:hint="eastAsia" w:ascii="仿宋" w:hAnsi="仿宋" w:eastAsia="仿宋" w:cs="仿宋"/>
          <w:sz w:val="32"/>
          <w:szCs w:val="32"/>
          <w:highlight w:val="none"/>
          <w:lang w:eastAsia="zh-CN"/>
        </w:rPr>
        <w:t>2023年</w:t>
      </w:r>
      <w:r>
        <w:rPr>
          <w:rFonts w:hint="eastAsia" w:ascii="仿宋" w:hAnsi="仿宋" w:eastAsia="仿宋" w:cs="仿宋"/>
          <w:sz w:val="32"/>
          <w:szCs w:val="32"/>
          <w:highlight w:val="none"/>
          <w:lang w:val="en-US" w:eastAsia="zh-CN"/>
        </w:rPr>
        <w:t>5</w:t>
      </w:r>
      <w:r>
        <w:rPr>
          <w:rFonts w:hint="eastAsia" w:ascii="仿宋" w:hAnsi="仿宋" w:eastAsia="仿宋" w:cs="仿宋"/>
          <w:sz w:val="32"/>
          <w:szCs w:val="32"/>
          <w:highlight w:val="none"/>
          <w:lang w:eastAsia="zh-CN"/>
        </w:rPr>
        <w:t>月</w:t>
      </w:r>
      <w:r>
        <w:rPr>
          <w:rFonts w:hint="eastAsia" w:ascii="仿宋" w:hAnsi="仿宋" w:eastAsia="仿宋" w:cs="仿宋"/>
          <w:sz w:val="32"/>
          <w:szCs w:val="32"/>
          <w:highlight w:val="none"/>
          <w:lang w:val="en-US" w:eastAsia="zh-CN"/>
        </w:rPr>
        <w:t>10</w:t>
      </w:r>
      <w:r>
        <w:rPr>
          <w:rFonts w:hint="eastAsia" w:ascii="仿宋" w:hAnsi="仿宋" w:eastAsia="仿宋" w:cs="仿宋"/>
          <w:sz w:val="32"/>
          <w:szCs w:val="32"/>
          <w:highlight w:val="none"/>
          <w:lang w:eastAsia="zh-CN"/>
        </w:rPr>
        <w:t>日</w:t>
      </w:r>
    </w:p>
    <w:p>
      <w:pPr>
        <w:spacing w:line="900" w:lineRule="exact"/>
        <w:ind w:firstLine="1280" w:firstLineChars="400"/>
        <w:jc w:val="left"/>
        <w:rPr>
          <w:rFonts w:hint="eastAsia" w:ascii="仿宋" w:hAnsi="仿宋" w:eastAsia="仿宋" w:cs="仿宋"/>
          <w:sz w:val="32"/>
          <w:szCs w:val="32"/>
          <w:highlight w:val="none"/>
          <w:lang w:eastAsia="zh-CN"/>
        </w:rPr>
      </w:pPr>
      <w:r>
        <w:rPr>
          <w:rFonts w:hint="eastAsia" w:ascii="仿宋" w:hAnsi="仿宋" w:eastAsia="仿宋" w:cs="仿宋"/>
          <w:sz w:val="32"/>
          <w:szCs w:val="32"/>
          <w:highlight w:val="none"/>
        </w:rPr>
        <w:t>报 告 日 期：</w:t>
      </w:r>
      <w:r>
        <w:rPr>
          <w:rFonts w:hint="eastAsia" w:ascii="仿宋" w:hAnsi="仿宋" w:eastAsia="仿宋" w:cs="仿宋"/>
          <w:sz w:val="32"/>
          <w:szCs w:val="32"/>
          <w:highlight w:val="none"/>
          <w:lang w:eastAsia="zh-CN"/>
        </w:rPr>
        <w:t>2023年</w:t>
      </w:r>
      <w:r>
        <w:rPr>
          <w:rFonts w:hint="eastAsia" w:ascii="仿宋" w:hAnsi="仿宋" w:eastAsia="仿宋" w:cs="仿宋"/>
          <w:sz w:val="32"/>
          <w:szCs w:val="32"/>
          <w:highlight w:val="none"/>
          <w:lang w:val="en-US" w:eastAsia="zh-CN"/>
        </w:rPr>
        <w:t>6</w:t>
      </w:r>
      <w:r>
        <w:rPr>
          <w:rFonts w:hint="eastAsia" w:ascii="仿宋" w:hAnsi="仿宋" w:eastAsia="仿宋" w:cs="仿宋"/>
          <w:sz w:val="32"/>
          <w:szCs w:val="32"/>
          <w:highlight w:val="none"/>
          <w:lang w:eastAsia="zh-CN"/>
        </w:rPr>
        <w:t>月</w:t>
      </w:r>
      <w:r>
        <w:rPr>
          <w:rFonts w:hint="eastAsia" w:ascii="仿宋" w:hAnsi="仿宋" w:eastAsia="仿宋" w:cs="仿宋"/>
          <w:sz w:val="32"/>
          <w:szCs w:val="32"/>
          <w:highlight w:val="none"/>
          <w:lang w:val="en-US" w:eastAsia="zh-CN"/>
        </w:rPr>
        <w:t>5</w:t>
      </w:r>
      <w:r>
        <w:rPr>
          <w:rFonts w:hint="eastAsia" w:ascii="仿宋" w:hAnsi="仿宋" w:eastAsia="仿宋" w:cs="仿宋"/>
          <w:sz w:val="32"/>
          <w:szCs w:val="32"/>
          <w:highlight w:val="none"/>
          <w:lang w:eastAsia="zh-CN"/>
        </w:rPr>
        <w:t>日</w:t>
      </w:r>
    </w:p>
    <w:p>
      <w:pPr>
        <w:spacing w:before="0" w:beforeLines="0" w:after="0" w:afterLines="0" w:line="240" w:lineRule="auto"/>
        <w:ind w:left="0" w:leftChars="0" w:right="0" w:rightChars="0" w:firstLine="0" w:firstLineChars="0"/>
        <w:jc w:val="both"/>
        <w:rPr>
          <w:rFonts w:hint="eastAsia" w:ascii="仿宋" w:hAnsi="仿宋" w:eastAsia="仿宋" w:cs="仿宋"/>
          <w:sz w:val="30"/>
          <w:szCs w:val="30"/>
          <w:highlight w:val="none"/>
        </w:rPr>
      </w:pPr>
    </w:p>
    <w:p>
      <w:pPr>
        <w:pStyle w:val="2"/>
        <w:rPr>
          <w:rFonts w:hint="eastAsia"/>
          <w:highlight w:val="none"/>
        </w:rPr>
      </w:pPr>
    </w:p>
    <w:p>
      <w:pPr>
        <w:rPr>
          <w:rFonts w:hint="eastAsia"/>
          <w:highlight w:val="none"/>
        </w:rPr>
      </w:pPr>
    </w:p>
    <w:p>
      <w:pPr>
        <w:pStyle w:val="2"/>
        <w:rPr>
          <w:rFonts w:hint="eastAsia"/>
          <w:highlight w:val="none"/>
        </w:rPr>
      </w:pPr>
    </w:p>
    <w:p>
      <w:pPr>
        <w:rPr>
          <w:rFonts w:hint="eastAsia"/>
          <w:highlight w:val="none"/>
        </w:rPr>
      </w:pPr>
    </w:p>
    <w:p>
      <w:pPr>
        <w:pStyle w:val="2"/>
        <w:rPr>
          <w:rFonts w:hint="eastAsia"/>
          <w:highlight w:val="none"/>
        </w:rPr>
      </w:pPr>
    </w:p>
    <w:p>
      <w:pPr>
        <w:rPr>
          <w:rFonts w:hint="eastAsia"/>
          <w:highlight w:val="none"/>
        </w:rPr>
      </w:pPr>
    </w:p>
    <w:p>
      <w:pPr>
        <w:pStyle w:val="2"/>
        <w:rPr>
          <w:rFonts w:hint="eastAsia"/>
          <w:highlight w:val="none"/>
        </w:rPr>
      </w:pPr>
    </w:p>
    <w:p>
      <w:pPr>
        <w:spacing w:line="560" w:lineRule="exact"/>
        <w:jc w:val="center"/>
        <w:outlineLvl w:val="0"/>
        <w:rPr>
          <w:rFonts w:hint="eastAsia" w:ascii="仿宋" w:hAnsi="仿宋" w:eastAsia="仿宋" w:cs="仿宋"/>
          <w:b/>
          <w:bCs w:val="0"/>
          <w:sz w:val="36"/>
          <w:szCs w:val="36"/>
          <w:highlight w:val="none"/>
          <w:lang w:eastAsia="zh-CN"/>
        </w:rPr>
      </w:pPr>
      <w:r>
        <w:rPr>
          <w:rFonts w:hint="eastAsia" w:ascii="仿宋" w:hAnsi="仿宋" w:eastAsia="仿宋" w:cs="仿宋"/>
          <w:b/>
          <w:bCs w:val="0"/>
          <w:sz w:val="36"/>
          <w:szCs w:val="36"/>
          <w:highlight w:val="none"/>
          <w:lang w:eastAsia="zh-CN"/>
        </w:rPr>
        <w:t>曲阳县老旧小区改造项目</w:t>
      </w:r>
    </w:p>
    <w:p>
      <w:pPr>
        <w:spacing w:after="156" w:line="560" w:lineRule="exact"/>
        <w:ind w:left="-359" w:leftChars="-171" w:firstLine="361" w:firstLineChars="100"/>
        <w:jc w:val="center"/>
        <w:outlineLvl w:val="0"/>
        <w:rPr>
          <w:rFonts w:hint="eastAsia" w:ascii="仿宋" w:hAnsi="仿宋" w:eastAsia="仿宋" w:cs="仿宋"/>
          <w:color w:val="000000"/>
          <w:sz w:val="30"/>
          <w:szCs w:val="30"/>
          <w:highlight w:val="none"/>
        </w:rPr>
      </w:pPr>
      <w:r>
        <w:rPr>
          <w:rFonts w:hint="eastAsia" w:ascii="仿宋" w:hAnsi="仿宋" w:eastAsia="仿宋" w:cs="仿宋"/>
          <w:b/>
          <w:bCs w:val="0"/>
          <w:sz w:val="36"/>
          <w:szCs w:val="36"/>
          <w:highlight w:val="none"/>
          <w:lang w:eastAsia="zh-CN"/>
        </w:rPr>
        <w:t>绩效评估报告</w:t>
      </w:r>
    </w:p>
    <w:p>
      <w:pPr>
        <w:pageBreakBefore w:val="0"/>
        <w:kinsoku/>
        <w:wordWrap/>
        <w:overflowPunct/>
        <w:topLinePunct w:val="0"/>
        <w:autoSpaceDE/>
        <w:autoSpaceDN/>
        <w:bidi w:val="0"/>
        <w:adjustRightInd/>
        <w:snapToGrid/>
        <w:spacing w:line="560" w:lineRule="exact"/>
        <w:ind w:firstLine="640" w:firstLineChars="200"/>
        <w:rPr>
          <w:rFonts w:hint="eastAsia" w:ascii="仿宋" w:hAnsi="仿宋" w:eastAsia="仿宋" w:cs="仿宋"/>
          <w:kern w:val="2"/>
          <w:sz w:val="32"/>
          <w:szCs w:val="32"/>
          <w:highlight w:val="none"/>
          <w:u w:val="none"/>
          <w:shd w:val="clear" w:color="auto" w:fill="auto"/>
          <w:lang w:val="en-US" w:eastAsia="zh-CN" w:bidi="ar-SA"/>
        </w:rPr>
      </w:pPr>
      <w:bookmarkStart w:id="0" w:name="_Toc8967"/>
      <w:bookmarkStart w:id="1" w:name="_Toc30480"/>
      <w:bookmarkStart w:id="2" w:name="_Toc83631027"/>
      <w:bookmarkStart w:id="3" w:name="_Toc83630317"/>
      <w:r>
        <w:rPr>
          <w:rFonts w:hint="eastAsia" w:ascii="仿宋" w:hAnsi="仿宋" w:eastAsia="仿宋" w:cs="仿宋"/>
          <w:kern w:val="2"/>
          <w:sz w:val="32"/>
          <w:szCs w:val="32"/>
          <w:highlight w:val="none"/>
          <w:u w:val="none"/>
          <w:shd w:val="clear" w:color="auto" w:fill="auto"/>
          <w:lang w:val="en-US" w:eastAsia="zh-CN" w:bidi="ar-SA"/>
        </w:rPr>
        <w:t>我局对2022年度</w:t>
      </w:r>
      <w:r>
        <w:rPr>
          <w:rFonts w:hint="eastAsia" w:ascii="仿宋" w:hAnsi="仿宋" w:eastAsia="仿宋" w:cs="仿宋"/>
          <w:sz w:val="30"/>
          <w:szCs w:val="30"/>
          <w:highlight w:val="none"/>
          <w:lang w:eastAsia="zh-CN"/>
        </w:rPr>
        <w:t>曲阳县老旧小区改造项目</w:t>
      </w:r>
      <w:r>
        <w:rPr>
          <w:rFonts w:hint="eastAsia" w:ascii="仿宋" w:hAnsi="仿宋" w:eastAsia="仿宋" w:cs="仿宋"/>
          <w:kern w:val="2"/>
          <w:sz w:val="32"/>
          <w:szCs w:val="32"/>
          <w:highlight w:val="none"/>
          <w:u w:val="none"/>
          <w:shd w:val="clear" w:color="auto" w:fill="auto"/>
          <w:lang w:val="en-US" w:eastAsia="zh-CN" w:bidi="ar-SA"/>
        </w:rPr>
        <w:t>专项债券资金进行了绩效评价，项目实施单位和相关单位提供与绩效评价有关的项目资料，并对其真实性、完整性、合法性负责。我局对该项目的项目决策、项目过程、项目产出、项目效益四个方面和执行国家法律、法规的情况发表评价意见。</w:t>
      </w:r>
    </w:p>
    <w:p>
      <w:pPr>
        <w:pageBreakBefore w:val="0"/>
        <w:kinsoku/>
        <w:wordWrap/>
        <w:overflowPunct/>
        <w:topLinePunct w:val="0"/>
        <w:autoSpaceDE/>
        <w:autoSpaceDN/>
        <w:bidi w:val="0"/>
        <w:adjustRightInd/>
        <w:snapToGrid/>
        <w:spacing w:line="560" w:lineRule="exact"/>
        <w:ind w:firstLine="640" w:firstLineChars="200"/>
        <w:rPr>
          <w:rFonts w:hint="eastAsia" w:ascii="仿宋" w:hAnsi="仿宋" w:eastAsia="仿宋" w:cs="仿宋"/>
          <w:b/>
          <w:bCs/>
          <w:sz w:val="32"/>
          <w:szCs w:val="32"/>
          <w:highlight w:val="none"/>
          <w:lang w:val="en-US" w:eastAsia="zh-CN"/>
        </w:rPr>
      </w:pPr>
      <w:r>
        <w:rPr>
          <w:rFonts w:hint="eastAsia" w:ascii="仿宋" w:hAnsi="仿宋" w:eastAsia="仿宋" w:cs="仿宋"/>
          <w:kern w:val="2"/>
          <w:sz w:val="32"/>
          <w:szCs w:val="32"/>
          <w:highlight w:val="none"/>
          <w:u w:val="none"/>
          <w:shd w:val="clear" w:color="auto" w:fill="auto"/>
          <w:lang w:val="en-US" w:eastAsia="zh-CN" w:bidi="ar-SA"/>
        </w:rPr>
        <w:t>我们的绩效评价工作是依据河北省政府债券资金绩效管理办法等相关规定进行的，对本年度债券项目进行全覆盖评价。在评价工作中，我们结合项目的实际情况制定了绩效评价指标体系，实施了包括资料查看、问询、现场检查、问卷调查等我们认为必要的评价手段。绩效评价工作现已完成，具体评价情况汇总如下：</w:t>
      </w:r>
    </w:p>
    <w:p>
      <w:pPr>
        <w:pageBreakBefore w:val="0"/>
        <w:kinsoku/>
        <w:wordWrap/>
        <w:overflowPunct/>
        <w:topLinePunct w:val="0"/>
        <w:autoSpaceDE/>
        <w:autoSpaceDN/>
        <w:bidi w:val="0"/>
        <w:adjustRightInd/>
        <w:snapToGrid/>
        <w:spacing w:line="560" w:lineRule="exact"/>
        <w:ind w:firstLine="643" w:firstLineChars="200"/>
        <w:outlineLvl w:val="0"/>
        <w:rPr>
          <w:rFonts w:hint="eastAsia" w:ascii="仿宋" w:hAnsi="仿宋" w:eastAsia="仿宋" w:cs="仿宋"/>
          <w:b/>
          <w:bCs/>
          <w:sz w:val="32"/>
          <w:szCs w:val="32"/>
          <w:highlight w:val="none"/>
          <w:lang w:eastAsia="zh-CN"/>
        </w:rPr>
      </w:pPr>
      <w:r>
        <w:rPr>
          <w:rFonts w:hint="eastAsia" w:ascii="仿宋" w:hAnsi="仿宋" w:eastAsia="仿宋" w:cs="仿宋"/>
          <w:b/>
          <w:bCs/>
          <w:sz w:val="32"/>
          <w:szCs w:val="32"/>
          <w:highlight w:val="none"/>
          <w:lang w:val="en-US" w:eastAsia="zh-CN"/>
        </w:rPr>
        <w:t>一、</w:t>
      </w:r>
      <w:r>
        <w:rPr>
          <w:rFonts w:hint="eastAsia" w:ascii="仿宋" w:hAnsi="仿宋" w:eastAsia="仿宋" w:cs="仿宋"/>
          <w:b/>
          <w:bCs/>
          <w:sz w:val="32"/>
          <w:szCs w:val="32"/>
          <w:highlight w:val="none"/>
        </w:rPr>
        <w:t>项目</w:t>
      </w:r>
      <w:bookmarkEnd w:id="0"/>
      <w:bookmarkEnd w:id="1"/>
      <w:bookmarkEnd w:id="2"/>
      <w:bookmarkEnd w:id="3"/>
      <w:r>
        <w:rPr>
          <w:rFonts w:hint="eastAsia" w:ascii="仿宋" w:hAnsi="仿宋" w:eastAsia="仿宋" w:cs="仿宋"/>
          <w:b/>
          <w:bCs/>
          <w:sz w:val="32"/>
          <w:szCs w:val="32"/>
          <w:highlight w:val="none"/>
          <w:lang w:eastAsia="zh-CN"/>
        </w:rPr>
        <w:t>建设背景</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val="en-US" w:eastAsia="zh-CN"/>
        </w:rPr>
      </w:pPr>
      <w:bookmarkStart w:id="4" w:name="_Toc22961"/>
      <w:bookmarkStart w:id="5" w:name="_Toc83630318"/>
      <w:bookmarkStart w:id="6" w:name="_Toc25381"/>
      <w:bookmarkStart w:id="7" w:name="_Toc19822"/>
      <w:bookmarkStart w:id="8" w:name="_Toc83631028"/>
      <w:bookmarkStart w:id="9" w:name="_Toc22022"/>
      <w:r>
        <w:rPr>
          <w:rFonts w:hint="default" w:ascii="仿宋" w:hAnsi="仿宋" w:eastAsia="仿宋" w:cs="仿宋"/>
          <w:sz w:val="30"/>
          <w:szCs w:val="30"/>
          <w:highlight w:val="none"/>
          <w:lang w:val="en-US" w:eastAsia="zh-CN"/>
        </w:rPr>
        <w:t xml:space="preserve">2018 </w:t>
      </w:r>
      <w:r>
        <w:rPr>
          <w:rFonts w:hint="eastAsia" w:ascii="仿宋" w:hAnsi="仿宋" w:eastAsia="仿宋" w:cs="仿宋"/>
          <w:sz w:val="30"/>
          <w:szCs w:val="30"/>
          <w:highlight w:val="none"/>
          <w:lang w:val="en-US" w:eastAsia="zh-CN"/>
        </w:rPr>
        <w:t>年河北省启动老旧小区改造工作以来，省政府先后印发《河北省推进老旧小区改造工作方案》《河北省老旧小区改造三年行动计划（</w:t>
      </w:r>
      <w:r>
        <w:rPr>
          <w:rFonts w:hint="default" w:ascii="仿宋" w:hAnsi="仿宋" w:eastAsia="仿宋" w:cs="仿宋"/>
          <w:sz w:val="30"/>
          <w:szCs w:val="30"/>
          <w:highlight w:val="none"/>
          <w:lang w:val="en-US" w:eastAsia="zh-CN"/>
        </w:rPr>
        <w:t xml:space="preserve">2018-2020 </w:t>
      </w:r>
      <w:r>
        <w:rPr>
          <w:rFonts w:hint="eastAsia" w:ascii="仿宋" w:hAnsi="仿宋" w:eastAsia="仿宋" w:cs="仿宋"/>
          <w:sz w:val="30"/>
          <w:szCs w:val="30"/>
          <w:highlight w:val="none"/>
          <w:lang w:val="en-US" w:eastAsia="zh-CN"/>
        </w:rPr>
        <w:t>年）》《全面推进城镇老旧小区改造工作的实施意见》，完善了相关政策措施。自</w:t>
      </w:r>
      <w:r>
        <w:rPr>
          <w:rFonts w:hint="default" w:ascii="仿宋" w:hAnsi="仿宋" w:eastAsia="仿宋" w:cs="仿宋"/>
          <w:sz w:val="30"/>
          <w:szCs w:val="30"/>
          <w:highlight w:val="none"/>
          <w:lang w:val="en-US" w:eastAsia="zh-CN"/>
        </w:rPr>
        <w:t>2018</w:t>
      </w:r>
      <w:r>
        <w:rPr>
          <w:rFonts w:hint="eastAsia" w:ascii="仿宋" w:hAnsi="仿宋" w:eastAsia="仿宋" w:cs="仿宋"/>
          <w:sz w:val="30"/>
          <w:szCs w:val="30"/>
          <w:highlight w:val="none"/>
          <w:lang w:val="en-US" w:eastAsia="zh-CN"/>
        </w:rPr>
        <w:t>年开始，省委、省政府连续三年将老旧小区改造工作纳入全省重点推进的</w:t>
      </w:r>
      <w:r>
        <w:rPr>
          <w:rFonts w:hint="default" w:ascii="仿宋" w:hAnsi="仿宋" w:eastAsia="仿宋" w:cs="仿宋"/>
          <w:sz w:val="30"/>
          <w:szCs w:val="30"/>
          <w:highlight w:val="none"/>
          <w:lang w:val="en-US" w:eastAsia="zh-CN"/>
        </w:rPr>
        <w:t>2</w:t>
      </w:r>
      <w:r>
        <w:rPr>
          <w:rFonts w:hint="eastAsia" w:ascii="仿宋" w:hAnsi="仿宋" w:eastAsia="仿宋" w:cs="仿宋"/>
          <w:sz w:val="30"/>
          <w:szCs w:val="30"/>
          <w:highlight w:val="none"/>
          <w:lang w:val="en-US" w:eastAsia="zh-CN"/>
        </w:rPr>
        <w:t>0项民生工程，全力推进实施。</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河北省政府办公厅印发关于《全面推进城镇老旧小区改造工作的实施意见》，提出到“十四五”末，全面完成</w:t>
      </w:r>
      <w:r>
        <w:rPr>
          <w:rFonts w:hint="default" w:ascii="仿宋" w:hAnsi="仿宋" w:eastAsia="仿宋" w:cs="仿宋"/>
          <w:sz w:val="30"/>
          <w:szCs w:val="30"/>
          <w:highlight w:val="none"/>
          <w:lang w:val="en-US" w:eastAsia="zh-CN"/>
        </w:rPr>
        <w:t>2000</w:t>
      </w:r>
      <w:r>
        <w:rPr>
          <w:rFonts w:hint="eastAsia" w:ascii="仿宋" w:hAnsi="仿宋" w:eastAsia="仿宋" w:cs="仿宋"/>
          <w:sz w:val="30"/>
          <w:szCs w:val="30"/>
          <w:highlight w:val="none"/>
          <w:lang w:val="en-US" w:eastAsia="zh-CN"/>
        </w:rPr>
        <w:t>年底前建成的需改造城镇老旧小区改造任务等目标要求，鼓励各地对</w:t>
      </w:r>
      <w:r>
        <w:rPr>
          <w:rFonts w:hint="default" w:ascii="仿宋" w:hAnsi="仿宋" w:eastAsia="仿宋" w:cs="仿宋"/>
          <w:sz w:val="30"/>
          <w:szCs w:val="30"/>
          <w:highlight w:val="none"/>
          <w:lang w:val="en-US" w:eastAsia="zh-CN"/>
        </w:rPr>
        <w:t>2000</w:t>
      </w:r>
      <w:r>
        <w:rPr>
          <w:rFonts w:hint="eastAsia" w:ascii="仿宋" w:hAnsi="仿宋" w:eastAsia="仿宋" w:cs="仿宋"/>
          <w:sz w:val="30"/>
          <w:szCs w:val="30"/>
          <w:highlight w:val="none"/>
          <w:lang w:val="en-US" w:eastAsia="zh-CN"/>
        </w:rPr>
        <w:t>年以后建成的城镇老旧小区实施改造。同时明确了改造范围、主要任务等。意见还要求各地要通过加大地方财政支持力度，争取金融服务支持，推动社会力量参与等措施积极落实改造资金；通过加快改造项目审批，建立存量资源整合利用机制，落实税费减免等措施，落实各项支持政策；通过建立协调机制、严格考核问责等措施，加强组织保障。</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val="en-US" w:eastAsia="zh-CN"/>
        </w:rPr>
      </w:pPr>
      <w:r>
        <w:rPr>
          <w:rFonts w:hint="default" w:ascii="仿宋" w:hAnsi="仿宋" w:eastAsia="仿宋" w:cs="仿宋"/>
          <w:sz w:val="30"/>
          <w:szCs w:val="30"/>
          <w:highlight w:val="none"/>
          <w:lang w:val="en-US" w:eastAsia="zh-CN"/>
        </w:rPr>
        <w:t>2021</w:t>
      </w:r>
      <w:r>
        <w:rPr>
          <w:rFonts w:hint="eastAsia" w:ascii="仿宋" w:hAnsi="仿宋" w:eastAsia="仿宋" w:cs="仿宋"/>
          <w:sz w:val="30"/>
          <w:szCs w:val="30"/>
          <w:highlight w:val="none"/>
          <w:lang w:val="en-US" w:eastAsia="zh-CN"/>
        </w:rPr>
        <w:t>年</w:t>
      </w:r>
      <w:r>
        <w:rPr>
          <w:rFonts w:hint="default" w:ascii="仿宋" w:hAnsi="仿宋" w:eastAsia="仿宋" w:cs="仿宋"/>
          <w:sz w:val="30"/>
          <w:szCs w:val="30"/>
          <w:highlight w:val="none"/>
          <w:lang w:val="en-US" w:eastAsia="zh-CN"/>
        </w:rPr>
        <w:t>5</w:t>
      </w:r>
      <w:r>
        <w:rPr>
          <w:rFonts w:hint="eastAsia" w:ascii="仿宋" w:hAnsi="仿宋" w:eastAsia="仿宋" w:cs="仿宋"/>
          <w:sz w:val="30"/>
          <w:szCs w:val="30"/>
          <w:highlight w:val="none"/>
          <w:lang w:val="en-US" w:eastAsia="zh-CN"/>
        </w:rPr>
        <w:t xml:space="preserve">月，河北省老旧小区改造领导小组办公室印发《关于做好 </w:t>
      </w:r>
      <w:r>
        <w:rPr>
          <w:rFonts w:hint="default" w:ascii="仿宋" w:hAnsi="仿宋" w:eastAsia="仿宋" w:cs="仿宋"/>
          <w:sz w:val="30"/>
          <w:szCs w:val="30"/>
          <w:highlight w:val="none"/>
          <w:lang w:val="en-US" w:eastAsia="zh-CN"/>
        </w:rPr>
        <w:t xml:space="preserve">2022 </w:t>
      </w:r>
      <w:r>
        <w:rPr>
          <w:rFonts w:hint="eastAsia" w:ascii="仿宋" w:hAnsi="仿宋" w:eastAsia="仿宋" w:cs="仿宋"/>
          <w:sz w:val="30"/>
          <w:szCs w:val="30"/>
          <w:highlight w:val="none"/>
          <w:lang w:val="en-US" w:eastAsia="zh-CN"/>
        </w:rPr>
        <w:t xml:space="preserve">年城镇老旧小区改造项目储备工作的通知》，要求各地按照“实施一批、谋划一批、储备一批”的原则，在强力推进今年城镇老旧小区改造工作的同时，提前启动 </w:t>
      </w:r>
      <w:r>
        <w:rPr>
          <w:rFonts w:hint="default" w:ascii="仿宋" w:hAnsi="仿宋" w:eastAsia="仿宋" w:cs="仿宋"/>
          <w:sz w:val="30"/>
          <w:szCs w:val="30"/>
          <w:highlight w:val="none"/>
          <w:lang w:val="en-US" w:eastAsia="zh-CN"/>
        </w:rPr>
        <w:t xml:space="preserve">2022 </w:t>
      </w:r>
      <w:r>
        <w:rPr>
          <w:rFonts w:hint="eastAsia" w:ascii="仿宋" w:hAnsi="仿宋" w:eastAsia="仿宋" w:cs="仿宋"/>
          <w:sz w:val="30"/>
          <w:szCs w:val="30"/>
          <w:highlight w:val="none"/>
          <w:lang w:val="en-US" w:eastAsia="zh-CN"/>
        </w:rPr>
        <w:t>年城镇老旧小区改造工作。</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rPr>
      </w:pPr>
      <w:r>
        <w:rPr>
          <w:rFonts w:hint="eastAsia" w:ascii="仿宋" w:hAnsi="仿宋" w:eastAsia="仿宋" w:cs="仿宋"/>
          <w:sz w:val="30"/>
          <w:szCs w:val="30"/>
          <w:highlight w:val="none"/>
          <w:lang w:val="en-US" w:eastAsia="zh-CN"/>
        </w:rPr>
        <w:t>老旧小区不论是安全还是功能都已不再完整，因为时间长久的原因，旧设备旧设施给居民带来的安全隐患更是越来越大。因此，</w:t>
      </w:r>
      <w:r>
        <w:rPr>
          <w:rFonts w:hint="eastAsia" w:ascii="仿宋" w:hAnsi="仿宋" w:eastAsia="仿宋" w:cs="仿宋"/>
          <w:sz w:val="30"/>
          <w:szCs w:val="30"/>
          <w:highlight w:val="none"/>
          <w:lang w:eastAsia="zh-CN"/>
        </w:rPr>
        <w:t>曲阳县住房和城乡建设局计划开展老旧小区改造项目。</w:t>
      </w:r>
    </w:p>
    <w:p>
      <w:pPr>
        <w:pageBreakBefore w:val="0"/>
        <w:kinsoku/>
        <w:wordWrap/>
        <w:overflowPunct/>
        <w:topLinePunct w:val="0"/>
        <w:autoSpaceDE/>
        <w:autoSpaceDN/>
        <w:bidi w:val="0"/>
        <w:adjustRightInd/>
        <w:snapToGrid/>
        <w:spacing w:line="560" w:lineRule="exact"/>
        <w:ind w:firstLine="643" w:firstLineChars="200"/>
        <w:rPr>
          <w:rFonts w:hint="eastAsia" w:ascii="仿宋" w:hAnsi="仿宋" w:eastAsia="仿宋" w:cs="仿宋"/>
          <w:b/>
          <w:bCs/>
          <w:sz w:val="32"/>
          <w:szCs w:val="32"/>
          <w:highlight w:val="none"/>
        </w:rPr>
      </w:pPr>
      <w:r>
        <w:rPr>
          <w:rFonts w:hint="eastAsia" w:ascii="仿宋" w:hAnsi="仿宋" w:eastAsia="仿宋" w:cs="仿宋"/>
          <w:b/>
          <w:bCs/>
          <w:sz w:val="32"/>
          <w:szCs w:val="32"/>
          <w:highlight w:val="none"/>
          <w:lang w:val="en-US" w:eastAsia="zh-CN"/>
        </w:rPr>
        <w:t>二、</w:t>
      </w:r>
      <w:r>
        <w:rPr>
          <w:rFonts w:hint="eastAsia" w:ascii="仿宋" w:hAnsi="仿宋" w:eastAsia="仿宋" w:cs="仿宋"/>
          <w:b/>
          <w:bCs/>
          <w:sz w:val="32"/>
          <w:szCs w:val="32"/>
          <w:highlight w:val="none"/>
        </w:rPr>
        <w:t>项目实施内容和范围</w:t>
      </w:r>
      <w:bookmarkEnd w:id="4"/>
      <w:bookmarkEnd w:id="5"/>
      <w:bookmarkEnd w:id="6"/>
      <w:bookmarkEnd w:id="7"/>
      <w:bookmarkEnd w:id="8"/>
      <w:bookmarkEnd w:id="9"/>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eastAsia="zh-CN"/>
        </w:rPr>
      </w:pPr>
      <w:bookmarkStart w:id="10" w:name="_Toc24391"/>
      <w:bookmarkStart w:id="11" w:name="_Toc17013"/>
      <w:bookmarkStart w:id="12" w:name="_Toc83631029"/>
      <w:bookmarkStart w:id="13" w:name="_Toc8527"/>
      <w:bookmarkStart w:id="14" w:name="_Toc1525"/>
      <w:bookmarkStart w:id="15" w:name="_Toc83630319"/>
      <w:r>
        <w:rPr>
          <w:rFonts w:hint="eastAsia" w:ascii="仿宋" w:hAnsi="仿宋" w:eastAsia="仿宋" w:cs="仿宋"/>
          <w:sz w:val="30"/>
          <w:szCs w:val="30"/>
          <w:highlight w:val="none"/>
          <w:lang w:eastAsia="zh-CN"/>
        </w:rPr>
        <w:t>（</w:t>
      </w:r>
      <w:r>
        <w:rPr>
          <w:rFonts w:hint="eastAsia" w:ascii="仿宋" w:hAnsi="仿宋" w:eastAsia="仿宋" w:cs="仿宋"/>
          <w:sz w:val="30"/>
          <w:szCs w:val="30"/>
          <w:highlight w:val="none"/>
          <w:lang w:val="en-US" w:eastAsia="zh-CN"/>
        </w:rPr>
        <w:t>一</w:t>
      </w:r>
      <w:r>
        <w:rPr>
          <w:rFonts w:hint="eastAsia" w:ascii="仿宋" w:hAnsi="仿宋" w:eastAsia="仿宋" w:cs="仿宋"/>
          <w:sz w:val="30"/>
          <w:szCs w:val="30"/>
          <w:highlight w:val="none"/>
          <w:lang w:eastAsia="zh-CN"/>
        </w:rPr>
        <w:t>）</w:t>
      </w:r>
      <w:r>
        <w:rPr>
          <w:rFonts w:hint="eastAsia" w:ascii="仿宋" w:hAnsi="仿宋" w:eastAsia="仿宋" w:cs="仿宋"/>
          <w:sz w:val="30"/>
          <w:szCs w:val="30"/>
          <w:highlight w:val="none"/>
          <w:lang w:val="en-US" w:eastAsia="zh-CN"/>
        </w:rPr>
        <w:t>项目承担部门：</w:t>
      </w:r>
      <w:r>
        <w:rPr>
          <w:rFonts w:hint="eastAsia" w:ascii="仿宋" w:hAnsi="仿宋" w:eastAsia="仿宋" w:cs="仿宋"/>
          <w:sz w:val="30"/>
          <w:szCs w:val="30"/>
          <w:highlight w:val="none"/>
          <w:lang w:eastAsia="zh-CN"/>
        </w:rPr>
        <w:t>曲阳县住房和城乡建设局</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eastAsia="zh-CN"/>
        </w:rPr>
        <w:t>（</w:t>
      </w:r>
      <w:r>
        <w:rPr>
          <w:rFonts w:hint="eastAsia" w:ascii="仿宋" w:hAnsi="仿宋" w:eastAsia="仿宋" w:cs="仿宋"/>
          <w:sz w:val="30"/>
          <w:szCs w:val="30"/>
          <w:highlight w:val="none"/>
          <w:lang w:val="en-US" w:eastAsia="zh-CN"/>
        </w:rPr>
        <w:t>二</w:t>
      </w:r>
      <w:r>
        <w:rPr>
          <w:rFonts w:hint="eastAsia" w:ascii="仿宋" w:hAnsi="仿宋" w:eastAsia="仿宋" w:cs="仿宋"/>
          <w:sz w:val="30"/>
          <w:szCs w:val="30"/>
          <w:highlight w:val="none"/>
          <w:lang w:eastAsia="zh-CN"/>
        </w:rPr>
        <w:t>）</w:t>
      </w:r>
      <w:r>
        <w:rPr>
          <w:rFonts w:hint="eastAsia" w:ascii="仿宋" w:hAnsi="仿宋" w:eastAsia="仿宋" w:cs="仿宋"/>
          <w:sz w:val="30"/>
          <w:szCs w:val="30"/>
          <w:highlight w:val="none"/>
          <w:lang w:val="en-US" w:eastAsia="zh-CN"/>
        </w:rPr>
        <w:t>项目实施主体：曲阳县住房和城乡建设局</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eastAsia="zh-CN"/>
        </w:rPr>
        <w:t>（</w:t>
      </w:r>
      <w:r>
        <w:rPr>
          <w:rFonts w:hint="eastAsia" w:ascii="仿宋" w:hAnsi="仿宋" w:eastAsia="仿宋" w:cs="仿宋"/>
          <w:sz w:val="30"/>
          <w:szCs w:val="30"/>
          <w:highlight w:val="none"/>
          <w:lang w:val="en-US" w:eastAsia="zh-CN"/>
        </w:rPr>
        <w:t>三</w:t>
      </w:r>
      <w:r>
        <w:rPr>
          <w:rFonts w:hint="eastAsia" w:ascii="仿宋" w:hAnsi="仿宋" w:eastAsia="仿宋" w:cs="仿宋"/>
          <w:sz w:val="30"/>
          <w:szCs w:val="30"/>
          <w:highlight w:val="none"/>
          <w:lang w:eastAsia="zh-CN"/>
        </w:rPr>
        <w:t>）项目建设地点:</w:t>
      </w:r>
      <w:r>
        <w:rPr>
          <w:rFonts w:hint="eastAsia" w:ascii="仿宋" w:hAnsi="仿宋" w:eastAsia="仿宋" w:cs="仿宋"/>
          <w:sz w:val="30"/>
          <w:szCs w:val="30"/>
          <w:highlight w:val="none"/>
          <w:lang w:val="en-US" w:eastAsia="zh-CN"/>
        </w:rPr>
        <w:t>曲阳县恒州镇东城社区、文昌社区、古城社区、点将台社区、天地嘉园社区、西城社区、钓鱼台社区等7个社区33个小区。</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eastAsia="zh-CN"/>
        </w:rPr>
        <w:t>（</w:t>
      </w:r>
      <w:r>
        <w:rPr>
          <w:rFonts w:hint="eastAsia" w:ascii="仿宋" w:hAnsi="仿宋" w:eastAsia="仿宋" w:cs="仿宋"/>
          <w:sz w:val="30"/>
          <w:szCs w:val="30"/>
          <w:highlight w:val="none"/>
          <w:lang w:val="en-US" w:eastAsia="zh-CN"/>
        </w:rPr>
        <w:t>四</w:t>
      </w:r>
      <w:r>
        <w:rPr>
          <w:rFonts w:hint="eastAsia" w:ascii="仿宋" w:hAnsi="仿宋" w:eastAsia="仿宋" w:cs="仿宋"/>
          <w:sz w:val="30"/>
          <w:szCs w:val="30"/>
          <w:highlight w:val="none"/>
          <w:lang w:eastAsia="zh-CN"/>
        </w:rPr>
        <w:t>）</w:t>
      </w:r>
      <w:r>
        <w:rPr>
          <w:rFonts w:hint="eastAsia" w:ascii="仿宋" w:hAnsi="仿宋" w:eastAsia="仿宋" w:cs="仿宋"/>
          <w:sz w:val="30"/>
          <w:szCs w:val="30"/>
          <w:highlight w:val="none"/>
          <w:lang w:val="en-US" w:eastAsia="zh-CN"/>
        </w:rPr>
        <w:t>建设内容及规模：该项目改造涉及2001至2005年建成的老旧小区共计33个，建筑面积36.4709万平方米，栋数95栋，户数2610户。</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改造项目主要包括小区外立面粉刷 227143㎡、楼梯间粉刷 97770㎡、屋面防水75452㎡、围墙粉刷17718.5㎡、小区游园 9900㎡、室外地面硬化66984㎡、大门门禁 30 套、完善路灯照明系统 254 套、安装电动自行车充电桩 195 套、电动汽车充电桩 175 套、新铺设给水管道 14542.4m，污水管道 18590.5m，雨水管道 21512.4m，增设微型消防站 225 个，及增设以健身器材、无障碍通道智能信报箱、垃圾桶等。</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（五）投资规模:项目估算总投资 11254.91万元，资金来源为申请专项债券和县级财政配套资金。</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（六）项目计划</w:t>
      </w:r>
      <w:r>
        <w:rPr>
          <w:rFonts w:hint="default" w:ascii="仿宋" w:hAnsi="仿宋" w:eastAsia="仿宋" w:cs="仿宋"/>
          <w:sz w:val="30"/>
          <w:szCs w:val="30"/>
          <w:highlight w:val="none"/>
          <w:lang w:val="en-US" w:eastAsia="zh-CN"/>
        </w:rPr>
        <w:t>建设期限:</w:t>
      </w:r>
      <w:r>
        <w:rPr>
          <w:rFonts w:hint="eastAsia" w:ascii="仿宋" w:hAnsi="仿宋" w:eastAsia="仿宋" w:cs="仿宋"/>
          <w:sz w:val="30"/>
          <w:szCs w:val="30"/>
          <w:highlight w:val="none"/>
          <w:lang w:val="en-US" w:eastAsia="zh-CN"/>
        </w:rPr>
        <w:t>2022年6月28日签订的项目施工合同显示计划工期为2022年7月1日至2023年2月25日（240日历天），2023年2月20日签订施工合同补充协议将竣工日期顺延至2023年6月30日。</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（七）项目绩效目标：</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1、完善基础设施、提升环境质量、对破损房屋进行整修和完善技防、消防设施。</w:t>
      </w:r>
    </w:p>
    <w:p>
      <w:pPr>
        <w:pageBreakBefore w:val="0"/>
        <w:kinsoku/>
        <w:wordWrap/>
        <w:overflowPunct/>
        <w:topLinePunct w:val="0"/>
        <w:autoSpaceDE/>
        <w:autoSpaceDN/>
        <w:bidi w:val="0"/>
        <w:adjustRightInd/>
        <w:snapToGrid/>
        <w:spacing w:line="560" w:lineRule="exact"/>
        <w:ind w:firstLine="600" w:firstLineChars="200"/>
        <w:rPr>
          <w:rFonts w:hint="default"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2、带动其他行业的发展，增加当地财政收入、促进国民经济发展。</w:t>
      </w:r>
    </w:p>
    <w:p>
      <w:pPr>
        <w:pageBreakBefore w:val="0"/>
        <w:kinsoku/>
        <w:wordWrap/>
        <w:overflowPunct/>
        <w:topLinePunct w:val="0"/>
        <w:autoSpaceDE/>
        <w:autoSpaceDN/>
        <w:bidi w:val="0"/>
        <w:adjustRightInd/>
        <w:snapToGrid/>
        <w:spacing w:line="560" w:lineRule="exact"/>
        <w:ind w:firstLine="643" w:firstLineChars="200"/>
        <w:rPr>
          <w:rFonts w:hint="eastAsia" w:ascii="仿宋" w:hAnsi="仿宋" w:eastAsia="仿宋" w:cs="仿宋"/>
          <w:b/>
          <w:bCs/>
          <w:sz w:val="32"/>
          <w:szCs w:val="32"/>
          <w:highlight w:val="none"/>
          <w:lang w:val="en-US" w:eastAsia="zh-CN"/>
        </w:rPr>
      </w:pPr>
      <w:r>
        <w:rPr>
          <w:rFonts w:hint="eastAsia" w:ascii="仿宋" w:hAnsi="仿宋" w:eastAsia="仿宋" w:cs="仿宋"/>
          <w:b/>
          <w:bCs/>
          <w:sz w:val="32"/>
          <w:szCs w:val="32"/>
          <w:highlight w:val="none"/>
          <w:lang w:val="en-US" w:eastAsia="zh-CN"/>
        </w:rPr>
        <w:t>三、项目资金使用情况</w:t>
      </w:r>
      <w:bookmarkEnd w:id="10"/>
      <w:bookmarkEnd w:id="11"/>
      <w:bookmarkEnd w:id="12"/>
      <w:bookmarkEnd w:id="13"/>
      <w:bookmarkEnd w:id="14"/>
      <w:bookmarkEnd w:id="15"/>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该项目于2022年5月完成项目立项，于2022年6月开展项目建设。</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该项目2022年度共安排专项债券资金5000.00万元</w:t>
      </w:r>
      <w:r>
        <w:rPr>
          <w:rFonts w:hint="eastAsia" w:ascii="仿宋" w:hAnsi="仿宋" w:eastAsia="仿宋" w:cs="仿宋"/>
          <w:sz w:val="30"/>
          <w:szCs w:val="30"/>
          <w:highlight w:val="none"/>
          <w:lang w:eastAsia="zh-CN"/>
        </w:rPr>
        <w:t>，</w:t>
      </w:r>
      <w:r>
        <w:rPr>
          <w:rFonts w:hint="eastAsia" w:ascii="仿宋" w:hAnsi="仿宋" w:eastAsia="仿宋" w:cs="仿宋"/>
          <w:sz w:val="30"/>
          <w:szCs w:val="30"/>
          <w:highlight w:val="none"/>
          <w:lang w:val="en-US" w:eastAsia="zh-CN"/>
        </w:rPr>
        <w:t>累计支出金额5000.00万元</w:t>
      </w:r>
      <w:r>
        <w:rPr>
          <w:rFonts w:hint="eastAsia" w:ascii="仿宋" w:hAnsi="仿宋" w:eastAsia="仿宋" w:cs="仿宋"/>
          <w:sz w:val="30"/>
          <w:szCs w:val="30"/>
          <w:highlight w:val="none"/>
          <w:lang w:eastAsia="zh-CN"/>
        </w:rPr>
        <w:t>，</w:t>
      </w:r>
      <w:r>
        <w:rPr>
          <w:rFonts w:hint="eastAsia" w:ascii="仿宋" w:hAnsi="仿宋" w:eastAsia="仿宋" w:cs="仿宋"/>
          <w:sz w:val="30"/>
          <w:szCs w:val="30"/>
          <w:highlight w:val="none"/>
          <w:lang w:val="en-US" w:eastAsia="zh-CN"/>
        </w:rPr>
        <w:t>结余资金0.00</w:t>
      </w:r>
      <w:r>
        <w:rPr>
          <w:rFonts w:hint="eastAsia" w:ascii="仿宋" w:hAnsi="仿宋" w:eastAsia="仿宋" w:cs="仿宋"/>
          <w:sz w:val="30"/>
          <w:szCs w:val="30"/>
          <w:highlight w:val="none"/>
          <w:lang w:eastAsia="zh-CN"/>
        </w:rPr>
        <w:t>万元</w:t>
      </w:r>
      <w:r>
        <w:rPr>
          <w:rFonts w:hint="eastAsia" w:ascii="仿宋" w:hAnsi="仿宋" w:eastAsia="仿宋" w:cs="仿宋"/>
          <w:sz w:val="30"/>
          <w:szCs w:val="30"/>
          <w:highlight w:val="none"/>
          <w:lang w:val="en-US" w:eastAsia="zh-CN"/>
        </w:rPr>
        <w:t>。</w:t>
      </w:r>
      <w:r>
        <w:rPr>
          <w:rFonts w:hint="eastAsia" w:ascii="仿宋" w:hAnsi="仿宋" w:eastAsia="仿宋" w:cs="仿宋"/>
          <w:b w:val="0"/>
          <w:bCs w:val="0"/>
          <w:sz w:val="30"/>
          <w:szCs w:val="30"/>
          <w:highlight w:val="none"/>
          <w:lang w:val="en-US" w:eastAsia="zh-CN"/>
        </w:rPr>
        <w:t>具体见下表：</w:t>
      </w:r>
    </w:p>
    <w:p>
      <w:pPr>
        <w:pageBreakBefore w:val="0"/>
        <w:kinsoku/>
        <w:wordWrap/>
        <w:overflowPunct/>
        <w:topLinePunct w:val="0"/>
        <w:autoSpaceDE/>
        <w:autoSpaceDN/>
        <w:bidi w:val="0"/>
        <w:adjustRightInd/>
        <w:snapToGrid/>
        <w:spacing w:line="560" w:lineRule="exact"/>
        <w:jc w:val="center"/>
        <w:rPr>
          <w:rFonts w:hint="eastAsia" w:ascii="仿宋_GB2312" w:eastAsia="仿宋_GB2312" w:cs="Times New Roman"/>
          <w:b w:val="0"/>
          <w:bCs w:val="0"/>
          <w:color w:val="000000"/>
          <w:sz w:val="24"/>
          <w:szCs w:val="24"/>
          <w:highlight w:val="none"/>
        </w:rPr>
      </w:pPr>
      <w:r>
        <w:rPr>
          <w:rFonts w:hint="eastAsia" w:ascii="仿宋_GB2312" w:eastAsia="仿宋_GB2312" w:cs="Times New Roman"/>
          <w:b w:val="0"/>
          <w:bCs w:val="0"/>
          <w:color w:val="000000"/>
          <w:sz w:val="24"/>
          <w:szCs w:val="24"/>
          <w:highlight w:val="none"/>
        </w:rPr>
        <w:t xml:space="preserve"> </w:t>
      </w:r>
      <w:r>
        <w:rPr>
          <w:rFonts w:hint="eastAsia" w:ascii="仿宋" w:hAnsi="仿宋" w:eastAsia="仿宋" w:cs="仿宋"/>
          <w:sz w:val="30"/>
          <w:szCs w:val="30"/>
          <w:highlight w:val="none"/>
          <w:lang w:val="en-US" w:eastAsia="zh-CN"/>
        </w:rPr>
        <w:t>曲阳县住房和城乡建设局孟良河治理项目支出明细表</w:t>
      </w:r>
      <w:r>
        <w:rPr>
          <w:rFonts w:hint="eastAsia" w:ascii="仿宋_GB2312" w:eastAsia="仿宋_GB2312" w:cs="Times New Roman"/>
          <w:b w:val="0"/>
          <w:bCs w:val="0"/>
          <w:color w:val="000000"/>
          <w:sz w:val="24"/>
          <w:szCs w:val="24"/>
          <w:highlight w:val="none"/>
        </w:rPr>
        <w:t xml:space="preserve">                                                     </w:t>
      </w:r>
    </w:p>
    <w:p>
      <w:pPr>
        <w:widowControl/>
        <w:spacing w:line="560" w:lineRule="exact"/>
        <w:jc w:val="center"/>
        <w:textAlignment w:val="center"/>
        <w:rPr>
          <w:rFonts w:ascii="仿宋_GB2312" w:eastAsia="仿宋_GB2312" w:cs="Times New Roman"/>
          <w:b w:val="0"/>
          <w:bCs w:val="0"/>
          <w:color w:val="000000"/>
          <w:sz w:val="24"/>
          <w:szCs w:val="24"/>
          <w:highlight w:val="none"/>
        </w:rPr>
      </w:pPr>
      <w:r>
        <w:rPr>
          <w:rFonts w:hint="eastAsia" w:ascii="仿宋_GB2312" w:eastAsia="仿宋_GB2312" w:cs="Times New Roman"/>
          <w:b w:val="0"/>
          <w:bCs w:val="0"/>
          <w:color w:val="000000"/>
          <w:sz w:val="24"/>
          <w:szCs w:val="24"/>
          <w:highlight w:val="none"/>
          <w:lang w:val="en-US" w:eastAsia="zh-CN"/>
        </w:rPr>
        <w:t xml:space="preserve">                                                                     </w:t>
      </w:r>
      <w:r>
        <w:rPr>
          <w:rFonts w:hint="eastAsia" w:ascii="仿宋_GB2312" w:eastAsia="仿宋_GB2312" w:cs="Times New Roman"/>
          <w:b w:val="0"/>
          <w:bCs w:val="0"/>
          <w:color w:val="000000"/>
          <w:sz w:val="24"/>
          <w:szCs w:val="24"/>
          <w:highlight w:val="none"/>
        </w:rPr>
        <w:t xml:space="preserve">  单位：万元</w:t>
      </w:r>
    </w:p>
    <w:tbl>
      <w:tblPr>
        <w:tblStyle w:val="18"/>
        <w:tblW w:w="9785" w:type="dxa"/>
        <w:tblInd w:w="60" w:type="dxa"/>
        <w:tblLayout w:type="fixed"/>
        <w:tblCellMar>
          <w:top w:w="0" w:type="dxa"/>
          <w:left w:w="108" w:type="dxa"/>
          <w:bottom w:w="0" w:type="dxa"/>
          <w:right w:w="108" w:type="dxa"/>
        </w:tblCellMar>
      </w:tblPr>
      <w:tblGrid>
        <w:gridCol w:w="800"/>
        <w:gridCol w:w="2375"/>
        <w:gridCol w:w="4265"/>
        <w:gridCol w:w="2345"/>
      </w:tblGrid>
      <w:tr>
        <w:tblPrEx>
          <w:tblCellMar>
            <w:top w:w="0" w:type="dxa"/>
            <w:left w:w="108" w:type="dxa"/>
            <w:bottom w:w="0" w:type="dxa"/>
            <w:right w:w="108" w:type="dxa"/>
          </w:tblCellMar>
        </w:tblPrEx>
        <w:trPr>
          <w:trHeight w:val="632" w:hRule="atLeast"/>
        </w:trPr>
        <w:tc>
          <w:tcPr>
            <w:tcW w:w="800" w:type="dxa"/>
            <w:tcBorders>
              <w:top w:val="single" w:color="auto" w:sz="4" w:space="0"/>
              <w:left w:val="single" w:color="auto" w:sz="4" w:space="0"/>
              <w:bottom w:val="single" w:color="auto" w:sz="4" w:space="0"/>
              <w:right w:val="single" w:color="auto" w:sz="4" w:space="0"/>
            </w:tcBorders>
            <w:noWrap/>
            <w:vAlign w:val="center"/>
          </w:tcPr>
          <w:p>
            <w:pPr>
              <w:widowControl/>
              <w:jc w:val="center"/>
              <w:rPr>
                <w:rFonts w:hint="default" w:ascii="仿宋_GB2312" w:eastAsia="仿宋_GB2312" w:cs="Times New Roman"/>
                <w:b/>
                <w:bCs/>
                <w:color w:val="000000"/>
                <w:sz w:val="24"/>
                <w:szCs w:val="24"/>
                <w:highlight w:val="none"/>
                <w:lang w:val="en-US" w:eastAsia="zh-CN"/>
              </w:rPr>
            </w:pPr>
            <w:r>
              <w:rPr>
                <w:rFonts w:hint="eastAsia" w:ascii="仿宋_GB2312" w:eastAsia="仿宋_GB2312" w:cs="Times New Roman"/>
                <w:b/>
                <w:bCs/>
                <w:color w:val="000000"/>
                <w:sz w:val="24"/>
                <w:szCs w:val="24"/>
                <w:highlight w:val="none"/>
                <w:lang w:val="en-US" w:eastAsia="zh-CN"/>
              </w:rPr>
              <w:t>序号</w:t>
            </w:r>
          </w:p>
        </w:tc>
        <w:tc>
          <w:tcPr>
            <w:tcW w:w="2375" w:type="dxa"/>
            <w:tcBorders>
              <w:top w:val="single" w:color="auto" w:sz="4" w:space="0"/>
              <w:left w:val="nil"/>
              <w:bottom w:val="single" w:color="auto" w:sz="4" w:space="0"/>
              <w:right w:val="single" w:color="auto" w:sz="4" w:space="0"/>
            </w:tcBorders>
            <w:noWrap/>
            <w:vAlign w:val="center"/>
          </w:tcPr>
          <w:p>
            <w:pPr>
              <w:widowControl/>
              <w:jc w:val="center"/>
              <w:rPr>
                <w:rFonts w:hint="eastAsia" w:ascii="仿宋_GB2312" w:eastAsia="仿宋_GB2312" w:cs="Times New Roman"/>
                <w:b/>
                <w:bCs/>
                <w:color w:val="000000"/>
                <w:sz w:val="24"/>
                <w:szCs w:val="24"/>
                <w:highlight w:val="none"/>
                <w:lang w:val="en-US" w:eastAsia="zh-CN"/>
              </w:rPr>
            </w:pPr>
            <w:r>
              <w:rPr>
                <w:rFonts w:hint="eastAsia" w:ascii="仿宋_GB2312" w:eastAsia="仿宋_GB2312" w:cs="Times New Roman"/>
                <w:b/>
                <w:bCs/>
                <w:color w:val="000000"/>
                <w:sz w:val="24"/>
                <w:szCs w:val="24"/>
                <w:highlight w:val="none"/>
                <w:lang w:val="en-US" w:eastAsia="zh-CN"/>
              </w:rPr>
              <w:t>内容</w:t>
            </w:r>
          </w:p>
        </w:tc>
        <w:tc>
          <w:tcPr>
            <w:tcW w:w="4265" w:type="dxa"/>
            <w:tcBorders>
              <w:top w:val="single" w:color="auto" w:sz="4" w:space="0"/>
              <w:left w:val="nil"/>
              <w:bottom w:val="single" w:color="auto" w:sz="4" w:space="0"/>
              <w:right w:val="single" w:color="auto" w:sz="4" w:space="0"/>
            </w:tcBorders>
            <w:noWrap/>
            <w:vAlign w:val="center"/>
          </w:tcPr>
          <w:p>
            <w:pPr>
              <w:widowControl/>
              <w:jc w:val="center"/>
              <w:rPr>
                <w:rFonts w:hint="eastAsia" w:ascii="仿宋_GB2312" w:eastAsia="仿宋_GB2312" w:cs="Times New Roman"/>
                <w:b/>
                <w:bCs/>
                <w:color w:val="000000"/>
                <w:sz w:val="24"/>
                <w:szCs w:val="24"/>
                <w:highlight w:val="none"/>
                <w:lang w:val="en-US" w:eastAsia="zh-CN"/>
              </w:rPr>
            </w:pPr>
            <w:r>
              <w:rPr>
                <w:rFonts w:hint="eastAsia" w:ascii="仿宋_GB2312" w:eastAsia="仿宋_GB2312" w:cs="Times New Roman"/>
                <w:b/>
                <w:bCs/>
                <w:color w:val="000000"/>
                <w:sz w:val="24"/>
                <w:szCs w:val="24"/>
                <w:highlight w:val="none"/>
                <w:lang w:val="en-US" w:eastAsia="zh-CN"/>
              </w:rPr>
              <w:t>公司名称</w:t>
            </w:r>
          </w:p>
        </w:tc>
        <w:tc>
          <w:tcPr>
            <w:tcW w:w="2345" w:type="dxa"/>
            <w:tcBorders>
              <w:top w:val="single" w:color="auto" w:sz="4" w:space="0"/>
              <w:left w:val="nil"/>
              <w:bottom w:val="single" w:color="auto" w:sz="4" w:space="0"/>
              <w:right w:val="single" w:color="auto" w:sz="4" w:space="0"/>
            </w:tcBorders>
            <w:noWrap/>
            <w:vAlign w:val="center"/>
          </w:tcPr>
          <w:p>
            <w:pPr>
              <w:widowControl/>
              <w:jc w:val="center"/>
              <w:rPr>
                <w:rFonts w:hint="eastAsia" w:ascii="仿宋_GB2312" w:eastAsia="仿宋_GB2312" w:cs="Times New Roman"/>
                <w:b/>
                <w:bCs/>
                <w:color w:val="000000"/>
                <w:sz w:val="24"/>
                <w:szCs w:val="24"/>
                <w:highlight w:val="none"/>
                <w:lang w:val="en-US" w:eastAsia="zh-CN"/>
              </w:rPr>
            </w:pPr>
            <w:r>
              <w:rPr>
                <w:rFonts w:hint="eastAsia" w:ascii="仿宋_GB2312" w:eastAsia="仿宋_GB2312" w:cs="Times New Roman"/>
                <w:b/>
                <w:bCs/>
                <w:color w:val="000000"/>
                <w:sz w:val="24"/>
                <w:szCs w:val="24"/>
                <w:highlight w:val="none"/>
                <w:lang w:val="en-US" w:eastAsia="zh-CN"/>
              </w:rPr>
              <w:t>累计支付金额</w:t>
            </w:r>
          </w:p>
        </w:tc>
      </w:tr>
      <w:tr>
        <w:tblPrEx>
          <w:tblCellMar>
            <w:top w:w="0" w:type="dxa"/>
            <w:left w:w="108" w:type="dxa"/>
            <w:bottom w:w="0" w:type="dxa"/>
            <w:right w:w="108" w:type="dxa"/>
          </w:tblCellMar>
        </w:tblPrEx>
        <w:trPr>
          <w:trHeight w:val="632" w:hRule="atLeast"/>
        </w:trPr>
        <w:tc>
          <w:tcPr>
            <w:tcW w:w="800" w:type="dxa"/>
            <w:tcBorders>
              <w:top w:val="single" w:color="auto" w:sz="4" w:space="0"/>
              <w:left w:val="single" w:color="auto" w:sz="4" w:space="0"/>
              <w:bottom w:val="single" w:color="auto" w:sz="4" w:space="0"/>
              <w:right w:val="single" w:color="auto" w:sz="4" w:space="0"/>
            </w:tcBorders>
            <w:noWrap/>
            <w:vAlign w:val="center"/>
          </w:tcPr>
          <w:p>
            <w:pPr>
              <w:keepNext w:val="0"/>
              <w:keepLines w:val="0"/>
              <w:widowControl/>
              <w:suppressLineNumbers w:val="0"/>
              <w:jc w:val="center"/>
              <w:textAlignment w:val="center"/>
              <w:rPr>
                <w:rFonts w:hint="default" w:ascii="仿宋_GB2312" w:eastAsia="仿宋_GB2312" w:cs="Times New Roman"/>
                <w:b/>
                <w:bCs/>
                <w:color w:val="000000"/>
                <w:sz w:val="24"/>
                <w:szCs w:val="24"/>
                <w:highlight w:val="none"/>
                <w:lang w:val="en-US" w:eastAsia="zh-CN"/>
              </w:rPr>
            </w:pPr>
            <w:r>
              <w:rPr>
                <w:rFonts w:hint="eastAsia" w:ascii="宋体" w:hAnsi="宋体" w:eastAsia="宋体" w:cs="宋体"/>
                <w:b/>
                <w:bCs/>
                <w:i w:val="0"/>
                <w:iCs w:val="0"/>
                <w:color w:val="000000"/>
                <w:kern w:val="0"/>
                <w:sz w:val="22"/>
                <w:szCs w:val="22"/>
                <w:highlight w:val="none"/>
                <w:u w:val="none"/>
                <w:lang w:val="en-US" w:eastAsia="zh-CN" w:bidi="ar"/>
              </w:rPr>
              <w:t>1</w:t>
            </w:r>
          </w:p>
        </w:tc>
        <w:tc>
          <w:tcPr>
            <w:tcW w:w="2375" w:type="dxa"/>
            <w:tcBorders>
              <w:top w:val="single" w:color="auto" w:sz="4" w:space="0"/>
              <w:left w:val="nil"/>
              <w:bottom w:val="single" w:color="auto" w:sz="4" w:space="0"/>
              <w:right w:val="single" w:color="auto" w:sz="4" w:space="0"/>
            </w:tcBorders>
            <w:noWrap/>
            <w:vAlign w:val="center"/>
          </w:tcPr>
          <w:p>
            <w:pPr>
              <w:keepNext w:val="0"/>
              <w:keepLines w:val="0"/>
              <w:widowControl/>
              <w:suppressLineNumbers w:val="0"/>
              <w:jc w:val="center"/>
              <w:textAlignment w:val="center"/>
              <w:rPr>
                <w:rFonts w:hint="default" w:ascii="仿宋_GB2312" w:eastAsia="仿宋_GB2312" w:cs="Times New Roman"/>
                <w:b w:val="0"/>
                <w:bCs w:val="0"/>
                <w:color w:val="000000"/>
                <w:sz w:val="24"/>
                <w:szCs w:val="24"/>
                <w:highlight w:val="none"/>
                <w:lang w:val="en-US" w:eastAsia="zh-CN"/>
              </w:rPr>
            </w:pPr>
            <w:r>
              <w:rPr>
                <w:rFonts w:hint="eastAsia" w:ascii="宋体" w:hAnsi="宋体" w:eastAsia="宋体" w:cs="宋体"/>
                <w:i w:val="0"/>
                <w:iCs w:val="0"/>
                <w:color w:val="000000"/>
                <w:kern w:val="0"/>
                <w:sz w:val="22"/>
                <w:szCs w:val="22"/>
                <w:highlight w:val="none"/>
                <w:u w:val="none"/>
                <w:lang w:val="en-US" w:eastAsia="zh-CN" w:bidi="ar"/>
              </w:rPr>
              <w:t>工程款</w:t>
            </w:r>
          </w:p>
        </w:tc>
        <w:tc>
          <w:tcPr>
            <w:tcW w:w="4265" w:type="dxa"/>
            <w:tcBorders>
              <w:top w:val="single" w:color="auto" w:sz="4" w:space="0"/>
              <w:left w:val="nil"/>
              <w:bottom w:val="single" w:color="auto" w:sz="4" w:space="0"/>
              <w:right w:val="single" w:color="auto" w:sz="4" w:space="0"/>
            </w:tcBorders>
            <w:noWrap/>
            <w:vAlign w:val="center"/>
          </w:tcPr>
          <w:p>
            <w:pPr>
              <w:keepNext w:val="0"/>
              <w:keepLines w:val="0"/>
              <w:widowControl/>
              <w:suppressLineNumbers w:val="0"/>
              <w:jc w:val="center"/>
              <w:textAlignment w:val="center"/>
              <w:rPr>
                <w:rFonts w:hint="default" w:ascii="仿宋_GB2312" w:eastAsia="仿宋_GB2312" w:cs="Times New Roman"/>
                <w:b w:val="0"/>
                <w:bCs w:val="0"/>
                <w:color w:val="000000"/>
                <w:sz w:val="24"/>
                <w:szCs w:val="24"/>
                <w:highlight w:val="none"/>
                <w:lang w:val="en-US" w:eastAsia="zh-CN"/>
              </w:rPr>
            </w:pPr>
            <w:r>
              <w:rPr>
                <w:rFonts w:hint="eastAsia" w:ascii="宋体" w:hAnsi="宋体" w:cs="宋体"/>
                <w:i w:val="0"/>
                <w:iCs w:val="0"/>
                <w:color w:val="000000"/>
                <w:kern w:val="0"/>
                <w:sz w:val="22"/>
                <w:szCs w:val="22"/>
                <w:highlight w:val="none"/>
                <w:u w:val="none"/>
                <w:lang w:val="en-US" w:eastAsia="zh-CN" w:bidi="ar"/>
              </w:rPr>
              <w:t>河北北岳建筑装饰工程有限公司</w:t>
            </w:r>
          </w:p>
        </w:tc>
        <w:tc>
          <w:tcPr>
            <w:tcW w:w="2345" w:type="dxa"/>
            <w:tcBorders>
              <w:top w:val="single" w:color="auto" w:sz="4" w:space="0"/>
              <w:left w:val="nil"/>
              <w:bottom w:val="single" w:color="auto" w:sz="4" w:space="0"/>
              <w:right w:val="single" w:color="auto" w:sz="4" w:space="0"/>
            </w:tcBorders>
            <w:noWrap/>
            <w:vAlign w:val="center"/>
          </w:tcPr>
          <w:p>
            <w:pPr>
              <w:keepNext w:val="0"/>
              <w:keepLines w:val="0"/>
              <w:widowControl/>
              <w:suppressLineNumbers w:val="0"/>
              <w:jc w:val="center"/>
              <w:textAlignment w:val="center"/>
              <w:rPr>
                <w:rFonts w:hint="default" w:ascii="仿宋_GB2312" w:eastAsia="仿宋_GB2312" w:cs="Times New Roman"/>
                <w:b w:val="0"/>
                <w:bCs w:val="0"/>
                <w:color w:val="000000"/>
                <w:sz w:val="24"/>
                <w:szCs w:val="24"/>
                <w:highlight w:val="none"/>
                <w:lang w:val="en-US" w:eastAsia="zh-CN"/>
              </w:rPr>
            </w:pPr>
            <w:r>
              <w:rPr>
                <w:rFonts w:hint="eastAsia" w:ascii="宋体" w:hAnsi="宋体" w:cs="宋体"/>
                <w:i w:val="0"/>
                <w:iCs w:val="0"/>
                <w:color w:val="000000"/>
                <w:kern w:val="0"/>
                <w:sz w:val="22"/>
                <w:szCs w:val="22"/>
                <w:highlight w:val="none"/>
                <w:u w:val="none"/>
                <w:lang w:val="en-US" w:eastAsia="zh-CN" w:bidi="ar"/>
              </w:rPr>
              <w:t>5000.00</w:t>
            </w:r>
          </w:p>
        </w:tc>
      </w:tr>
      <w:tr>
        <w:tblPrEx>
          <w:tblCellMar>
            <w:top w:w="0" w:type="dxa"/>
            <w:left w:w="108" w:type="dxa"/>
            <w:bottom w:w="0" w:type="dxa"/>
            <w:right w:w="108" w:type="dxa"/>
          </w:tblCellMar>
        </w:tblPrEx>
        <w:trPr>
          <w:trHeight w:val="686" w:hRule="atLeast"/>
        </w:trPr>
        <w:tc>
          <w:tcPr>
            <w:tcW w:w="800" w:type="dxa"/>
            <w:tcBorders>
              <w:top w:val="single" w:color="auto" w:sz="4" w:space="0"/>
              <w:left w:val="single" w:color="auto" w:sz="4" w:space="0"/>
              <w:bottom w:val="single" w:color="auto" w:sz="4" w:space="0"/>
              <w:right w:val="single" w:color="auto" w:sz="4" w:space="0"/>
            </w:tcBorders>
            <w:noWrap/>
            <w:vAlign w:val="center"/>
          </w:tcPr>
          <w:p>
            <w:pPr>
              <w:rPr>
                <w:rFonts w:hint="eastAsia" w:ascii="仿宋_GB2312" w:eastAsia="仿宋_GB2312" w:cs="Times New Roman"/>
                <w:b w:val="0"/>
                <w:bCs w:val="0"/>
                <w:color w:val="000000"/>
                <w:sz w:val="24"/>
                <w:szCs w:val="24"/>
                <w:highlight w:val="none"/>
              </w:rPr>
            </w:pPr>
          </w:p>
        </w:tc>
        <w:tc>
          <w:tcPr>
            <w:tcW w:w="2375" w:type="dxa"/>
            <w:tcBorders>
              <w:top w:val="single" w:color="auto" w:sz="4" w:space="0"/>
              <w:left w:val="single" w:color="auto" w:sz="4" w:space="0"/>
              <w:bottom w:val="single" w:color="auto" w:sz="4" w:space="0"/>
              <w:right w:val="single" w:color="auto" w:sz="4" w:space="0"/>
            </w:tcBorders>
            <w:noWrap/>
            <w:vAlign w:val="center"/>
          </w:tcPr>
          <w:p>
            <w:pPr>
              <w:keepNext w:val="0"/>
              <w:keepLines w:val="0"/>
              <w:widowControl/>
              <w:suppressLineNumbers w:val="0"/>
              <w:jc w:val="center"/>
              <w:textAlignment w:val="center"/>
              <w:rPr>
                <w:rFonts w:hint="eastAsia" w:ascii="仿宋_GB2312" w:hAnsi="Times New Roman" w:eastAsia="仿宋_GB2312" w:cs="Times New Roman"/>
                <w:b/>
                <w:bCs/>
                <w:color w:val="000000"/>
                <w:kern w:val="2"/>
                <w:sz w:val="24"/>
                <w:szCs w:val="24"/>
                <w:highlight w:val="none"/>
                <w:lang w:val="en-US" w:eastAsia="zh-CN" w:bidi="ar-SA"/>
              </w:rPr>
            </w:pPr>
            <w:r>
              <w:rPr>
                <w:rFonts w:hint="eastAsia" w:ascii="仿宋_GB2312" w:eastAsia="仿宋_GB2312" w:cs="Times New Roman"/>
                <w:b/>
                <w:bCs/>
                <w:color w:val="000000"/>
                <w:sz w:val="24"/>
                <w:szCs w:val="24"/>
                <w:highlight w:val="none"/>
                <w:lang w:val="en-US" w:eastAsia="zh-CN"/>
              </w:rPr>
              <w:t>合计</w:t>
            </w:r>
          </w:p>
        </w:tc>
        <w:tc>
          <w:tcPr>
            <w:tcW w:w="4265" w:type="dxa"/>
            <w:tcBorders>
              <w:top w:val="single" w:color="auto" w:sz="4" w:space="0"/>
              <w:left w:val="single" w:color="auto" w:sz="4" w:space="0"/>
              <w:bottom w:val="single" w:color="auto" w:sz="4" w:space="0"/>
              <w:right w:val="single" w:color="auto" w:sz="4" w:space="0"/>
            </w:tcBorders>
            <w:noWrap/>
            <w:vAlign w:val="center"/>
          </w:tcPr>
          <w:p>
            <w:pPr>
              <w:keepNext w:val="0"/>
              <w:keepLines w:val="0"/>
              <w:widowControl/>
              <w:suppressLineNumbers w:val="0"/>
              <w:jc w:val="center"/>
              <w:textAlignment w:val="center"/>
              <w:rPr>
                <w:rFonts w:hint="default" w:ascii="仿宋_GB2312" w:hAnsi="宋体" w:eastAsia="仿宋_GB2312" w:cs="仿宋_GB2312"/>
                <w:b/>
                <w:bCs/>
                <w:i w:val="0"/>
                <w:iCs w:val="0"/>
                <w:color w:val="000000"/>
                <w:kern w:val="0"/>
                <w:sz w:val="24"/>
                <w:szCs w:val="24"/>
                <w:highlight w:val="none"/>
                <w:u w:val="none"/>
                <w:lang w:val="en-US" w:eastAsia="zh-CN" w:bidi="ar"/>
              </w:rPr>
            </w:pPr>
          </w:p>
        </w:tc>
        <w:tc>
          <w:tcPr>
            <w:tcW w:w="2345" w:type="dxa"/>
            <w:tcBorders>
              <w:top w:val="single" w:color="auto" w:sz="4" w:space="0"/>
              <w:left w:val="single" w:color="auto" w:sz="4" w:space="0"/>
              <w:bottom w:val="single" w:color="auto" w:sz="4" w:space="0"/>
              <w:right w:val="single" w:color="auto" w:sz="4" w:space="0"/>
            </w:tcBorders>
            <w:noWrap/>
            <w:vAlign w:val="center"/>
          </w:tcPr>
          <w:p>
            <w:pPr>
              <w:keepNext w:val="0"/>
              <w:keepLines w:val="0"/>
              <w:widowControl/>
              <w:suppressLineNumbers w:val="0"/>
              <w:jc w:val="center"/>
              <w:textAlignment w:val="center"/>
              <w:rPr>
                <w:rFonts w:hint="default" w:ascii="仿宋_GB2312" w:hAnsi="宋体" w:eastAsia="仿宋_GB2312" w:cs="仿宋_GB2312"/>
                <w:b/>
                <w:bCs/>
                <w:i w:val="0"/>
                <w:iCs w:val="0"/>
                <w:color w:val="000000"/>
                <w:kern w:val="0"/>
                <w:sz w:val="24"/>
                <w:szCs w:val="24"/>
                <w:highlight w:val="none"/>
                <w:u w:val="none"/>
                <w:lang w:val="en-US" w:eastAsia="zh-CN" w:bidi="ar"/>
              </w:rPr>
            </w:pPr>
            <w:r>
              <w:rPr>
                <w:rFonts w:hint="eastAsia" w:ascii="仿宋_GB2312" w:hAnsi="宋体" w:eastAsia="仿宋_GB2312" w:cs="仿宋_GB2312"/>
                <w:b/>
                <w:bCs/>
                <w:i w:val="0"/>
                <w:iCs w:val="0"/>
                <w:color w:val="000000"/>
                <w:kern w:val="0"/>
                <w:sz w:val="24"/>
                <w:szCs w:val="24"/>
                <w:highlight w:val="none"/>
                <w:u w:val="none"/>
                <w:lang w:val="en-US" w:eastAsia="zh-CN" w:bidi="ar"/>
              </w:rPr>
              <w:t>5000.00</w:t>
            </w:r>
          </w:p>
        </w:tc>
      </w:tr>
    </w:tbl>
    <w:p>
      <w:pPr>
        <w:pStyle w:val="2"/>
        <w:rPr>
          <w:rFonts w:hint="eastAsia"/>
          <w:highlight w:val="none"/>
          <w:lang w:val="en-US" w:eastAsia="zh-CN"/>
        </w:rPr>
      </w:pP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根据曲阳县人民政府《关于2022年政府专项债券限额使用及项目安排的报告》〔2022〕曲府77号文件显示，安排曲阳县老旧小区改造项目专项债券资金5000.00万元，预算下达到曲阳县住房和城乡建设局，并由曲阳县住房和城乡建设局进行集中支付。</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2022年度，该项目共计收到专项债券资金5000.00万元，实际支出5000.00万元,全部为工程款支出。收支明细详见下表：</w:t>
      </w:r>
    </w:p>
    <w:p>
      <w:pPr>
        <w:pageBreakBefore w:val="0"/>
        <w:kinsoku/>
        <w:wordWrap/>
        <w:overflowPunct/>
        <w:topLinePunct w:val="0"/>
        <w:autoSpaceDE/>
        <w:autoSpaceDN/>
        <w:bidi w:val="0"/>
        <w:adjustRightInd/>
        <w:snapToGrid/>
        <w:spacing w:line="560" w:lineRule="exact"/>
        <w:jc w:val="center"/>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专项债券资金收支明细表</w:t>
      </w:r>
    </w:p>
    <w:p>
      <w:pPr>
        <w:pStyle w:val="36"/>
        <w:tabs>
          <w:tab w:val="left" w:pos="312"/>
        </w:tabs>
        <w:spacing w:line="560" w:lineRule="exact"/>
        <w:ind w:left="120" w:firstLine="440"/>
        <w:jc w:val="right"/>
        <w:rPr>
          <w:rFonts w:hint="eastAsia" w:ascii="仿宋" w:hAnsi="仿宋" w:eastAsia="仿宋" w:cs="仿宋"/>
          <w:sz w:val="24"/>
          <w:szCs w:val="24"/>
          <w:highlight w:val="none"/>
        </w:rPr>
      </w:pPr>
      <w:r>
        <w:rPr>
          <w:rFonts w:hint="eastAsia" w:ascii="仿宋" w:hAnsi="仿宋" w:eastAsia="仿宋" w:cs="仿宋"/>
          <w:bCs/>
          <w:kern w:val="0"/>
          <w:sz w:val="24"/>
          <w:szCs w:val="24"/>
          <w:highlight w:val="none"/>
        </w:rPr>
        <w:t>单位：万元</w:t>
      </w:r>
    </w:p>
    <w:tbl>
      <w:tblPr>
        <w:tblStyle w:val="19"/>
        <w:tblW w:w="9757" w:type="dxa"/>
        <w:tblInd w:w="12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79"/>
        <w:gridCol w:w="1736"/>
        <w:gridCol w:w="1905"/>
        <w:gridCol w:w="1306"/>
        <w:gridCol w:w="1623"/>
        <w:gridCol w:w="18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trPr>
        <w:tc>
          <w:tcPr>
            <w:tcW w:w="5020" w:type="dxa"/>
            <w:gridSpan w:val="3"/>
            <w:vAlign w:val="center"/>
          </w:tcPr>
          <w:p>
            <w:pPr>
              <w:keepNext w:val="0"/>
              <w:keepLines w:val="0"/>
              <w:widowControl/>
              <w:suppressLineNumbers w:val="0"/>
              <w:jc w:val="center"/>
              <w:textAlignment w:val="center"/>
              <w:rPr>
                <w:rFonts w:hint="eastAsia" w:ascii="仿宋" w:hAnsi="仿宋" w:eastAsia="仿宋" w:cs="仿宋"/>
                <w:kern w:val="0"/>
                <w:sz w:val="22"/>
                <w:szCs w:val="22"/>
                <w:highlight w:val="none"/>
              </w:rPr>
            </w:pPr>
            <w:r>
              <w:rPr>
                <w:rFonts w:hint="eastAsia" w:ascii="仿宋" w:hAnsi="仿宋" w:eastAsia="仿宋" w:cs="仿宋"/>
                <w:b/>
                <w:bCs/>
                <w:i w:val="0"/>
                <w:iCs w:val="0"/>
                <w:color w:val="000000"/>
                <w:kern w:val="0"/>
                <w:sz w:val="22"/>
                <w:szCs w:val="22"/>
                <w:highlight w:val="none"/>
                <w:u w:val="none"/>
                <w:lang w:val="en-US" w:eastAsia="zh-CN" w:bidi="ar"/>
              </w:rPr>
              <w:t>收入</w:t>
            </w:r>
          </w:p>
        </w:tc>
        <w:tc>
          <w:tcPr>
            <w:tcW w:w="4737" w:type="dxa"/>
            <w:gridSpan w:val="3"/>
            <w:vAlign w:val="center"/>
          </w:tcPr>
          <w:p>
            <w:pPr>
              <w:keepNext w:val="0"/>
              <w:keepLines w:val="0"/>
              <w:widowControl/>
              <w:suppressLineNumbers w:val="0"/>
              <w:jc w:val="center"/>
              <w:textAlignment w:val="center"/>
              <w:rPr>
                <w:rFonts w:hint="eastAsia" w:ascii="仿宋" w:hAnsi="仿宋" w:eastAsia="仿宋" w:cs="仿宋"/>
                <w:kern w:val="0"/>
                <w:sz w:val="22"/>
                <w:szCs w:val="22"/>
                <w:highlight w:val="none"/>
              </w:rPr>
            </w:pPr>
            <w:r>
              <w:rPr>
                <w:rFonts w:hint="eastAsia" w:ascii="仿宋" w:hAnsi="仿宋" w:eastAsia="仿宋" w:cs="仿宋"/>
                <w:b/>
                <w:bCs/>
                <w:i w:val="0"/>
                <w:iCs w:val="0"/>
                <w:color w:val="000000"/>
                <w:kern w:val="0"/>
                <w:sz w:val="22"/>
                <w:szCs w:val="22"/>
                <w:highlight w:val="none"/>
                <w:u w:val="none"/>
                <w:lang w:val="en-US" w:eastAsia="zh-CN" w:bidi="ar"/>
              </w:rPr>
              <w:t>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trPr>
        <w:tc>
          <w:tcPr>
            <w:tcW w:w="1379" w:type="dxa"/>
            <w:vAlign w:val="center"/>
          </w:tcPr>
          <w:p>
            <w:pPr>
              <w:keepNext w:val="0"/>
              <w:keepLines w:val="0"/>
              <w:widowControl/>
              <w:suppressLineNumbers w:val="0"/>
              <w:jc w:val="center"/>
              <w:textAlignment w:val="center"/>
              <w:rPr>
                <w:rFonts w:hint="eastAsia" w:ascii="仿宋" w:hAnsi="仿宋" w:eastAsia="仿宋" w:cs="仿宋"/>
                <w:kern w:val="0"/>
                <w:sz w:val="22"/>
                <w:szCs w:val="22"/>
                <w:highlight w:val="none"/>
              </w:rPr>
            </w:pPr>
            <w:r>
              <w:rPr>
                <w:rFonts w:hint="eastAsia" w:ascii="仿宋" w:hAnsi="仿宋" w:eastAsia="仿宋" w:cs="仿宋"/>
                <w:i w:val="0"/>
                <w:iCs w:val="0"/>
                <w:color w:val="000000"/>
                <w:kern w:val="0"/>
                <w:sz w:val="22"/>
                <w:szCs w:val="22"/>
                <w:highlight w:val="none"/>
                <w:u w:val="none"/>
                <w:lang w:val="en-US" w:eastAsia="zh-CN" w:bidi="ar"/>
              </w:rPr>
              <w:t>名称</w:t>
            </w:r>
          </w:p>
        </w:tc>
        <w:tc>
          <w:tcPr>
            <w:tcW w:w="1736" w:type="dxa"/>
            <w:vAlign w:val="center"/>
          </w:tcPr>
          <w:p>
            <w:pPr>
              <w:keepNext w:val="0"/>
              <w:keepLines w:val="0"/>
              <w:widowControl/>
              <w:suppressLineNumbers w:val="0"/>
              <w:jc w:val="center"/>
              <w:textAlignment w:val="center"/>
              <w:rPr>
                <w:rFonts w:hint="eastAsia" w:ascii="仿宋" w:hAnsi="仿宋" w:eastAsia="仿宋" w:cs="仿宋"/>
                <w:kern w:val="0"/>
                <w:sz w:val="22"/>
                <w:szCs w:val="22"/>
                <w:highlight w:val="none"/>
              </w:rPr>
            </w:pPr>
            <w:r>
              <w:rPr>
                <w:rFonts w:hint="eastAsia" w:ascii="仿宋" w:hAnsi="仿宋" w:eastAsia="仿宋" w:cs="仿宋"/>
                <w:i w:val="0"/>
                <w:iCs w:val="0"/>
                <w:color w:val="000000"/>
                <w:kern w:val="0"/>
                <w:sz w:val="22"/>
                <w:szCs w:val="22"/>
                <w:highlight w:val="none"/>
                <w:u w:val="none"/>
                <w:lang w:val="en-US" w:eastAsia="zh-CN" w:bidi="ar"/>
              </w:rPr>
              <w:t>日期</w:t>
            </w:r>
          </w:p>
        </w:tc>
        <w:tc>
          <w:tcPr>
            <w:tcW w:w="1905" w:type="dxa"/>
            <w:vAlign w:val="center"/>
          </w:tcPr>
          <w:p>
            <w:pPr>
              <w:keepNext w:val="0"/>
              <w:keepLines w:val="0"/>
              <w:widowControl/>
              <w:suppressLineNumbers w:val="0"/>
              <w:jc w:val="center"/>
              <w:textAlignment w:val="center"/>
              <w:rPr>
                <w:rFonts w:hint="eastAsia" w:ascii="仿宋" w:hAnsi="仿宋" w:eastAsia="仿宋" w:cs="仿宋"/>
                <w:kern w:val="0"/>
                <w:sz w:val="22"/>
                <w:szCs w:val="22"/>
                <w:highlight w:val="none"/>
              </w:rPr>
            </w:pPr>
            <w:r>
              <w:rPr>
                <w:rFonts w:hint="eastAsia" w:ascii="仿宋" w:hAnsi="仿宋" w:eastAsia="仿宋" w:cs="仿宋"/>
                <w:i w:val="0"/>
                <w:iCs w:val="0"/>
                <w:color w:val="000000"/>
                <w:kern w:val="0"/>
                <w:sz w:val="22"/>
                <w:szCs w:val="22"/>
                <w:highlight w:val="none"/>
                <w:u w:val="none"/>
                <w:lang w:val="en-US" w:eastAsia="zh-CN" w:bidi="ar"/>
              </w:rPr>
              <w:t>金额</w:t>
            </w:r>
          </w:p>
        </w:tc>
        <w:tc>
          <w:tcPr>
            <w:tcW w:w="1306" w:type="dxa"/>
            <w:vAlign w:val="center"/>
          </w:tcPr>
          <w:p>
            <w:pPr>
              <w:keepNext w:val="0"/>
              <w:keepLines w:val="0"/>
              <w:widowControl/>
              <w:suppressLineNumbers w:val="0"/>
              <w:jc w:val="center"/>
              <w:textAlignment w:val="center"/>
              <w:rPr>
                <w:rFonts w:hint="eastAsia" w:ascii="仿宋" w:hAnsi="仿宋" w:eastAsia="仿宋" w:cs="仿宋"/>
                <w:kern w:val="0"/>
                <w:sz w:val="22"/>
                <w:szCs w:val="22"/>
                <w:highlight w:val="none"/>
              </w:rPr>
            </w:pPr>
            <w:r>
              <w:rPr>
                <w:rFonts w:hint="eastAsia" w:ascii="仿宋" w:hAnsi="仿宋" w:eastAsia="仿宋" w:cs="仿宋"/>
                <w:i w:val="0"/>
                <w:iCs w:val="0"/>
                <w:color w:val="000000"/>
                <w:kern w:val="0"/>
                <w:sz w:val="22"/>
                <w:szCs w:val="22"/>
                <w:highlight w:val="none"/>
                <w:u w:val="none"/>
                <w:lang w:val="en-US" w:eastAsia="zh-CN" w:bidi="ar"/>
              </w:rPr>
              <w:t>名称</w:t>
            </w:r>
          </w:p>
        </w:tc>
        <w:tc>
          <w:tcPr>
            <w:tcW w:w="1623" w:type="dxa"/>
            <w:vAlign w:val="center"/>
          </w:tcPr>
          <w:p>
            <w:pPr>
              <w:keepNext w:val="0"/>
              <w:keepLines w:val="0"/>
              <w:widowControl/>
              <w:suppressLineNumbers w:val="0"/>
              <w:jc w:val="center"/>
              <w:textAlignment w:val="center"/>
              <w:rPr>
                <w:rFonts w:hint="eastAsia" w:ascii="仿宋" w:hAnsi="仿宋" w:eastAsia="仿宋" w:cs="仿宋"/>
                <w:kern w:val="0"/>
                <w:sz w:val="22"/>
                <w:szCs w:val="22"/>
                <w:highlight w:val="none"/>
              </w:rPr>
            </w:pPr>
            <w:r>
              <w:rPr>
                <w:rFonts w:hint="eastAsia" w:ascii="仿宋" w:hAnsi="仿宋" w:eastAsia="仿宋" w:cs="仿宋"/>
                <w:i w:val="0"/>
                <w:iCs w:val="0"/>
                <w:color w:val="000000"/>
                <w:kern w:val="0"/>
                <w:sz w:val="22"/>
                <w:szCs w:val="22"/>
                <w:highlight w:val="none"/>
                <w:u w:val="none"/>
                <w:lang w:val="en-US" w:eastAsia="zh-CN" w:bidi="ar"/>
              </w:rPr>
              <w:t>日期</w:t>
            </w:r>
          </w:p>
        </w:tc>
        <w:tc>
          <w:tcPr>
            <w:tcW w:w="1808" w:type="dxa"/>
            <w:vAlign w:val="center"/>
          </w:tcPr>
          <w:p>
            <w:pPr>
              <w:keepNext w:val="0"/>
              <w:keepLines w:val="0"/>
              <w:widowControl/>
              <w:suppressLineNumbers w:val="0"/>
              <w:jc w:val="center"/>
              <w:textAlignment w:val="center"/>
              <w:rPr>
                <w:rFonts w:hint="eastAsia" w:ascii="仿宋" w:hAnsi="仿宋" w:eastAsia="仿宋" w:cs="仿宋"/>
                <w:kern w:val="0"/>
                <w:sz w:val="22"/>
                <w:szCs w:val="22"/>
                <w:highlight w:val="none"/>
              </w:rPr>
            </w:pPr>
            <w:r>
              <w:rPr>
                <w:rFonts w:hint="eastAsia" w:ascii="仿宋" w:hAnsi="仿宋" w:eastAsia="仿宋" w:cs="仿宋"/>
                <w:i w:val="0"/>
                <w:iCs w:val="0"/>
                <w:color w:val="000000"/>
                <w:kern w:val="0"/>
                <w:sz w:val="22"/>
                <w:szCs w:val="22"/>
                <w:highlight w:val="none"/>
                <w:u w:val="none"/>
                <w:lang w:val="en-US" w:eastAsia="zh-CN" w:bidi="ar"/>
              </w:rPr>
              <w:t>金额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trPr>
        <w:tc>
          <w:tcPr>
            <w:tcW w:w="1379" w:type="dxa"/>
            <w:vMerge w:val="restart"/>
            <w:vAlign w:val="center"/>
          </w:tcPr>
          <w:p>
            <w:pPr>
              <w:keepNext w:val="0"/>
              <w:keepLines w:val="0"/>
              <w:widowControl/>
              <w:suppressLineNumbers w:val="0"/>
              <w:jc w:val="center"/>
              <w:textAlignment w:val="center"/>
              <w:rPr>
                <w:rFonts w:hint="default" w:ascii="仿宋" w:hAnsi="仿宋" w:eastAsia="仿宋" w:cs="仿宋"/>
                <w:kern w:val="0"/>
                <w:sz w:val="22"/>
                <w:szCs w:val="22"/>
                <w:highlight w:val="none"/>
                <w:lang w:val="en-US"/>
              </w:rPr>
            </w:pPr>
            <w:r>
              <w:rPr>
                <w:rFonts w:hint="eastAsia" w:ascii="仿宋" w:hAnsi="仿宋" w:eastAsia="仿宋" w:cs="仿宋"/>
                <w:i w:val="0"/>
                <w:iCs w:val="0"/>
                <w:color w:val="000000"/>
                <w:kern w:val="0"/>
                <w:sz w:val="22"/>
                <w:szCs w:val="22"/>
                <w:highlight w:val="none"/>
                <w:u w:val="none"/>
                <w:lang w:val="en-US" w:eastAsia="zh-CN" w:bidi="ar"/>
              </w:rPr>
              <w:t>专项债券资金</w:t>
            </w:r>
          </w:p>
        </w:tc>
        <w:tc>
          <w:tcPr>
            <w:tcW w:w="1736" w:type="dxa"/>
            <w:vAlign w:val="center"/>
          </w:tcPr>
          <w:p>
            <w:pPr>
              <w:keepNext w:val="0"/>
              <w:keepLines w:val="0"/>
              <w:widowControl/>
              <w:suppressLineNumbers w:val="0"/>
              <w:jc w:val="center"/>
              <w:textAlignment w:val="center"/>
              <w:rPr>
                <w:rFonts w:hint="default" w:ascii="仿宋" w:hAnsi="仿宋" w:eastAsia="仿宋" w:cs="仿宋"/>
                <w:kern w:val="0"/>
                <w:sz w:val="22"/>
                <w:szCs w:val="22"/>
                <w:highlight w:val="none"/>
                <w:lang w:val="en-US"/>
              </w:rPr>
            </w:pPr>
            <w:r>
              <w:rPr>
                <w:rFonts w:hint="eastAsia" w:ascii="仿宋" w:hAnsi="仿宋" w:eastAsia="仿宋" w:cs="仿宋"/>
                <w:i w:val="0"/>
                <w:iCs w:val="0"/>
                <w:color w:val="000000"/>
                <w:kern w:val="0"/>
                <w:sz w:val="22"/>
                <w:szCs w:val="22"/>
                <w:highlight w:val="none"/>
                <w:u w:val="none"/>
                <w:lang w:val="en-US" w:eastAsia="zh-CN" w:bidi="ar"/>
              </w:rPr>
              <w:t>2022.6.30</w:t>
            </w:r>
          </w:p>
        </w:tc>
        <w:tc>
          <w:tcPr>
            <w:tcW w:w="1905" w:type="dxa"/>
            <w:vAlign w:val="center"/>
          </w:tcPr>
          <w:p>
            <w:pPr>
              <w:keepNext w:val="0"/>
              <w:keepLines w:val="0"/>
              <w:widowControl/>
              <w:suppressLineNumbers w:val="0"/>
              <w:jc w:val="center"/>
              <w:textAlignment w:val="center"/>
              <w:rPr>
                <w:rFonts w:hint="default" w:ascii="仿宋" w:hAnsi="仿宋" w:eastAsia="仿宋" w:cs="仿宋"/>
                <w:kern w:val="0"/>
                <w:sz w:val="22"/>
                <w:szCs w:val="22"/>
                <w:highlight w:val="none"/>
                <w:lang w:val="en-US"/>
              </w:rPr>
            </w:pPr>
            <w:r>
              <w:rPr>
                <w:rFonts w:hint="eastAsia" w:ascii="仿宋" w:hAnsi="仿宋" w:eastAsia="仿宋" w:cs="仿宋"/>
                <w:i w:val="0"/>
                <w:iCs w:val="0"/>
                <w:color w:val="000000"/>
                <w:kern w:val="0"/>
                <w:sz w:val="22"/>
                <w:szCs w:val="22"/>
                <w:highlight w:val="none"/>
                <w:u w:val="none"/>
                <w:lang w:val="en-US" w:eastAsia="zh-CN" w:bidi="ar"/>
              </w:rPr>
              <w:t>2,612.49</w:t>
            </w:r>
          </w:p>
        </w:tc>
        <w:tc>
          <w:tcPr>
            <w:tcW w:w="1306" w:type="dxa"/>
            <w:vMerge w:val="restart"/>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付工程款</w:t>
            </w:r>
          </w:p>
        </w:tc>
        <w:tc>
          <w:tcPr>
            <w:tcW w:w="1623" w:type="dxa"/>
            <w:vAlign w:val="center"/>
          </w:tcPr>
          <w:p>
            <w:pPr>
              <w:keepNext w:val="0"/>
              <w:keepLines w:val="0"/>
              <w:widowControl/>
              <w:suppressLineNumbers w:val="0"/>
              <w:jc w:val="center"/>
              <w:textAlignment w:val="center"/>
              <w:rPr>
                <w:rFonts w:hint="eastAsia" w:ascii="仿宋" w:hAnsi="仿宋" w:eastAsia="仿宋" w:cs="仿宋"/>
                <w:kern w:val="0"/>
                <w:sz w:val="22"/>
                <w:szCs w:val="22"/>
                <w:highlight w:val="none"/>
              </w:rPr>
            </w:pPr>
            <w:r>
              <w:rPr>
                <w:rFonts w:hint="eastAsia" w:ascii="仿宋" w:hAnsi="仿宋" w:eastAsia="仿宋" w:cs="仿宋"/>
                <w:i w:val="0"/>
                <w:iCs w:val="0"/>
                <w:color w:val="000000"/>
                <w:kern w:val="0"/>
                <w:sz w:val="22"/>
                <w:szCs w:val="22"/>
                <w:highlight w:val="none"/>
                <w:u w:val="none"/>
                <w:lang w:val="en-US" w:eastAsia="zh-CN" w:bidi="ar"/>
              </w:rPr>
              <w:t>2022.6.30</w:t>
            </w:r>
          </w:p>
        </w:tc>
        <w:tc>
          <w:tcPr>
            <w:tcW w:w="1808" w:type="dxa"/>
            <w:vAlign w:val="center"/>
          </w:tcPr>
          <w:p>
            <w:pPr>
              <w:keepNext w:val="0"/>
              <w:keepLines w:val="0"/>
              <w:widowControl/>
              <w:suppressLineNumbers w:val="0"/>
              <w:jc w:val="center"/>
              <w:textAlignment w:val="center"/>
              <w:rPr>
                <w:rFonts w:hint="eastAsia" w:ascii="仿宋" w:hAnsi="仿宋" w:eastAsia="仿宋" w:cs="仿宋"/>
                <w:kern w:val="0"/>
                <w:sz w:val="22"/>
                <w:szCs w:val="22"/>
                <w:highlight w:val="none"/>
              </w:rPr>
            </w:pPr>
            <w:r>
              <w:rPr>
                <w:rFonts w:hint="eastAsia" w:ascii="仿宋" w:hAnsi="仿宋" w:eastAsia="仿宋" w:cs="仿宋"/>
                <w:i w:val="0"/>
                <w:iCs w:val="0"/>
                <w:color w:val="000000"/>
                <w:kern w:val="0"/>
                <w:sz w:val="22"/>
                <w:szCs w:val="22"/>
                <w:highlight w:val="none"/>
                <w:u w:val="none"/>
                <w:lang w:val="en-US" w:eastAsia="zh-CN" w:bidi="ar"/>
              </w:rPr>
              <w:t>2,612.49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trPr>
        <w:tc>
          <w:tcPr>
            <w:tcW w:w="1379" w:type="dxa"/>
            <w:vMerge w:val="continue"/>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2"/>
                <w:szCs w:val="22"/>
                <w:highlight w:val="none"/>
                <w:u w:val="none"/>
                <w:lang w:val="en-US" w:eastAsia="zh-CN" w:bidi="ar"/>
              </w:rPr>
            </w:pPr>
          </w:p>
        </w:tc>
        <w:tc>
          <w:tcPr>
            <w:tcW w:w="1736" w:type="dxa"/>
            <w:vAlign w:val="center"/>
          </w:tcPr>
          <w:p>
            <w:pPr>
              <w:keepNext w:val="0"/>
              <w:keepLines w:val="0"/>
              <w:widowControl/>
              <w:suppressLineNumbers w:val="0"/>
              <w:jc w:val="center"/>
              <w:textAlignment w:val="center"/>
              <w:rPr>
                <w:rFonts w:hint="default"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2022.8.25</w:t>
            </w:r>
          </w:p>
        </w:tc>
        <w:tc>
          <w:tcPr>
            <w:tcW w:w="1905" w:type="dxa"/>
            <w:vAlign w:val="center"/>
          </w:tcPr>
          <w:p>
            <w:pPr>
              <w:keepNext w:val="0"/>
              <w:keepLines w:val="0"/>
              <w:widowControl/>
              <w:suppressLineNumbers w:val="0"/>
              <w:jc w:val="center"/>
              <w:textAlignment w:val="center"/>
              <w:rPr>
                <w:rFonts w:hint="default"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2,387.51</w:t>
            </w:r>
          </w:p>
        </w:tc>
        <w:tc>
          <w:tcPr>
            <w:tcW w:w="1306" w:type="dxa"/>
            <w:vMerge w:val="continue"/>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2"/>
                <w:szCs w:val="22"/>
                <w:highlight w:val="none"/>
                <w:u w:val="none"/>
                <w:lang w:val="en-US" w:eastAsia="zh-CN" w:bidi="ar"/>
              </w:rPr>
            </w:pPr>
          </w:p>
        </w:tc>
        <w:tc>
          <w:tcPr>
            <w:tcW w:w="1623" w:type="dxa"/>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2022.8.25</w:t>
            </w:r>
          </w:p>
        </w:tc>
        <w:tc>
          <w:tcPr>
            <w:tcW w:w="1808" w:type="dxa"/>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2"/>
                <w:szCs w:val="22"/>
                <w:highlight w:val="none"/>
                <w:u w:val="none"/>
                <w:lang w:val="en-US" w:eastAsia="zh-CN" w:bidi="ar"/>
              </w:rPr>
            </w:pPr>
            <w:r>
              <w:rPr>
                <w:rFonts w:hint="eastAsia" w:ascii="仿宋" w:hAnsi="仿宋" w:eastAsia="仿宋" w:cs="仿宋"/>
                <w:i w:val="0"/>
                <w:iCs w:val="0"/>
                <w:color w:val="000000"/>
                <w:kern w:val="0"/>
                <w:sz w:val="22"/>
                <w:szCs w:val="22"/>
                <w:highlight w:val="none"/>
                <w:u w:val="none"/>
                <w:lang w:val="en-US" w:eastAsia="zh-CN" w:bidi="ar"/>
              </w:rPr>
              <w:t>2,387.51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trPr>
        <w:tc>
          <w:tcPr>
            <w:tcW w:w="3115" w:type="dxa"/>
            <w:gridSpan w:val="2"/>
            <w:vAlign w:val="center"/>
          </w:tcPr>
          <w:p>
            <w:pPr>
              <w:keepNext w:val="0"/>
              <w:keepLines w:val="0"/>
              <w:widowControl/>
              <w:suppressLineNumbers w:val="0"/>
              <w:jc w:val="center"/>
              <w:textAlignment w:val="center"/>
              <w:rPr>
                <w:rFonts w:hint="eastAsia" w:ascii="仿宋_GB2312" w:hAnsi="Times New Roman" w:eastAsia="仿宋_GB2312" w:cs="Times New Roman"/>
                <w:b/>
                <w:bCs/>
                <w:color w:val="000000"/>
                <w:sz w:val="24"/>
                <w:szCs w:val="24"/>
                <w:highlight w:val="none"/>
                <w:lang w:val="en-US" w:eastAsia="zh-CN"/>
              </w:rPr>
            </w:pPr>
            <w:r>
              <w:rPr>
                <w:rFonts w:hint="eastAsia" w:ascii="仿宋_GB2312" w:hAnsi="Times New Roman" w:eastAsia="仿宋_GB2312" w:cs="Times New Roman"/>
                <w:b/>
                <w:bCs/>
                <w:color w:val="000000"/>
                <w:sz w:val="24"/>
                <w:szCs w:val="24"/>
                <w:highlight w:val="none"/>
                <w:lang w:val="en-US" w:eastAsia="zh-CN"/>
              </w:rPr>
              <w:t>合计</w:t>
            </w:r>
          </w:p>
        </w:tc>
        <w:tc>
          <w:tcPr>
            <w:tcW w:w="1905" w:type="dxa"/>
            <w:vAlign w:val="center"/>
          </w:tcPr>
          <w:p>
            <w:pPr>
              <w:keepNext w:val="0"/>
              <w:keepLines w:val="0"/>
              <w:widowControl/>
              <w:suppressLineNumbers w:val="0"/>
              <w:jc w:val="center"/>
              <w:textAlignment w:val="center"/>
              <w:rPr>
                <w:rFonts w:hint="eastAsia" w:ascii="仿宋_GB2312" w:hAnsi="Times New Roman" w:eastAsia="仿宋_GB2312" w:cs="Times New Roman"/>
                <w:b/>
                <w:bCs/>
                <w:color w:val="000000"/>
                <w:sz w:val="24"/>
                <w:szCs w:val="24"/>
                <w:highlight w:val="none"/>
                <w:lang w:val="en-US" w:eastAsia="zh-CN"/>
              </w:rPr>
            </w:pPr>
            <w:r>
              <w:rPr>
                <w:rFonts w:hint="eastAsia" w:ascii="仿宋_GB2312" w:hAnsi="Times New Roman" w:eastAsia="仿宋_GB2312" w:cs="Times New Roman"/>
                <w:b/>
                <w:bCs/>
                <w:color w:val="000000"/>
                <w:sz w:val="24"/>
                <w:szCs w:val="24"/>
                <w:highlight w:val="none"/>
                <w:lang w:val="en-US" w:eastAsia="zh-CN"/>
              </w:rPr>
              <w:t xml:space="preserve"> </w:t>
            </w:r>
            <w:r>
              <w:rPr>
                <w:rFonts w:hint="eastAsia" w:ascii="仿宋_GB2312" w:eastAsia="仿宋_GB2312" w:cs="Times New Roman"/>
                <w:b/>
                <w:bCs/>
                <w:color w:val="000000"/>
                <w:sz w:val="24"/>
                <w:szCs w:val="24"/>
                <w:highlight w:val="none"/>
                <w:lang w:val="en-US" w:eastAsia="zh-CN"/>
              </w:rPr>
              <w:t>5,000.00</w:t>
            </w:r>
          </w:p>
        </w:tc>
        <w:tc>
          <w:tcPr>
            <w:tcW w:w="2929" w:type="dxa"/>
            <w:gridSpan w:val="2"/>
            <w:vAlign w:val="center"/>
          </w:tcPr>
          <w:p>
            <w:pPr>
              <w:keepNext w:val="0"/>
              <w:keepLines w:val="0"/>
              <w:widowControl/>
              <w:suppressLineNumbers w:val="0"/>
              <w:jc w:val="center"/>
              <w:textAlignment w:val="center"/>
              <w:rPr>
                <w:rFonts w:hint="eastAsia" w:ascii="仿宋_GB2312" w:hAnsi="Times New Roman" w:eastAsia="仿宋_GB2312" w:cs="Times New Roman"/>
                <w:b/>
                <w:bCs/>
                <w:color w:val="000000"/>
                <w:sz w:val="24"/>
                <w:szCs w:val="24"/>
                <w:highlight w:val="none"/>
                <w:lang w:val="en-US" w:eastAsia="zh-CN"/>
              </w:rPr>
            </w:pPr>
            <w:r>
              <w:rPr>
                <w:rFonts w:hint="eastAsia" w:ascii="仿宋_GB2312" w:hAnsi="Times New Roman" w:eastAsia="仿宋_GB2312" w:cs="Times New Roman"/>
                <w:b/>
                <w:bCs/>
                <w:color w:val="000000"/>
                <w:sz w:val="24"/>
                <w:szCs w:val="24"/>
                <w:highlight w:val="none"/>
                <w:lang w:val="en-US" w:eastAsia="zh-CN"/>
              </w:rPr>
              <w:t>合计</w:t>
            </w:r>
          </w:p>
        </w:tc>
        <w:tc>
          <w:tcPr>
            <w:tcW w:w="1808" w:type="dxa"/>
            <w:vAlign w:val="center"/>
          </w:tcPr>
          <w:p>
            <w:pPr>
              <w:keepNext w:val="0"/>
              <w:keepLines w:val="0"/>
              <w:widowControl/>
              <w:suppressLineNumbers w:val="0"/>
              <w:jc w:val="center"/>
              <w:textAlignment w:val="center"/>
              <w:rPr>
                <w:rFonts w:hint="eastAsia" w:ascii="仿宋_GB2312" w:hAnsi="Times New Roman" w:eastAsia="仿宋_GB2312" w:cs="Times New Roman"/>
                <w:b/>
                <w:bCs/>
                <w:color w:val="000000"/>
                <w:sz w:val="24"/>
                <w:szCs w:val="24"/>
                <w:highlight w:val="none"/>
                <w:lang w:val="en-US" w:eastAsia="zh-CN"/>
              </w:rPr>
            </w:pPr>
            <w:r>
              <w:rPr>
                <w:rFonts w:hint="eastAsia" w:ascii="仿宋_GB2312" w:hAnsi="Times New Roman" w:eastAsia="仿宋_GB2312" w:cs="Times New Roman"/>
                <w:b/>
                <w:bCs/>
                <w:color w:val="000000"/>
                <w:sz w:val="24"/>
                <w:szCs w:val="24"/>
                <w:highlight w:val="none"/>
                <w:lang w:val="en-US" w:eastAsia="zh-CN"/>
              </w:rPr>
              <w:t xml:space="preserve"> </w:t>
            </w:r>
            <w:r>
              <w:rPr>
                <w:rFonts w:hint="eastAsia" w:ascii="仿宋_GB2312" w:eastAsia="仿宋_GB2312" w:cs="Times New Roman"/>
                <w:b/>
                <w:bCs/>
                <w:color w:val="000000"/>
                <w:sz w:val="24"/>
                <w:szCs w:val="24"/>
                <w:highlight w:val="none"/>
                <w:lang w:val="en-US" w:eastAsia="zh-CN"/>
              </w:rPr>
              <w:t>5,000.00</w:t>
            </w:r>
          </w:p>
        </w:tc>
      </w:tr>
    </w:tbl>
    <w:p>
      <w:pPr>
        <w:pStyle w:val="2"/>
        <w:ind w:left="0" w:leftChars="0" w:firstLine="0" w:firstLineChars="0"/>
        <w:rPr>
          <w:rFonts w:hint="eastAsia"/>
          <w:highlight w:val="none"/>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60" w:lineRule="atLeast"/>
        <w:ind w:left="562" w:leftChars="0"/>
        <w:jc w:val="left"/>
        <w:textAlignment w:val="auto"/>
        <w:rPr>
          <w:rFonts w:hint="eastAsia" w:ascii="仿宋" w:hAnsi="仿宋" w:eastAsia="仿宋" w:cs="仿宋"/>
          <w:b/>
          <w:bCs/>
          <w:sz w:val="30"/>
          <w:szCs w:val="30"/>
          <w:highlight w:val="none"/>
          <w:lang w:val="en-US" w:eastAsia="zh-CN"/>
        </w:rPr>
      </w:pPr>
      <w:bookmarkStart w:id="16" w:name="_Toc21403"/>
      <w:bookmarkStart w:id="17" w:name="_Toc14351"/>
      <w:bookmarkStart w:id="18" w:name="_Toc83631030"/>
      <w:bookmarkStart w:id="19" w:name="_Toc83630320"/>
      <w:bookmarkStart w:id="20" w:name="_Toc18734"/>
      <w:bookmarkStart w:id="21" w:name="_Toc21592"/>
      <w:r>
        <w:rPr>
          <w:rFonts w:hint="eastAsia" w:ascii="仿宋" w:hAnsi="仿宋" w:eastAsia="仿宋" w:cs="仿宋"/>
          <w:b/>
          <w:bCs/>
          <w:sz w:val="30"/>
          <w:szCs w:val="30"/>
          <w:highlight w:val="none"/>
          <w:lang w:val="en-US" w:eastAsia="zh-CN"/>
        </w:rPr>
        <w:t>四、绩效评估工作开展情况</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（一）绩效评估目的</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为了进一步强化部门支出责任，提高部门绩效意识，优化资源配置，控制节约成本，切实提供项目资金管理水平和使用效益，及时掌握项目在执行过程中产生的效果和存在的不足，特别是在资金使用方面，将评估结果与当年预算安排挂钩，作为预算合法有效执行的重要保障，并作为完善政策、分配资金、改善管理的重要依据。</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lang w:eastAsia="zh-CN"/>
        </w:rPr>
        <w:t>绩效评估设计过程</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lang w:val="en-US" w:eastAsia="zh-CN"/>
        </w:rPr>
        <w:t>1</w:t>
      </w:r>
      <w:r>
        <w:rPr>
          <w:rFonts w:hint="eastAsia" w:ascii="仿宋" w:hAnsi="仿宋" w:eastAsia="仿宋" w:cs="仿宋"/>
          <w:sz w:val="30"/>
          <w:szCs w:val="30"/>
          <w:highlight w:val="none"/>
          <w:lang w:eastAsia="zh-CN"/>
        </w:rPr>
        <w:t>.收集资料</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lang w:eastAsia="zh-CN"/>
        </w:rPr>
        <w:t>工作组在项目实施单位收集、整理被评估项目基础资料及相关信息，对项目情况进行初步了解。</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lang w:val="en-US" w:eastAsia="zh-CN"/>
        </w:rPr>
        <w:t>2</w:t>
      </w:r>
      <w:r>
        <w:rPr>
          <w:rFonts w:hint="eastAsia" w:ascii="仿宋" w:hAnsi="仿宋" w:eastAsia="仿宋" w:cs="仿宋"/>
          <w:sz w:val="30"/>
          <w:szCs w:val="30"/>
          <w:highlight w:val="none"/>
          <w:lang w:eastAsia="zh-CN"/>
        </w:rPr>
        <w:t>.绩效评估具体实施</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lang w:eastAsia="zh-CN"/>
        </w:rPr>
        <w:t>我们通过查看项目相关政策文件，项目</w:t>
      </w:r>
      <w:r>
        <w:rPr>
          <w:rFonts w:hint="eastAsia" w:ascii="仿宋" w:hAnsi="仿宋" w:eastAsia="仿宋" w:cs="仿宋"/>
          <w:sz w:val="30"/>
          <w:szCs w:val="30"/>
          <w:highlight w:val="none"/>
          <w:lang w:val="en-US" w:eastAsia="zh-CN"/>
        </w:rPr>
        <w:t>的相关管理制度</w:t>
      </w:r>
      <w:r>
        <w:rPr>
          <w:rFonts w:hint="eastAsia" w:ascii="仿宋" w:hAnsi="仿宋" w:eastAsia="仿宋" w:cs="仿宋"/>
          <w:sz w:val="30"/>
          <w:szCs w:val="30"/>
          <w:highlight w:val="none"/>
          <w:lang w:eastAsia="zh-CN"/>
        </w:rPr>
        <w:t>、</w:t>
      </w:r>
      <w:r>
        <w:rPr>
          <w:rFonts w:hint="eastAsia" w:ascii="仿宋" w:hAnsi="仿宋" w:eastAsia="仿宋" w:cs="仿宋"/>
          <w:sz w:val="30"/>
          <w:szCs w:val="30"/>
          <w:highlight w:val="none"/>
          <w:lang w:val="en-US" w:eastAsia="zh-CN"/>
        </w:rPr>
        <w:t>档案资料、</w:t>
      </w:r>
      <w:r>
        <w:rPr>
          <w:rFonts w:hint="eastAsia" w:ascii="仿宋" w:hAnsi="仿宋" w:eastAsia="仿宋" w:cs="仿宋"/>
          <w:sz w:val="30"/>
          <w:szCs w:val="30"/>
          <w:highlight w:val="none"/>
          <w:lang w:eastAsia="zh-CN"/>
        </w:rPr>
        <w:t>资金</w:t>
      </w:r>
      <w:r>
        <w:rPr>
          <w:rFonts w:hint="eastAsia" w:ascii="仿宋" w:hAnsi="仿宋" w:eastAsia="仿宋" w:cs="仿宋"/>
          <w:sz w:val="30"/>
          <w:szCs w:val="30"/>
          <w:highlight w:val="none"/>
          <w:lang w:val="en-US" w:eastAsia="zh-CN"/>
        </w:rPr>
        <w:t>收付明细账</w:t>
      </w:r>
      <w:r>
        <w:rPr>
          <w:rFonts w:hint="eastAsia" w:ascii="仿宋" w:hAnsi="仿宋" w:eastAsia="仿宋" w:cs="仿宋"/>
          <w:sz w:val="30"/>
          <w:szCs w:val="30"/>
          <w:highlight w:val="none"/>
          <w:lang w:eastAsia="zh-CN"/>
        </w:rPr>
        <w:t>等相关资料，评估项目实施的效果，并按照评估指标体系对相应事项进行分数评定。</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3.撰写绩效报告</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lang w:eastAsia="zh-CN"/>
        </w:rPr>
        <w:t>工作组根据现场核实、数据分析情况，撰写绩效评估报告</w:t>
      </w:r>
      <w:r>
        <w:rPr>
          <w:rFonts w:hint="eastAsia" w:ascii="仿宋" w:hAnsi="仿宋" w:eastAsia="仿宋" w:cs="仿宋"/>
          <w:sz w:val="30"/>
          <w:szCs w:val="30"/>
          <w:highlight w:val="none"/>
          <w:lang w:val="en-US" w:eastAsia="zh-CN"/>
        </w:rPr>
        <w:t>，</w:t>
      </w:r>
      <w:r>
        <w:rPr>
          <w:rFonts w:hint="eastAsia" w:ascii="仿宋" w:hAnsi="仿宋" w:eastAsia="仿宋" w:cs="仿宋"/>
          <w:sz w:val="30"/>
          <w:szCs w:val="30"/>
          <w:highlight w:val="none"/>
          <w:lang w:eastAsia="zh-CN"/>
        </w:rPr>
        <w:t>经过内部讨论、与项目实施单位交换沟通，形成绩效评估项目报告初稿。</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lang w:eastAsia="zh-CN"/>
        </w:rPr>
        <w:t>（三）绩效评估框架</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lang w:eastAsia="zh-CN"/>
        </w:rPr>
        <w:t>1.绩效评估原则</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lang w:eastAsia="zh-CN"/>
        </w:rPr>
        <w:t>（1）价值导向原则：财政支出绩效评估体系应能够反映财政支出的经济性、效益性、有效性原则，体现财政部门和项目主管部门的价值导向。</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lang w:eastAsia="zh-CN"/>
        </w:rPr>
        <w:t>（2）重要性原则：根据指标在整个指标体系的地位和作用进行筛选，选择最具代表性、最能反映评估要求的指标。</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lang w:eastAsia="zh-CN"/>
        </w:rPr>
        <w:t>（3）可比性原则：在相似项目之间有共同的指标，不同项目之间的衡量结果可以相互比较。</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lang w:eastAsia="zh-CN"/>
        </w:rPr>
        <w:t>（4）综合性原则：将定性指标和定量指标相结合，定性分析是定量分析的基础，定量分析是定性分析的深化，两者相结合系统反映财政支出所产生的社会效益。</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lang w:eastAsia="zh-CN"/>
        </w:rPr>
        <w:t>（5）经济性原则：指标的选取要考虑现实条件及可操作性，数据的获得应符合成本效益原则，在合理成本的基础上收集信息。</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lang w:eastAsia="zh-CN"/>
        </w:rPr>
        <w:t>2.绩效评估的评估方法</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lang w:eastAsia="zh-CN"/>
        </w:rPr>
        <w:t>本次评估采取定量和定性评估相结合、综合评估相结合的方式，运用审查法和现场查勘法开展绩效评估工作。</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lang w:eastAsia="zh-CN"/>
        </w:rPr>
        <w:t>（1）审查法：通过审查被评估单位的项目档案、项目</w:t>
      </w:r>
      <w:r>
        <w:rPr>
          <w:rFonts w:hint="eastAsia" w:ascii="仿宋" w:hAnsi="仿宋" w:eastAsia="仿宋" w:cs="仿宋"/>
          <w:sz w:val="30"/>
          <w:szCs w:val="30"/>
          <w:highlight w:val="none"/>
          <w:lang w:val="en-US" w:eastAsia="zh-CN"/>
        </w:rPr>
        <w:t>管理制度</w:t>
      </w:r>
      <w:r>
        <w:rPr>
          <w:rFonts w:hint="eastAsia" w:ascii="仿宋" w:hAnsi="仿宋" w:eastAsia="仿宋" w:cs="仿宋"/>
          <w:sz w:val="30"/>
          <w:szCs w:val="30"/>
          <w:highlight w:val="none"/>
          <w:lang w:eastAsia="zh-CN"/>
        </w:rPr>
        <w:t>、资金</w:t>
      </w:r>
      <w:r>
        <w:rPr>
          <w:rFonts w:hint="eastAsia" w:ascii="仿宋" w:hAnsi="仿宋" w:eastAsia="仿宋" w:cs="仿宋"/>
          <w:sz w:val="30"/>
          <w:szCs w:val="30"/>
          <w:highlight w:val="none"/>
          <w:lang w:val="en-US" w:eastAsia="zh-CN"/>
        </w:rPr>
        <w:t>支付凭证</w:t>
      </w:r>
      <w:r>
        <w:rPr>
          <w:rFonts w:hint="eastAsia" w:ascii="仿宋" w:hAnsi="仿宋" w:eastAsia="仿宋" w:cs="仿宋"/>
          <w:sz w:val="30"/>
          <w:szCs w:val="30"/>
          <w:highlight w:val="none"/>
          <w:lang w:eastAsia="zh-CN"/>
        </w:rPr>
        <w:t>、资金支付</w:t>
      </w:r>
      <w:r>
        <w:rPr>
          <w:rFonts w:hint="eastAsia" w:ascii="仿宋" w:hAnsi="仿宋" w:eastAsia="仿宋" w:cs="仿宋"/>
          <w:sz w:val="30"/>
          <w:szCs w:val="30"/>
          <w:highlight w:val="none"/>
          <w:lang w:val="en-US" w:eastAsia="zh-CN"/>
        </w:rPr>
        <w:t>明细账</w:t>
      </w:r>
      <w:r>
        <w:rPr>
          <w:rFonts w:hint="eastAsia" w:ascii="仿宋" w:hAnsi="仿宋" w:eastAsia="仿宋" w:cs="仿宋"/>
          <w:sz w:val="30"/>
          <w:szCs w:val="30"/>
          <w:highlight w:val="none"/>
          <w:lang w:eastAsia="zh-CN"/>
        </w:rPr>
        <w:t>等项目资料，分析资金支出的合理性和合规性。</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lang w:eastAsia="zh-CN"/>
        </w:rPr>
        <w:t>（2）现场查勘法：通过对项目的现场查勘，了解目标的实施情况，进而评估项目绩效目标的完成情况。</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lang w:eastAsia="zh-CN"/>
        </w:rPr>
        <w:t>3.绩效评估标准</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lang w:eastAsia="zh-CN"/>
        </w:rPr>
        <w:t>绩效评估标准：是指衡量财政支出绩效目标完成程度的尺度，绩效评估标准。具体包括：</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lang w:eastAsia="zh-CN"/>
        </w:rPr>
        <w:t>（1）计划标准：是指以预先制定的目标、计划、预算、标准等数据作为评估的标准。</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lang w:eastAsia="zh-CN"/>
        </w:rPr>
        <w:t>（2）行业标准：是指参照国家权威部门公布的行业指标数据制定的评估标准。</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lang w:eastAsia="zh-CN"/>
        </w:rPr>
        <w:t>（3）历史标准：是指参照同类指标的历史数据制定的评估标准。</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lang w:eastAsia="zh-CN"/>
        </w:rPr>
        <w:t>（4）其他标准：其他有参考价值的标准。</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lang w:eastAsia="zh-CN"/>
        </w:rPr>
        <w:t>4.绩效评估依据</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eastAsia="zh-CN"/>
        </w:rPr>
      </w:pPr>
      <w:bookmarkStart w:id="22" w:name="_Toc5980"/>
      <w:bookmarkStart w:id="23" w:name="_Toc16243"/>
      <w:bookmarkStart w:id="24" w:name="_Toc12911"/>
      <w:r>
        <w:rPr>
          <w:rFonts w:hint="eastAsia" w:ascii="仿宋" w:hAnsi="仿宋" w:eastAsia="仿宋" w:cs="仿宋"/>
          <w:sz w:val="30"/>
          <w:szCs w:val="30"/>
          <w:highlight w:val="none"/>
        </w:rPr>
        <w:t>（1）《中华人民共和国预算法》(主席令第21号)；</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rPr>
        <w:t>（2）</w:t>
      </w:r>
      <w:r>
        <w:rPr>
          <w:rFonts w:hint="eastAsia" w:ascii="仿宋" w:hAnsi="仿宋" w:eastAsia="仿宋" w:cs="仿宋"/>
          <w:sz w:val="30"/>
          <w:szCs w:val="30"/>
          <w:highlight w:val="none"/>
          <w:lang w:val="en-US" w:eastAsia="zh-CN"/>
        </w:rPr>
        <w:t xml:space="preserve">《中共中央国务院关于全面实施预算绩效管理的意见》 </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rPr>
        <w:t>（</w:t>
      </w:r>
      <w:r>
        <w:rPr>
          <w:rFonts w:hint="eastAsia" w:ascii="仿宋" w:hAnsi="仿宋" w:eastAsia="仿宋" w:cs="仿宋"/>
          <w:sz w:val="30"/>
          <w:szCs w:val="30"/>
          <w:highlight w:val="none"/>
          <w:lang w:val="en-US" w:eastAsia="zh-CN"/>
        </w:rPr>
        <w:t>3</w:t>
      </w:r>
      <w:r>
        <w:rPr>
          <w:rFonts w:hint="eastAsia" w:ascii="仿宋" w:hAnsi="仿宋" w:eastAsia="仿宋" w:cs="仿宋"/>
          <w:sz w:val="30"/>
          <w:szCs w:val="30"/>
          <w:highlight w:val="none"/>
        </w:rPr>
        <w:t>）《关于印发〈财政支出绩效</w:t>
      </w:r>
      <w:r>
        <w:rPr>
          <w:rFonts w:hint="eastAsia" w:ascii="仿宋" w:hAnsi="仿宋" w:eastAsia="仿宋" w:cs="仿宋"/>
          <w:sz w:val="30"/>
          <w:szCs w:val="30"/>
          <w:highlight w:val="none"/>
          <w:lang w:eastAsia="zh-CN"/>
        </w:rPr>
        <w:t>评价</w:t>
      </w:r>
      <w:r>
        <w:rPr>
          <w:rFonts w:hint="eastAsia" w:ascii="仿宋" w:hAnsi="仿宋" w:eastAsia="仿宋" w:cs="仿宋"/>
          <w:sz w:val="30"/>
          <w:szCs w:val="30"/>
          <w:highlight w:val="none"/>
        </w:rPr>
        <w:t>管理暂行办法〉的通知》（财预〔2011〕285号）；</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rPr>
      </w:pPr>
      <w:r>
        <w:rPr>
          <w:rFonts w:hint="eastAsia" w:ascii="仿宋" w:hAnsi="仿宋" w:eastAsia="仿宋" w:cs="仿宋"/>
          <w:sz w:val="30"/>
          <w:szCs w:val="30"/>
          <w:highlight w:val="none"/>
          <w:lang w:eastAsia="zh-CN"/>
        </w:rPr>
        <w:t>（</w:t>
      </w:r>
      <w:r>
        <w:rPr>
          <w:rFonts w:hint="eastAsia" w:ascii="仿宋" w:hAnsi="仿宋" w:eastAsia="仿宋" w:cs="仿宋"/>
          <w:sz w:val="30"/>
          <w:szCs w:val="30"/>
          <w:highlight w:val="none"/>
          <w:lang w:val="en-US" w:eastAsia="zh-CN"/>
        </w:rPr>
        <w:t>4</w:t>
      </w:r>
      <w:r>
        <w:rPr>
          <w:rFonts w:hint="eastAsia" w:ascii="仿宋" w:hAnsi="仿宋" w:eastAsia="仿宋" w:cs="仿宋"/>
          <w:sz w:val="30"/>
          <w:szCs w:val="30"/>
          <w:highlight w:val="none"/>
          <w:lang w:eastAsia="zh-CN"/>
        </w:rPr>
        <w:t>）</w:t>
      </w:r>
      <w:r>
        <w:rPr>
          <w:rFonts w:hint="eastAsia" w:ascii="仿宋" w:hAnsi="仿宋" w:eastAsia="仿宋" w:cs="仿宋"/>
          <w:sz w:val="30"/>
          <w:szCs w:val="30"/>
          <w:highlight w:val="none"/>
        </w:rPr>
        <w:t>《河北省财政支出绩效</w:t>
      </w:r>
      <w:r>
        <w:rPr>
          <w:rFonts w:hint="eastAsia" w:ascii="仿宋" w:hAnsi="仿宋" w:eastAsia="仿宋" w:cs="仿宋"/>
          <w:sz w:val="30"/>
          <w:szCs w:val="30"/>
          <w:highlight w:val="none"/>
          <w:lang w:eastAsia="zh-CN"/>
        </w:rPr>
        <w:t>评价</w:t>
      </w:r>
      <w:r>
        <w:rPr>
          <w:rFonts w:hint="eastAsia" w:ascii="仿宋" w:hAnsi="仿宋" w:eastAsia="仿宋" w:cs="仿宋"/>
          <w:sz w:val="30"/>
          <w:szCs w:val="30"/>
          <w:highlight w:val="none"/>
        </w:rPr>
        <w:t>管理办法》（冀财预〔2011〕68号）；</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rPr>
      </w:pPr>
      <w:r>
        <w:rPr>
          <w:rFonts w:hint="eastAsia" w:ascii="仿宋" w:hAnsi="仿宋" w:eastAsia="仿宋" w:cs="仿宋"/>
          <w:sz w:val="30"/>
          <w:szCs w:val="30"/>
          <w:highlight w:val="none"/>
        </w:rPr>
        <w:t>（</w:t>
      </w:r>
      <w:r>
        <w:rPr>
          <w:rFonts w:hint="eastAsia" w:ascii="仿宋" w:hAnsi="仿宋" w:eastAsia="仿宋" w:cs="仿宋"/>
          <w:sz w:val="30"/>
          <w:szCs w:val="30"/>
          <w:highlight w:val="none"/>
          <w:lang w:val="en-US" w:eastAsia="zh-CN"/>
        </w:rPr>
        <w:t>5</w:t>
      </w:r>
      <w:r>
        <w:rPr>
          <w:rFonts w:hint="eastAsia" w:ascii="仿宋" w:hAnsi="仿宋" w:eastAsia="仿宋" w:cs="仿宋"/>
          <w:sz w:val="30"/>
          <w:szCs w:val="30"/>
          <w:highlight w:val="none"/>
        </w:rPr>
        <w:t>）《关于印发&lt;预算绩效</w:t>
      </w:r>
      <w:r>
        <w:rPr>
          <w:rFonts w:hint="eastAsia" w:ascii="仿宋" w:hAnsi="仿宋" w:eastAsia="仿宋" w:cs="仿宋"/>
          <w:sz w:val="30"/>
          <w:szCs w:val="30"/>
          <w:highlight w:val="none"/>
          <w:lang w:eastAsia="zh-CN"/>
        </w:rPr>
        <w:t>评价</w:t>
      </w:r>
      <w:r>
        <w:rPr>
          <w:rFonts w:hint="eastAsia" w:ascii="仿宋" w:hAnsi="仿宋" w:eastAsia="仿宋" w:cs="仿宋"/>
          <w:sz w:val="30"/>
          <w:szCs w:val="30"/>
          <w:highlight w:val="none"/>
        </w:rPr>
        <w:t xml:space="preserve">共性指标体系框架&gt;的通知》（财预〔2013〕53号）； </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rPr>
        <w:t>（</w:t>
      </w:r>
      <w:r>
        <w:rPr>
          <w:rFonts w:hint="eastAsia" w:ascii="仿宋" w:hAnsi="仿宋" w:eastAsia="仿宋" w:cs="仿宋"/>
          <w:sz w:val="30"/>
          <w:szCs w:val="30"/>
          <w:highlight w:val="none"/>
          <w:lang w:val="en-US" w:eastAsia="zh-CN"/>
        </w:rPr>
        <w:t>6</w:t>
      </w:r>
      <w:r>
        <w:rPr>
          <w:rFonts w:hint="eastAsia" w:ascii="仿宋" w:hAnsi="仿宋" w:eastAsia="仿宋" w:cs="仿宋"/>
          <w:sz w:val="30"/>
          <w:szCs w:val="30"/>
          <w:highlight w:val="none"/>
        </w:rPr>
        <w:t>）《河北省项目支出绩效指标框架体系》（冀财预[2016]</w:t>
      </w:r>
      <w:r>
        <w:rPr>
          <w:rFonts w:hint="eastAsia" w:ascii="仿宋" w:hAnsi="仿宋" w:eastAsia="仿宋" w:cs="仿宋"/>
          <w:sz w:val="30"/>
          <w:szCs w:val="30"/>
          <w:highlight w:val="none"/>
          <w:lang w:eastAsia="zh-CN"/>
        </w:rPr>
        <w:t>94</w:t>
      </w:r>
      <w:r>
        <w:rPr>
          <w:rFonts w:hint="eastAsia" w:ascii="仿宋" w:hAnsi="仿宋" w:eastAsia="仿宋" w:cs="仿宋"/>
          <w:sz w:val="30"/>
          <w:szCs w:val="30"/>
          <w:highlight w:val="none"/>
        </w:rPr>
        <w:t>号）；</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rPr>
        <w:t>（</w:t>
      </w:r>
      <w:r>
        <w:rPr>
          <w:rFonts w:hint="eastAsia" w:ascii="仿宋" w:hAnsi="仿宋" w:eastAsia="仿宋" w:cs="仿宋"/>
          <w:sz w:val="30"/>
          <w:szCs w:val="30"/>
          <w:highlight w:val="none"/>
          <w:lang w:val="en-US" w:eastAsia="zh-CN"/>
        </w:rPr>
        <w:t>7</w:t>
      </w:r>
      <w:r>
        <w:rPr>
          <w:rFonts w:hint="eastAsia" w:ascii="仿宋" w:hAnsi="仿宋" w:eastAsia="仿宋" w:cs="仿宋"/>
          <w:sz w:val="30"/>
          <w:szCs w:val="30"/>
          <w:highlight w:val="none"/>
        </w:rPr>
        <w:t>）</w:t>
      </w:r>
      <w:r>
        <w:rPr>
          <w:rFonts w:hint="eastAsia" w:ascii="仿宋" w:hAnsi="仿宋" w:eastAsia="仿宋" w:cs="仿宋"/>
          <w:sz w:val="30"/>
          <w:szCs w:val="30"/>
          <w:highlight w:val="none"/>
          <w:lang w:val="en-US" w:eastAsia="zh-CN"/>
        </w:rPr>
        <w:t>《项目支出绩效</w:t>
      </w:r>
      <w:r>
        <w:rPr>
          <w:rFonts w:hint="eastAsia" w:ascii="仿宋" w:hAnsi="仿宋" w:eastAsia="仿宋" w:cs="仿宋"/>
          <w:sz w:val="30"/>
          <w:szCs w:val="30"/>
          <w:highlight w:val="none"/>
          <w:lang w:eastAsia="zh-CN"/>
        </w:rPr>
        <w:t>评价</w:t>
      </w:r>
      <w:r>
        <w:rPr>
          <w:rFonts w:hint="eastAsia" w:ascii="仿宋" w:hAnsi="仿宋" w:eastAsia="仿宋" w:cs="仿宋"/>
          <w:sz w:val="30"/>
          <w:szCs w:val="30"/>
          <w:highlight w:val="none"/>
          <w:lang w:val="en-US" w:eastAsia="zh-CN"/>
        </w:rPr>
        <w:t>管理办法》(财预[2020]10号)；</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（8）</w:t>
      </w:r>
      <w:r>
        <w:rPr>
          <w:rFonts w:hint="eastAsia" w:ascii="仿宋" w:hAnsi="仿宋" w:eastAsia="仿宋" w:cs="仿宋"/>
          <w:sz w:val="30"/>
          <w:szCs w:val="30"/>
          <w:highlight w:val="none"/>
        </w:rPr>
        <w:t>《</w:t>
      </w:r>
      <w:r>
        <w:rPr>
          <w:rFonts w:hint="eastAsia" w:ascii="仿宋" w:hAnsi="仿宋" w:eastAsia="仿宋" w:cs="仿宋"/>
          <w:sz w:val="30"/>
          <w:szCs w:val="30"/>
          <w:highlight w:val="none"/>
          <w:lang w:val="en-US" w:eastAsia="zh-CN"/>
        </w:rPr>
        <w:t>曲阳县财政局关于印发2023年县级财政重点绩效</w:t>
      </w:r>
      <w:r>
        <w:rPr>
          <w:rFonts w:hint="eastAsia" w:ascii="仿宋" w:hAnsi="仿宋" w:eastAsia="仿宋" w:cs="仿宋"/>
          <w:sz w:val="30"/>
          <w:szCs w:val="30"/>
          <w:highlight w:val="none"/>
          <w:lang w:eastAsia="zh-CN"/>
        </w:rPr>
        <w:t>评价</w:t>
      </w:r>
      <w:r>
        <w:rPr>
          <w:rFonts w:hint="eastAsia" w:ascii="仿宋" w:hAnsi="仿宋" w:eastAsia="仿宋" w:cs="仿宋"/>
          <w:sz w:val="30"/>
          <w:szCs w:val="30"/>
          <w:highlight w:val="none"/>
          <w:lang w:val="en-US" w:eastAsia="zh-CN"/>
        </w:rPr>
        <w:t>计划的通知</w:t>
      </w:r>
      <w:r>
        <w:rPr>
          <w:rFonts w:hint="eastAsia" w:ascii="仿宋" w:hAnsi="仿宋" w:eastAsia="仿宋" w:cs="仿宋"/>
          <w:sz w:val="30"/>
          <w:szCs w:val="30"/>
          <w:highlight w:val="none"/>
        </w:rPr>
        <w:t>》（</w:t>
      </w:r>
      <w:r>
        <w:rPr>
          <w:rFonts w:hint="eastAsia" w:ascii="仿宋" w:hAnsi="仿宋" w:eastAsia="仿宋" w:cs="仿宋"/>
          <w:sz w:val="30"/>
          <w:szCs w:val="30"/>
          <w:highlight w:val="none"/>
          <w:lang w:val="en-US" w:eastAsia="zh-CN"/>
        </w:rPr>
        <w:t>曲财</w:t>
      </w:r>
      <w:r>
        <w:rPr>
          <w:rFonts w:hint="eastAsia" w:ascii="仿宋" w:hAnsi="仿宋" w:eastAsia="仿宋" w:cs="仿宋"/>
          <w:sz w:val="30"/>
          <w:szCs w:val="30"/>
          <w:highlight w:val="none"/>
        </w:rPr>
        <w:t>[20</w:t>
      </w:r>
      <w:r>
        <w:rPr>
          <w:rFonts w:hint="eastAsia" w:ascii="仿宋" w:hAnsi="仿宋" w:eastAsia="仿宋" w:cs="仿宋"/>
          <w:sz w:val="30"/>
          <w:szCs w:val="30"/>
          <w:highlight w:val="none"/>
          <w:lang w:val="en-US" w:eastAsia="zh-CN"/>
        </w:rPr>
        <w:t>23</w:t>
      </w:r>
      <w:r>
        <w:rPr>
          <w:rFonts w:hint="eastAsia" w:ascii="仿宋" w:hAnsi="仿宋" w:eastAsia="仿宋" w:cs="仿宋"/>
          <w:sz w:val="30"/>
          <w:szCs w:val="30"/>
          <w:highlight w:val="none"/>
        </w:rPr>
        <w:t>]</w:t>
      </w:r>
      <w:r>
        <w:rPr>
          <w:rFonts w:hint="eastAsia" w:ascii="仿宋" w:hAnsi="仿宋" w:eastAsia="仿宋" w:cs="仿宋"/>
          <w:sz w:val="30"/>
          <w:szCs w:val="30"/>
          <w:highlight w:val="none"/>
          <w:lang w:val="en-US" w:eastAsia="zh-CN"/>
        </w:rPr>
        <w:t>15</w:t>
      </w:r>
      <w:r>
        <w:rPr>
          <w:rFonts w:hint="eastAsia" w:ascii="仿宋" w:hAnsi="仿宋" w:eastAsia="仿宋" w:cs="仿宋"/>
          <w:sz w:val="30"/>
          <w:szCs w:val="30"/>
          <w:highlight w:val="none"/>
        </w:rPr>
        <w:t>号）；</w:t>
      </w:r>
    </w:p>
    <w:p>
      <w:pPr>
        <w:pageBreakBefore w:val="0"/>
        <w:kinsoku/>
        <w:wordWrap/>
        <w:overflowPunct/>
        <w:topLinePunct w:val="0"/>
        <w:autoSpaceDE/>
        <w:autoSpaceDN/>
        <w:bidi w:val="0"/>
        <w:adjustRightInd/>
        <w:snapToGrid/>
        <w:spacing w:line="560" w:lineRule="exact"/>
        <w:ind w:firstLine="600" w:firstLineChars="200"/>
        <w:rPr>
          <w:rFonts w:hint="default" w:ascii="仿宋" w:hAnsi="仿宋" w:eastAsia="仿宋" w:cs="仿宋"/>
          <w:sz w:val="30"/>
          <w:szCs w:val="30"/>
          <w:highlight w:val="none"/>
          <w:lang w:val="en-US"/>
        </w:rPr>
      </w:pPr>
      <w:r>
        <w:rPr>
          <w:rFonts w:hint="eastAsia" w:ascii="仿宋" w:hAnsi="仿宋" w:eastAsia="仿宋" w:cs="仿宋"/>
          <w:sz w:val="30"/>
          <w:szCs w:val="30"/>
          <w:highlight w:val="none"/>
          <w:lang w:val="en-US" w:eastAsia="zh-CN"/>
        </w:rPr>
        <w:t>（9）相关预算指标文及其他文件依据。</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lang w:val="en-US" w:eastAsia="zh-CN"/>
        </w:rPr>
        <w:t>5.</w:t>
      </w:r>
      <w:r>
        <w:rPr>
          <w:rFonts w:hint="eastAsia" w:ascii="仿宋" w:hAnsi="仿宋" w:eastAsia="仿宋" w:cs="仿宋"/>
          <w:sz w:val="30"/>
          <w:szCs w:val="30"/>
          <w:highlight w:val="none"/>
          <w:lang w:eastAsia="zh-CN"/>
        </w:rPr>
        <w:t>绩效评估指标体系</w:t>
      </w:r>
      <w:bookmarkEnd w:id="22"/>
      <w:bookmarkEnd w:id="23"/>
      <w:bookmarkEnd w:id="24"/>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lang w:eastAsia="zh-CN"/>
        </w:rPr>
        <w:t>（</w:t>
      </w:r>
      <w:r>
        <w:rPr>
          <w:rFonts w:hint="eastAsia" w:ascii="仿宋" w:hAnsi="仿宋" w:eastAsia="仿宋" w:cs="仿宋"/>
          <w:sz w:val="30"/>
          <w:szCs w:val="30"/>
          <w:highlight w:val="none"/>
          <w:lang w:val="en-US" w:eastAsia="zh-CN"/>
        </w:rPr>
        <w:t>1</w:t>
      </w:r>
      <w:r>
        <w:rPr>
          <w:rFonts w:hint="eastAsia" w:ascii="仿宋" w:hAnsi="仿宋" w:eastAsia="仿宋" w:cs="仿宋"/>
          <w:sz w:val="30"/>
          <w:szCs w:val="30"/>
          <w:highlight w:val="none"/>
          <w:lang w:eastAsia="zh-CN"/>
        </w:rPr>
        <w:t>）指标设定</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lang w:eastAsia="zh-CN"/>
        </w:rPr>
        <w:t>绩效指标指用于测量公共支出效果的指数或指数体系。绩效指标可以是某一独立指标，也可以是由多项指标组成的体系。科学的绩效指标是实现公共管理科学化的前提。</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eastAsia="zh-CN"/>
        </w:rPr>
        <w:t>评估指标体系是根据财政支出项目进行评估的目的、财政支出项目的绩效内容，以及财政支出指标体系的设计原则，采用适当的方法，确定财政支出项目的绩效评估指标，然后，运用适当的方法，确定各个指标相对于项目总体绩效的重要性，并用数量化的方法表示出来，即赋予每个指标一定的权重；确定各个评估指标的参照标准，即明确指标的标准值。</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lang w:eastAsia="zh-CN"/>
        </w:rPr>
        <w:t>（</w:t>
      </w:r>
      <w:r>
        <w:rPr>
          <w:rFonts w:hint="eastAsia" w:ascii="仿宋" w:hAnsi="仿宋" w:eastAsia="仿宋" w:cs="仿宋"/>
          <w:sz w:val="30"/>
          <w:szCs w:val="30"/>
          <w:highlight w:val="none"/>
          <w:lang w:val="en-US" w:eastAsia="zh-CN"/>
        </w:rPr>
        <w:t>2</w:t>
      </w:r>
      <w:r>
        <w:rPr>
          <w:rFonts w:hint="eastAsia" w:ascii="仿宋" w:hAnsi="仿宋" w:eastAsia="仿宋" w:cs="仿宋"/>
          <w:sz w:val="30"/>
          <w:szCs w:val="30"/>
          <w:highlight w:val="none"/>
          <w:lang w:eastAsia="zh-CN"/>
        </w:rPr>
        <w:t>）指标权重设定</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lang w:eastAsia="zh-CN"/>
        </w:rPr>
        <w:t>该项目管理类指标占全部权重的</w:t>
      </w:r>
      <w:r>
        <w:rPr>
          <w:rFonts w:hint="eastAsia" w:ascii="仿宋" w:hAnsi="仿宋" w:eastAsia="仿宋" w:cs="仿宋"/>
          <w:sz w:val="30"/>
          <w:szCs w:val="30"/>
          <w:highlight w:val="none"/>
          <w:lang w:val="en-US" w:eastAsia="zh-CN"/>
        </w:rPr>
        <w:t>60</w:t>
      </w:r>
      <w:r>
        <w:rPr>
          <w:rFonts w:hint="eastAsia" w:ascii="仿宋" w:hAnsi="仿宋" w:eastAsia="仿宋" w:cs="仿宋"/>
          <w:sz w:val="30"/>
          <w:szCs w:val="30"/>
          <w:highlight w:val="none"/>
          <w:lang w:eastAsia="zh-CN"/>
        </w:rPr>
        <w:t>%，包括项目立项、项目过程管理；项目绩效类指标占全部权重的</w:t>
      </w:r>
      <w:r>
        <w:rPr>
          <w:rFonts w:hint="eastAsia" w:ascii="仿宋" w:hAnsi="仿宋" w:eastAsia="仿宋" w:cs="仿宋"/>
          <w:sz w:val="30"/>
          <w:szCs w:val="30"/>
          <w:highlight w:val="none"/>
          <w:lang w:val="en-US" w:eastAsia="zh-CN"/>
        </w:rPr>
        <w:t>40</w:t>
      </w:r>
      <w:r>
        <w:rPr>
          <w:rFonts w:hint="eastAsia" w:ascii="仿宋" w:hAnsi="仿宋" w:eastAsia="仿宋" w:cs="仿宋"/>
          <w:sz w:val="30"/>
          <w:szCs w:val="30"/>
          <w:highlight w:val="none"/>
          <w:lang w:eastAsia="zh-CN"/>
        </w:rPr>
        <w:t>%，其中项目产出类指标占</w:t>
      </w:r>
      <w:r>
        <w:rPr>
          <w:rFonts w:hint="eastAsia" w:ascii="仿宋" w:hAnsi="仿宋" w:eastAsia="仿宋" w:cs="仿宋"/>
          <w:sz w:val="30"/>
          <w:szCs w:val="30"/>
          <w:highlight w:val="none"/>
          <w:lang w:val="en-US" w:eastAsia="zh-CN"/>
        </w:rPr>
        <w:t>20</w:t>
      </w:r>
      <w:r>
        <w:rPr>
          <w:rFonts w:hint="eastAsia" w:ascii="仿宋" w:hAnsi="仿宋" w:eastAsia="仿宋" w:cs="仿宋"/>
          <w:sz w:val="30"/>
          <w:szCs w:val="30"/>
          <w:highlight w:val="none"/>
          <w:lang w:eastAsia="zh-CN"/>
        </w:rPr>
        <w:t>%，项目效果类指标占</w:t>
      </w:r>
      <w:r>
        <w:rPr>
          <w:rFonts w:hint="eastAsia" w:ascii="仿宋" w:hAnsi="仿宋" w:eastAsia="仿宋" w:cs="仿宋"/>
          <w:sz w:val="30"/>
          <w:szCs w:val="30"/>
          <w:highlight w:val="none"/>
          <w:lang w:val="en-US" w:eastAsia="zh-CN"/>
        </w:rPr>
        <w:t>20</w:t>
      </w:r>
      <w:r>
        <w:rPr>
          <w:rFonts w:hint="eastAsia" w:ascii="仿宋" w:hAnsi="仿宋" w:eastAsia="仿宋" w:cs="仿宋"/>
          <w:sz w:val="30"/>
          <w:szCs w:val="30"/>
          <w:highlight w:val="none"/>
          <w:lang w:eastAsia="zh-CN"/>
        </w:rPr>
        <w:t>%。</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lang w:val="en-US" w:eastAsia="zh-CN"/>
        </w:rPr>
        <w:t xml:space="preserve"> </w:t>
      </w:r>
      <w:bookmarkStart w:id="25" w:name="_Toc22342"/>
      <w:bookmarkStart w:id="26" w:name="_Toc27907"/>
      <w:bookmarkStart w:id="27" w:name="_Toc6963"/>
      <w:r>
        <w:rPr>
          <w:rFonts w:hint="eastAsia" w:ascii="仿宋" w:hAnsi="仿宋" w:eastAsia="仿宋" w:cs="仿宋"/>
          <w:sz w:val="30"/>
          <w:szCs w:val="30"/>
          <w:highlight w:val="none"/>
          <w:lang w:val="en-US" w:eastAsia="zh-CN"/>
        </w:rPr>
        <w:t>6.</w:t>
      </w:r>
      <w:r>
        <w:rPr>
          <w:rFonts w:hint="eastAsia" w:ascii="仿宋" w:hAnsi="仿宋" w:eastAsia="仿宋" w:cs="仿宋"/>
          <w:sz w:val="30"/>
          <w:szCs w:val="30"/>
          <w:highlight w:val="none"/>
          <w:lang w:eastAsia="zh-CN"/>
        </w:rPr>
        <w:t>评分方法和评分等级</w:t>
      </w:r>
      <w:bookmarkEnd w:id="25"/>
      <w:bookmarkEnd w:id="26"/>
      <w:bookmarkEnd w:id="27"/>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lang w:eastAsia="zh-CN"/>
        </w:rPr>
        <w:t>（</w:t>
      </w:r>
      <w:r>
        <w:rPr>
          <w:rFonts w:hint="eastAsia" w:ascii="仿宋" w:hAnsi="仿宋" w:eastAsia="仿宋" w:cs="仿宋"/>
          <w:sz w:val="30"/>
          <w:szCs w:val="30"/>
          <w:highlight w:val="none"/>
          <w:lang w:val="en-US" w:eastAsia="zh-CN"/>
        </w:rPr>
        <w:t>1</w:t>
      </w:r>
      <w:r>
        <w:rPr>
          <w:rFonts w:hint="eastAsia" w:ascii="仿宋" w:hAnsi="仿宋" w:eastAsia="仿宋" w:cs="仿宋"/>
          <w:sz w:val="30"/>
          <w:szCs w:val="30"/>
          <w:highlight w:val="none"/>
          <w:lang w:eastAsia="zh-CN"/>
        </w:rPr>
        <w:t>）评分方法</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lang w:eastAsia="zh-CN"/>
        </w:rPr>
        <w:t>①按照《财政支出绩效评估管理暂行办法》的相关要求和国务院、省、市、县出台的相关规定作为评估标准，采取定量和定性评估相结合的方法，对项目资料进行审核、分析。</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lang w:eastAsia="zh-CN"/>
        </w:rPr>
        <w:t>②评估中做到重点突出</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lang w:eastAsia="zh-CN"/>
        </w:rPr>
        <w:t>在评估工作中，评估人员紧紧抓住评估工作的重点环节，严格按照相关文件和评估方案的要求，实事求是、客观公正地进行绩效评估工作，取得了详实、客观的评估资料。</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lang w:eastAsia="zh-CN"/>
        </w:rPr>
        <w:t>③客观分析</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lang w:eastAsia="zh-CN"/>
        </w:rPr>
        <w:t>首先，根据评估项目的实际情况与指标体系进行分析、比对，各项指标根据预期绩效目标值，评判实际达到的绩效目标，并给出适当得分。主要关注以下几方面：项目是否实现了年度绩效目标、项目是否在长期绩效目标上实现了预期进展、是否有助于政府战略目标和部门目标的实现等。然后，根据项目评估综合得分得出综合绩效评估等级，依据各项评估结果，综合各方面因素，填写项目绩效评估综合意见。</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lang w:eastAsia="zh-CN"/>
        </w:rPr>
        <w:t>（</w:t>
      </w:r>
      <w:r>
        <w:rPr>
          <w:rFonts w:hint="eastAsia" w:ascii="仿宋" w:hAnsi="仿宋" w:eastAsia="仿宋" w:cs="仿宋"/>
          <w:sz w:val="30"/>
          <w:szCs w:val="30"/>
          <w:highlight w:val="none"/>
          <w:lang w:val="en-US" w:eastAsia="zh-CN"/>
        </w:rPr>
        <w:t>2</w:t>
      </w:r>
      <w:r>
        <w:rPr>
          <w:rFonts w:hint="eastAsia" w:ascii="仿宋" w:hAnsi="仿宋" w:eastAsia="仿宋" w:cs="仿宋"/>
          <w:sz w:val="30"/>
          <w:szCs w:val="30"/>
          <w:highlight w:val="none"/>
          <w:lang w:eastAsia="zh-CN"/>
        </w:rPr>
        <w:t>）评估等级</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eastAsia="zh-CN"/>
        </w:rPr>
        <w:t>指标体系设定满分为100分，绩效评估分值≥9</w:t>
      </w:r>
      <w:r>
        <w:rPr>
          <w:rFonts w:hint="eastAsia" w:ascii="仿宋" w:hAnsi="仿宋" w:eastAsia="仿宋" w:cs="仿宋"/>
          <w:sz w:val="30"/>
          <w:szCs w:val="30"/>
          <w:highlight w:val="none"/>
          <w:lang w:val="en-US" w:eastAsia="zh-CN"/>
        </w:rPr>
        <w:t>0</w:t>
      </w:r>
      <w:r>
        <w:rPr>
          <w:rFonts w:hint="eastAsia" w:ascii="仿宋" w:hAnsi="仿宋" w:eastAsia="仿宋" w:cs="仿宋"/>
          <w:sz w:val="30"/>
          <w:szCs w:val="30"/>
          <w:highlight w:val="none"/>
          <w:lang w:eastAsia="zh-CN"/>
        </w:rPr>
        <w:t>为优；80≤分值&lt;9</w:t>
      </w:r>
      <w:r>
        <w:rPr>
          <w:rFonts w:hint="eastAsia" w:ascii="仿宋" w:hAnsi="仿宋" w:eastAsia="仿宋" w:cs="仿宋"/>
          <w:sz w:val="30"/>
          <w:szCs w:val="30"/>
          <w:highlight w:val="none"/>
          <w:lang w:val="en-US" w:eastAsia="zh-CN"/>
        </w:rPr>
        <w:t>0</w:t>
      </w:r>
      <w:r>
        <w:rPr>
          <w:rFonts w:hint="eastAsia" w:ascii="仿宋" w:hAnsi="仿宋" w:eastAsia="仿宋" w:cs="仿宋"/>
          <w:sz w:val="30"/>
          <w:szCs w:val="30"/>
          <w:highlight w:val="none"/>
          <w:lang w:eastAsia="zh-CN"/>
        </w:rPr>
        <w:t>为良；60≤分值&lt;80为合格；60分以下为不合格。按照绩效评估指标对评估结果进行逐级、逐项分析，形成综合评估得分及等级。</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val="en-US" w:eastAsia="zh-CN"/>
        </w:rPr>
      </w:pPr>
      <w:bookmarkStart w:id="28" w:name="_Toc501368350"/>
      <w:bookmarkStart w:id="29" w:name="_Toc5968"/>
      <w:bookmarkStart w:id="30" w:name="_Toc31732"/>
      <w:bookmarkStart w:id="31" w:name="_Toc12583"/>
      <w:r>
        <w:rPr>
          <w:rFonts w:hint="eastAsia" w:ascii="仿宋" w:hAnsi="仿宋" w:eastAsia="仿宋" w:cs="仿宋"/>
          <w:sz w:val="30"/>
          <w:szCs w:val="30"/>
          <w:highlight w:val="none"/>
          <w:lang w:val="en-US" w:eastAsia="zh-CN"/>
        </w:rPr>
        <w:t>（四）</w:t>
      </w:r>
      <w:bookmarkEnd w:id="28"/>
      <w:bookmarkEnd w:id="29"/>
      <w:bookmarkEnd w:id="30"/>
      <w:bookmarkEnd w:id="31"/>
      <w:r>
        <w:rPr>
          <w:rFonts w:hint="eastAsia" w:ascii="仿宋" w:hAnsi="仿宋" w:eastAsia="仿宋" w:cs="仿宋"/>
          <w:sz w:val="30"/>
          <w:szCs w:val="30"/>
          <w:highlight w:val="none"/>
          <w:lang w:val="en-US" w:eastAsia="zh-CN"/>
        </w:rPr>
        <w:t>证据收集方法</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lang w:val="en-US" w:eastAsia="zh-CN"/>
        </w:rPr>
        <w:t>评估小组对项目资料进行收集、整理</w:t>
      </w:r>
      <w:r>
        <w:rPr>
          <w:rFonts w:hint="eastAsia" w:ascii="仿宋" w:hAnsi="仿宋" w:eastAsia="仿宋" w:cs="仿宋"/>
          <w:sz w:val="30"/>
          <w:szCs w:val="30"/>
          <w:highlight w:val="none"/>
          <w:lang w:eastAsia="zh-CN"/>
        </w:rPr>
        <w:t>，并进行分析，然后将获取的资料与从现场勘查中获得的资料汇集起来，对同一指标在不同文件资料中的证据进行对比、印证、核实和补充，经过验证和确定后得到了准确、可靠和有效的证据。最后，评估小组对证据进行了判断分析，形成评估依据。</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lang w:eastAsia="zh-CN"/>
        </w:rPr>
        <w:t>（五）绩效评估实施过程</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前期准备阶段</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主要是组建评估工作小组，了解评估项目基本情况，设计有关基础数据表格，下发项目执行单位需要准备的资料清单等。</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信息采集复核阶段</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项目执行单位进行初步准备后，评估小组先后深入项目执行单位以实地察看、面访、查阅相关资料、核查财务凭证及账簿等多种形式采集信息，复核基础数据和评估证据，并多次就相关资料的补充、完善进行沟通。</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指标体系设计论证阶段</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评估小组在收集各类基础数据，制作基础表格后，根据指定的评估方法，结合项目特点，开始设计项目产出和项目效益类指标。通过评估小组的集体商议，初步形成了既能体现评估意图又切合实际的系列指标。进一步修改完善指标体系，合理确定各指标权重，制定评分标准。</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数据分析和报告形成阶段</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完成系列基础性、前置性工作后，评估小组开始集中精力进行数据分析及指标计算比较，按规范格式撰写绩效评估报告初稿，并送有关方面征求意见，进一步修改后出具正式报告。</w:t>
      </w:r>
    </w:p>
    <w:bookmarkEnd w:id="16"/>
    <w:bookmarkEnd w:id="17"/>
    <w:bookmarkEnd w:id="18"/>
    <w:bookmarkEnd w:id="19"/>
    <w:bookmarkEnd w:id="20"/>
    <w:bookmarkEnd w:id="21"/>
    <w:p>
      <w:pPr>
        <w:pStyle w:val="3"/>
        <w:spacing w:beforeAutospacing="0" w:afterAutospacing="0" w:line="360" w:lineRule="auto"/>
        <w:ind w:firstLine="602" w:firstLineChars="200"/>
        <w:rPr>
          <w:rFonts w:hint="eastAsia" w:ascii="仿宋" w:hAnsi="仿宋" w:eastAsia="仿宋" w:cs="仿宋"/>
          <w:b w:val="0"/>
          <w:kern w:val="2"/>
          <w:sz w:val="30"/>
          <w:szCs w:val="30"/>
          <w:highlight w:val="none"/>
          <w:lang w:val="en-US" w:eastAsia="zh-CN" w:bidi="ar-SA"/>
        </w:rPr>
      </w:pPr>
      <w:bookmarkStart w:id="32" w:name="_Toc28493"/>
      <w:bookmarkStart w:id="33" w:name="_Toc8822"/>
      <w:bookmarkStart w:id="34" w:name="_Toc32473"/>
      <w:bookmarkStart w:id="35" w:name="_Toc501368358"/>
      <w:bookmarkStart w:id="36" w:name="_Toc83630330"/>
      <w:bookmarkStart w:id="37" w:name="_Toc501368359"/>
      <w:bookmarkStart w:id="38" w:name="_Toc12908"/>
      <w:bookmarkStart w:id="39" w:name="_Toc12058"/>
      <w:bookmarkStart w:id="40" w:name="_Toc32445"/>
      <w:bookmarkStart w:id="41" w:name="_Toc83631040"/>
      <w:r>
        <w:rPr>
          <w:rFonts w:hint="eastAsia" w:ascii="仿宋" w:hAnsi="仿宋" w:eastAsia="仿宋" w:cs="仿宋"/>
          <w:b/>
          <w:bCs/>
          <w:kern w:val="2"/>
          <w:sz w:val="30"/>
          <w:szCs w:val="30"/>
          <w:highlight w:val="none"/>
          <w:lang w:val="en-US" w:eastAsia="zh-CN" w:bidi="ar-SA"/>
        </w:rPr>
        <w:t>五、项目执行及绩效实现情况</w:t>
      </w:r>
      <w:bookmarkEnd w:id="32"/>
      <w:bookmarkEnd w:id="33"/>
      <w:bookmarkEnd w:id="34"/>
      <w:bookmarkEnd w:id="35"/>
    </w:p>
    <w:p>
      <w:pPr>
        <w:spacing w:line="360" w:lineRule="auto"/>
        <w:ind w:firstLine="600" w:firstLineChars="200"/>
        <w:jc w:val="left"/>
        <w:rPr>
          <w:rFonts w:hint="eastAsia" w:ascii="仿宋" w:hAnsi="仿宋" w:eastAsia="仿宋" w:cs="仿宋"/>
          <w:b w:val="0"/>
          <w:kern w:val="2"/>
          <w:sz w:val="30"/>
          <w:szCs w:val="30"/>
          <w:highlight w:val="none"/>
          <w:lang w:val="en-US" w:eastAsia="zh-CN" w:bidi="ar-SA"/>
        </w:rPr>
      </w:pPr>
      <w:r>
        <w:rPr>
          <w:rFonts w:hint="eastAsia" w:ascii="仿宋" w:hAnsi="仿宋" w:eastAsia="仿宋" w:cs="仿宋"/>
          <w:b w:val="0"/>
          <w:kern w:val="2"/>
          <w:sz w:val="30"/>
          <w:szCs w:val="30"/>
          <w:highlight w:val="none"/>
          <w:lang w:val="en-US" w:eastAsia="zh-CN" w:bidi="ar-SA"/>
        </w:rPr>
        <w:t>通过对该单位提供的项目资料和现场实地检查，该项目综合得分96分，评估等级为“优”。各项得分情况明细如下：</w:t>
      </w:r>
    </w:p>
    <w:p>
      <w:pPr>
        <w:pStyle w:val="4"/>
        <w:pageBreakBefore w:val="0"/>
        <w:kinsoku/>
        <w:wordWrap/>
        <w:overflowPunct/>
        <w:topLinePunct w:val="0"/>
        <w:autoSpaceDE/>
        <w:autoSpaceDN/>
        <w:bidi w:val="0"/>
        <w:adjustRightInd/>
        <w:snapToGrid/>
        <w:spacing w:before="0" w:after="0" w:line="560" w:lineRule="exact"/>
        <w:ind w:firstLine="600" w:firstLineChars="200"/>
        <w:rPr>
          <w:rFonts w:hint="eastAsia" w:ascii="仿宋" w:hAnsi="仿宋" w:eastAsia="仿宋" w:cs="仿宋"/>
          <w:b w:val="0"/>
          <w:bCs w:val="0"/>
          <w:sz w:val="30"/>
          <w:szCs w:val="30"/>
          <w:highlight w:val="none"/>
        </w:rPr>
      </w:pPr>
      <w:r>
        <w:rPr>
          <w:rFonts w:hint="eastAsia" w:ascii="仿宋" w:hAnsi="仿宋" w:eastAsia="仿宋" w:cs="仿宋"/>
          <w:b w:val="0"/>
          <w:bCs w:val="0"/>
          <w:sz w:val="30"/>
          <w:szCs w:val="30"/>
          <w:highlight w:val="none"/>
        </w:rPr>
        <w:t>（一）项目立项（</w:t>
      </w:r>
      <w:r>
        <w:rPr>
          <w:rFonts w:hint="eastAsia" w:ascii="仿宋" w:hAnsi="仿宋" w:eastAsia="仿宋" w:cs="仿宋"/>
          <w:b w:val="0"/>
          <w:bCs w:val="0"/>
          <w:sz w:val="30"/>
          <w:szCs w:val="30"/>
          <w:highlight w:val="none"/>
          <w:lang w:val="en-US" w:eastAsia="zh-CN"/>
        </w:rPr>
        <w:t>20</w:t>
      </w:r>
      <w:r>
        <w:rPr>
          <w:rFonts w:hint="eastAsia" w:ascii="仿宋" w:hAnsi="仿宋" w:eastAsia="仿宋" w:cs="仿宋"/>
          <w:b w:val="0"/>
          <w:bCs w:val="0"/>
          <w:sz w:val="30"/>
          <w:szCs w:val="30"/>
          <w:highlight w:val="none"/>
        </w:rPr>
        <w:t>分）</w:t>
      </w:r>
      <w:bookmarkEnd w:id="36"/>
      <w:bookmarkEnd w:id="37"/>
      <w:bookmarkEnd w:id="38"/>
      <w:bookmarkEnd w:id="39"/>
      <w:bookmarkEnd w:id="40"/>
      <w:bookmarkEnd w:id="41"/>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rPr>
      </w:pPr>
      <w:r>
        <w:rPr>
          <w:rFonts w:hint="eastAsia" w:ascii="仿宋" w:hAnsi="仿宋" w:eastAsia="仿宋" w:cs="仿宋"/>
          <w:sz w:val="30"/>
          <w:szCs w:val="30"/>
          <w:highlight w:val="none"/>
        </w:rPr>
        <w:t>该一级指标主要反映项目立项是否符合国家法规、政策规定，符合社会经济发展战略规划，项目决策是否满足政府职能，用于调节经济、市场监管、提供公共产品和服务，绩效目标的制定是否合理，绩效指标的制定是否清晰、细化、量化、可衡量。</w:t>
      </w:r>
    </w:p>
    <w:tbl>
      <w:tblPr>
        <w:tblStyle w:val="18"/>
        <w:tblW w:w="4996" w:type="pct"/>
        <w:jc w:val="center"/>
        <w:tblLayout w:type="autofit"/>
        <w:tblCellMar>
          <w:top w:w="15" w:type="dxa"/>
          <w:left w:w="15" w:type="dxa"/>
          <w:bottom w:w="15" w:type="dxa"/>
          <w:right w:w="15" w:type="dxa"/>
        </w:tblCellMar>
      </w:tblPr>
      <w:tblGrid>
        <w:gridCol w:w="2202"/>
        <w:gridCol w:w="2223"/>
        <w:gridCol w:w="2393"/>
        <w:gridCol w:w="1506"/>
        <w:gridCol w:w="1336"/>
      </w:tblGrid>
      <w:tr>
        <w:tblPrEx>
          <w:tblCellMar>
            <w:top w:w="15" w:type="dxa"/>
            <w:left w:w="15" w:type="dxa"/>
            <w:bottom w:w="15" w:type="dxa"/>
            <w:right w:w="15" w:type="dxa"/>
          </w:tblCellMar>
        </w:tblPrEx>
        <w:trPr>
          <w:trHeight w:val="482" w:hRule="exact"/>
          <w:jc w:val="center"/>
        </w:trPr>
        <w:tc>
          <w:tcPr>
            <w:tcW w:w="1140" w:type="pct"/>
            <w:tcBorders>
              <w:top w:val="single" w:color="000000" w:sz="4" w:space="0"/>
              <w:left w:val="single" w:color="000000"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rPr>
              <w:t>一级指标</w:t>
            </w:r>
          </w:p>
        </w:tc>
        <w:tc>
          <w:tcPr>
            <w:tcW w:w="1150" w:type="pct"/>
            <w:tcBorders>
              <w:top w:val="single" w:color="000000" w:sz="4" w:space="0"/>
              <w:left w:val="single" w:color="000000"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rPr>
              <w:t>二级指标</w:t>
            </w:r>
          </w:p>
        </w:tc>
        <w:tc>
          <w:tcPr>
            <w:tcW w:w="1237" w:type="pct"/>
            <w:tcBorders>
              <w:top w:val="single" w:color="000000" w:sz="4" w:space="0"/>
              <w:left w:val="single" w:color="000000"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rPr>
              <w:t>三级指标</w:t>
            </w:r>
          </w:p>
        </w:tc>
        <w:tc>
          <w:tcPr>
            <w:tcW w:w="779" w:type="pct"/>
            <w:tcBorders>
              <w:top w:val="single" w:color="000000" w:sz="4" w:space="0"/>
              <w:left w:val="single" w:color="000000"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rPr>
              <w:t>分数权重</w:t>
            </w:r>
          </w:p>
        </w:tc>
        <w:tc>
          <w:tcPr>
            <w:tcW w:w="691" w:type="pct"/>
            <w:tcBorders>
              <w:top w:val="single" w:color="000000" w:sz="4" w:space="0"/>
              <w:left w:val="single" w:color="000000"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rPr>
              <w:t>得分</w:t>
            </w:r>
          </w:p>
        </w:tc>
      </w:tr>
      <w:tr>
        <w:tblPrEx>
          <w:tblCellMar>
            <w:top w:w="15" w:type="dxa"/>
            <w:left w:w="15" w:type="dxa"/>
            <w:bottom w:w="15" w:type="dxa"/>
            <w:right w:w="15" w:type="dxa"/>
          </w:tblCellMar>
        </w:tblPrEx>
        <w:trPr>
          <w:trHeight w:val="529" w:hRule="exact"/>
          <w:jc w:val="center"/>
        </w:trPr>
        <w:tc>
          <w:tcPr>
            <w:tcW w:w="1140" w:type="pct"/>
            <w:vMerge w:val="restart"/>
            <w:tcBorders>
              <w:top w:val="single" w:color="000000" w:sz="4" w:space="0"/>
              <w:left w:val="single" w:color="000000"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项目立项</w:t>
            </w:r>
          </w:p>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rPr>
              <w:t>(</w:t>
            </w:r>
            <w:r>
              <w:rPr>
                <w:rFonts w:hint="eastAsia" w:ascii="仿宋" w:hAnsi="仿宋" w:eastAsia="仿宋" w:cs="仿宋"/>
                <w:color w:val="000000"/>
                <w:kern w:val="0"/>
                <w:sz w:val="24"/>
                <w:szCs w:val="24"/>
                <w:highlight w:val="none"/>
                <w:lang w:val="en-US" w:eastAsia="zh-CN"/>
              </w:rPr>
              <w:t>20</w:t>
            </w:r>
            <w:r>
              <w:rPr>
                <w:rFonts w:hint="eastAsia" w:ascii="仿宋" w:hAnsi="仿宋" w:eastAsia="仿宋" w:cs="仿宋"/>
                <w:color w:val="000000"/>
                <w:kern w:val="0"/>
                <w:sz w:val="24"/>
                <w:szCs w:val="24"/>
                <w:highlight w:val="none"/>
              </w:rPr>
              <w:t>分)</w:t>
            </w:r>
          </w:p>
        </w:tc>
        <w:tc>
          <w:tcPr>
            <w:tcW w:w="1150" w:type="pct"/>
            <w:vMerge w:val="restart"/>
            <w:tcBorders>
              <w:top w:val="single" w:color="000000" w:sz="4" w:space="0"/>
              <w:left w:val="single" w:color="000000"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rPr>
              <w:t>决策机制（</w:t>
            </w:r>
            <w:r>
              <w:rPr>
                <w:rFonts w:hint="eastAsia" w:ascii="仿宋" w:hAnsi="仿宋" w:eastAsia="仿宋" w:cs="仿宋"/>
                <w:color w:val="000000"/>
                <w:kern w:val="0"/>
                <w:sz w:val="24"/>
                <w:szCs w:val="24"/>
                <w:highlight w:val="none"/>
                <w:lang w:val="en-US" w:eastAsia="zh-CN"/>
              </w:rPr>
              <w:t>12</w:t>
            </w:r>
            <w:r>
              <w:rPr>
                <w:rFonts w:hint="eastAsia" w:ascii="仿宋" w:hAnsi="仿宋" w:eastAsia="仿宋" w:cs="仿宋"/>
                <w:color w:val="000000"/>
                <w:kern w:val="0"/>
                <w:sz w:val="24"/>
                <w:szCs w:val="24"/>
                <w:highlight w:val="none"/>
              </w:rPr>
              <w:t>分）</w:t>
            </w:r>
          </w:p>
        </w:tc>
        <w:tc>
          <w:tcPr>
            <w:tcW w:w="1237" w:type="pct"/>
            <w:tcBorders>
              <w:top w:val="single" w:color="000000" w:sz="4" w:space="0"/>
              <w:left w:val="single" w:color="000000"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kern w:val="0"/>
                <w:sz w:val="24"/>
                <w:szCs w:val="24"/>
                <w:highlight w:val="none"/>
                <w:lang w:val="en-US" w:eastAsia="zh-CN"/>
              </w:rPr>
            </w:pPr>
            <w:r>
              <w:rPr>
                <w:rFonts w:hint="eastAsia" w:ascii="仿宋" w:hAnsi="仿宋" w:eastAsia="仿宋" w:cs="仿宋"/>
                <w:color w:val="000000"/>
                <w:kern w:val="0"/>
                <w:sz w:val="24"/>
                <w:szCs w:val="24"/>
                <w:highlight w:val="none"/>
              </w:rPr>
              <w:t>项目设立</w:t>
            </w:r>
            <w:r>
              <w:rPr>
                <w:rFonts w:hint="eastAsia" w:ascii="仿宋" w:hAnsi="仿宋" w:eastAsia="仿宋" w:cs="仿宋"/>
                <w:color w:val="000000"/>
                <w:kern w:val="0"/>
                <w:sz w:val="24"/>
                <w:szCs w:val="24"/>
                <w:highlight w:val="none"/>
                <w:lang w:val="en-US" w:eastAsia="zh-CN"/>
              </w:rPr>
              <w:t>规范性</w:t>
            </w:r>
          </w:p>
        </w:tc>
        <w:tc>
          <w:tcPr>
            <w:tcW w:w="779" w:type="pct"/>
            <w:tcBorders>
              <w:top w:val="single" w:color="000000" w:sz="4" w:space="0"/>
              <w:left w:val="single" w:color="000000"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kern w:val="0"/>
                <w:sz w:val="24"/>
                <w:szCs w:val="24"/>
                <w:highlight w:val="none"/>
                <w:lang w:eastAsia="zh-CN"/>
              </w:rPr>
            </w:pPr>
            <w:r>
              <w:rPr>
                <w:rFonts w:hint="eastAsia" w:ascii="仿宋" w:hAnsi="仿宋" w:eastAsia="仿宋" w:cs="仿宋"/>
                <w:color w:val="000000"/>
                <w:kern w:val="0"/>
                <w:sz w:val="24"/>
                <w:szCs w:val="24"/>
                <w:highlight w:val="none"/>
                <w:lang w:val="en-US" w:eastAsia="zh-CN"/>
              </w:rPr>
              <w:t>6</w:t>
            </w:r>
          </w:p>
        </w:tc>
        <w:tc>
          <w:tcPr>
            <w:tcW w:w="1336" w:type="dxa"/>
            <w:tcBorders>
              <w:top w:val="single" w:color="000000" w:sz="4" w:space="0"/>
              <w:left w:val="single" w:color="000000"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lang w:val="en-US" w:eastAsia="zh-CN"/>
              </w:rPr>
              <w:t>6</w:t>
            </w:r>
          </w:p>
        </w:tc>
      </w:tr>
      <w:tr>
        <w:tblPrEx>
          <w:tblCellMar>
            <w:top w:w="15" w:type="dxa"/>
            <w:left w:w="15" w:type="dxa"/>
            <w:bottom w:w="15" w:type="dxa"/>
            <w:right w:w="15" w:type="dxa"/>
          </w:tblCellMar>
        </w:tblPrEx>
        <w:trPr>
          <w:trHeight w:val="691" w:hRule="exact"/>
          <w:jc w:val="center"/>
        </w:trPr>
        <w:tc>
          <w:tcPr>
            <w:tcW w:w="1140" w:type="pct"/>
            <w:vMerge w:val="continue"/>
            <w:tcBorders>
              <w:top w:val="single" w:color="000000" w:sz="4" w:space="0"/>
              <w:left w:val="single" w:color="000000" w:sz="4" w:space="0"/>
              <w:bottom w:val="single" w:color="000000" w:sz="4" w:space="0"/>
              <w:right w:val="single" w:color="000000" w:sz="4" w:space="0"/>
            </w:tcBorders>
            <w:vAlign w:val="center"/>
          </w:tcPr>
          <w:p>
            <w:pPr>
              <w:pageBreakBefore w:val="0"/>
              <w:kinsoku/>
              <w:wordWrap/>
              <w:overflowPunct/>
              <w:topLinePunct w:val="0"/>
              <w:autoSpaceDE/>
              <w:autoSpaceDN/>
              <w:bidi w:val="0"/>
              <w:adjustRightInd/>
              <w:snapToGrid/>
              <w:spacing w:line="560" w:lineRule="exact"/>
              <w:jc w:val="center"/>
              <w:rPr>
                <w:rFonts w:hint="eastAsia" w:ascii="仿宋" w:hAnsi="仿宋" w:eastAsia="仿宋" w:cs="仿宋"/>
                <w:color w:val="000000"/>
                <w:sz w:val="24"/>
                <w:szCs w:val="24"/>
                <w:highlight w:val="none"/>
              </w:rPr>
            </w:pPr>
          </w:p>
        </w:tc>
        <w:tc>
          <w:tcPr>
            <w:tcW w:w="1150" w:type="pct"/>
            <w:vMerge w:val="continue"/>
            <w:tcBorders>
              <w:top w:val="single" w:color="000000" w:sz="4" w:space="0"/>
              <w:left w:val="single" w:color="000000" w:sz="4" w:space="0"/>
              <w:bottom w:val="single" w:color="000000" w:sz="4" w:space="0"/>
              <w:right w:val="single" w:color="000000" w:sz="4" w:space="0"/>
            </w:tcBorders>
            <w:vAlign w:val="center"/>
          </w:tcPr>
          <w:p>
            <w:pPr>
              <w:pageBreakBefore w:val="0"/>
              <w:kinsoku/>
              <w:wordWrap/>
              <w:overflowPunct/>
              <w:topLinePunct w:val="0"/>
              <w:autoSpaceDE/>
              <w:autoSpaceDN/>
              <w:bidi w:val="0"/>
              <w:adjustRightInd/>
              <w:snapToGrid/>
              <w:spacing w:line="560" w:lineRule="exact"/>
              <w:jc w:val="center"/>
              <w:rPr>
                <w:rFonts w:hint="eastAsia" w:ascii="仿宋" w:hAnsi="仿宋" w:eastAsia="仿宋" w:cs="仿宋"/>
                <w:color w:val="000000"/>
                <w:sz w:val="24"/>
                <w:szCs w:val="24"/>
                <w:highlight w:val="none"/>
              </w:rPr>
            </w:pPr>
          </w:p>
        </w:tc>
        <w:tc>
          <w:tcPr>
            <w:tcW w:w="1237" w:type="pct"/>
            <w:tcBorders>
              <w:top w:val="single" w:color="000000" w:sz="4" w:space="0"/>
              <w:left w:val="single" w:color="000000"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项目决策必要性</w:t>
            </w:r>
          </w:p>
        </w:tc>
        <w:tc>
          <w:tcPr>
            <w:tcW w:w="779" w:type="pct"/>
            <w:tcBorders>
              <w:top w:val="single" w:color="000000" w:sz="4" w:space="0"/>
              <w:left w:val="single" w:color="000000"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kern w:val="0"/>
                <w:sz w:val="24"/>
                <w:szCs w:val="24"/>
                <w:highlight w:val="none"/>
                <w:lang w:eastAsia="zh-CN"/>
              </w:rPr>
            </w:pPr>
            <w:r>
              <w:rPr>
                <w:rFonts w:hint="eastAsia" w:ascii="仿宋" w:hAnsi="仿宋" w:eastAsia="仿宋" w:cs="仿宋"/>
                <w:color w:val="000000"/>
                <w:kern w:val="0"/>
                <w:sz w:val="24"/>
                <w:szCs w:val="24"/>
                <w:highlight w:val="none"/>
                <w:lang w:val="en-US" w:eastAsia="zh-CN"/>
              </w:rPr>
              <w:t>6</w:t>
            </w:r>
          </w:p>
        </w:tc>
        <w:tc>
          <w:tcPr>
            <w:tcW w:w="1336" w:type="dxa"/>
            <w:tcBorders>
              <w:top w:val="single" w:color="000000" w:sz="4" w:space="0"/>
              <w:left w:val="single" w:color="000000"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lang w:val="en-US" w:eastAsia="zh-CN"/>
              </w:rPr>
              <w:t>6</w:t>
            </w:r>
          </w:p>
        </w:tc>
      </w:tr>
      <w:tr>
        <w:tblPrEx>
          <w:tblCellMar>
            <w:top w:w="15" w:type="dxa"/>
            <w:left w:w="15" w:type="dxa"/>
            <w:bottom w:w="15" w:type="dxa"/>
            <w:right w:w="15" w:type="dxa"/>
          </w:tblCellMar>
        </w:tblPrEx>
        <w:trPr>
          <w:trHeight w:val="561" w:hRule="exact"/>
          <w:jc w:val="center"/>
        </w:trPr>
        <w:tc>
          <w:tcPr>
            <w:tcW w:w="1140" w:type="pct"/>
            <w:vMerge w:val="continue"/>
            <w:tcBorders>
              <w:top w:val="single" w:color="000000" w:sz="4" w:space="0"/>
              <w:left w:val="single" w:color="000000" w:sz="4" w:space="0"/>
              <w:bottom w:val="single" w:color="000000" w:sz="4" w:space="0"/>
              <w:right w:val="single" w:color="000000" w:sz="4" w:space="0"/>
            </w:tcBorders>
            <w:vAlign w:val="center"/>
          </w:tcPr>
          <w:p>
            <w:pPr>
              <w:pageBreakBefore w:val="0"/>
              <w:kinsoku/>
              <w:wordWrap/>
              <w:overflowPunct/>
              <w:topLinePunct w:val="0"/>
              <w:autoSpaceDE/>
              <w:autoSpaceDN/>
              <w:bidi w:val="0"/>
              <w:adjustRightInd/>
              <w:snapToGrid/>
              <w:spacing w:line="560" w:lineRule="exact"/>
              <w:jc w:val="center"/>
              <w:rPr>
                <w:rFonts w:hint="eastAsia" w:ascii="仿宋" w:hAnsi="仿宋" w:eastAsia="仿宋" w:cs="仿宋"/>
                <w:color w:val="000000"/>
                <w:sz w:val="24"/>
                <w:szCs w:val="24"/>
                <w:highlight w:val="none"/>
              </w:rPr>
            </w:pPr>
          </w:p>
        </w:tc>
        <w:tc>
          <w:tcPr>
            <w:tcW w:w="1150" w:type="pct"/>
            <w:vMerge w:val="restart"/>
            <w:tcBorders>
              <w:top w:val="single" w:color="000000" w:sz="4" w:space="0"/>
              <w:left w:val="single" w:color="000000"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rPr>
              <w:t>绩效目标（</w:t>
            </w:r>
            <w:r>
              <w:rPr>
                <w:rFonts w:hint="eastAsia" w:ascii="仿宋" w:hAnsi="仿宋" w:eastAsia="仿宋" w:cs="仿宋"/>
                <w:color w:val="000000"/>
                <w:kern w:val="0"/>
                <w:sz w:val="24"/>
                <w:szCs w:val="24"/>
                <w:highlight w:val="none"/>
                <w:lang w:val="en-US" w:eastAsia="zh-CN"/>
              </w:rPr>
              <w:t>8</w:t>
            </w:r>
            <w:r>
              <w:rPr>
                <w:rFonts w:hint="eastAsia" w:ascii="仿宋" w:hAnsi="仿宋" w:eastAsia="仿宋" w:cs="仿宋"/>
                <w:color w:val="000000"/>
                <w:kern w:val="0"/>
                <w:sz w:val="24"/>
                <w:szCs w:val="24"/>
                <w:highlight w:val="none"/>
              </w:rPr>
              <w:t>分）</w:t>
            </w:r>
          </w:p>
        </w:tc>
        <w:tc>
          <w:tcPr>
            <w:tcW w:w="1237" w:type="pct"/>
            <w:tcBorders>
              <w:top w:val="single" w:color="000000" w:sz="4" w:space="0"/>
              <w:left w:val="single" w:color="000000"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合理性</w:t>
            </w:r>
          </w:p>
        </w:tc>
        <w:tc>
          <w:tcPr>
            <w:tcW w:w="779" w:type="pct"/>
            <w:tcBorders>
              <w:top w:val="single" w:color="000000" w:sz="4" w:space="0"/>
              <w:left w:val="single" w:color="000000"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kern w:val="0"/>
                <w:sz w:val="24"/>
                <w:szCs w:val="24"/>
                <w:highlight w:val="none"/>
                <w:lang w:eastAsia="zh-CN"/>
              </w:rPr>
            </w:pPr>
            <w:r>
              <w:rPr>
                <w:rFonts w:hint="eastAsia" w:ascii="仿宋" w:hAnsi="仿宋" w:eastAsia="仿宋" w:cs="仿宋"/>
                <w:color w:val="000000"/>
                <w:kern w:val="0"/>
                <w:sz w:val="24"/>
                <w:szCs w:val="24"/>
                <w:highlight w:val="none"/>
                <w:lang w:val="en-US" w:eastAsia="zh-CN"/>
              </w:rPr>
              <w:t>4</w:t>
            </w:r>
          </w:p>
        </w:tc>
        <w:tc>
          <w:tcPr>
            <w:tcW w:w="1336" w:type="dxa"/>
            <w:tcBorders>
              <w:top w:val="single" w:color="000000" w:sz="4" w:space="0"/>
              <w:left w:val="single" w:color="000000"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lang w:val="en-US" w:eastAsia="zh-CN"/>
              </w:rPr>
              <w:t>4</w:t>
            </w:r>
          </w:p>
        </w:tc>
      </w:tr>
      <w:tr>
        <w:tblPrEx>
          <w:tblCellMar>
            <w:top w:w="15" w:type="dxa"/>
            <w:left w:w="15" w:type="dxa"/>
            <w:bottom w:w="15" w:type="dxa"/>
            <w:right w:w="15" w:type="dxa"/>
          </w:tblCellMar>
        </w:tblPrEx>
        <w:trPr>
          <w:trHeight w:val="572" w:hRule="exact"/>
          <w:jc w:val="center"/>
        </w:trPr>
        <w:tc>
          <w:tcPr>
            <w:tcW w:w="1140" w:type="pct"/>
            <w:vMerge w:val="continue"/>
            <w:tcBorders>
              <w:top w:val="single" w:color="000000" w:sz="4" w:space="0"/>
              <w:left w:val="single" w:color="000000" w:sz="4" w:space="0"/>
              <w:bottom w:val="single" w:color="000000" w:sz="4" w:space="0"/>
              <w:right w:val="single" w:color="000000" w:sz="4" w:space="0"/>
            </w:tcBorders>
            <w:vAlign w:val="center"/>
          </w:tcPr>
          <w:p>
            <w:pPr>
              <w:pageBreakBefore w:val="0"/>
              <w:kinsoku/>
              <w:wordWrap/>
              <w:overflowPunct/>
              <w:topLinePunct w:val="0"/>
              <w:autoSpaceDE/>
              <w:autoSpaceDN/>
              <w:bidi w:val="0"/>
              <w:adjustRightInd/>
              <w:snapToGrid/>
              <w:spacing w:line="560" w:lineRule="exact"/>
              <w:jc w:val="center"/>
              <w:rPr>
                <w:rFonts w:hint="eastAsia" w:ascii="仿宋" w:hAnsi="仿宋" w:eastAsia="仿宋" w:cs="仿宋"/>
                <w:color w:val="000000"/>
                <w:sz w:val="24"/>
                <w:szCs w:val="24"/>
                <w:highlight w:val="none"/>
              </w:rPr>
            </w:pPr>
          </w:p>
        </w:tc>
        <w:tc>
          <w:tcPr>
            <w:tcW w:w="1150" w:type="pct"/>
            <w:vMerge w:val="continue"/>
            <w:tcBorders>
              <w:top w:val="single" w:color="000000" w:sz="4" w:space="0"/>
              <w:left w:val="single" w:color="000000" w:sz="4" w:space="0"/>
              <w:bottom w:val="single" w:color="000000" w:sz="4" w:space="0"/>
              <w:right w:val="single" w:color="000000" w:sz="4" w:space="0"/>
            </w:tcBorders>
            <w:vAlign w:val="center"/>
          </w:tcPr>
          <w:p>
            <w:pPr>
              <w:pageBreakBefore w:val="0"/>
              <w:kinsoku/>
              <w:wordWrap/>
              <w:overflowPunct/>
              <w:topLinePunct w:val="0"/>
              <w:autoSpaceDE/>
              <w:autoSpaceDN/>
              <w:bidi w:val="0"/>
              <w:adjustRightInd/>
              <w:snapToGrid/>
              <w:spacing w:line="560" w:lineRule="exact"/>
              <w:jc w:val="center"/>
              <w:rPr>
                <w:rFonts w:hint="eastAsia" w:ascii="仿宋" w:hAnsi="仿宋" w:eastAsia="仿宋" w:cs="仿宋"/>
                <w:color w:val="000000"/>
                <w:sz w:val="24"/>
                <w:szCs w:val="24"/>
                <w:highlight w:val="none"/>
              </w:rPr>
            </w:pPr>
          </w:p>
        </w:tc>
        <w:tc>
          <w:tcPr>
            <w:tcW w:w="1237" w:type="pct"/>
            <w:tcBorders>
              <w:top w:val="single" w:color="000000" w:sz="4" w:space="0"/>
              <w:left w:val="single" w:color="000000"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明确性</w:t>
            </w:r>
          </w:p>
        </w:tc>
        <w:tc>
          <w:tcPr>
            <w:tcW w:w="779" w:type="pct"/>
            <w:tcBorders>
              <w:top w:val="single" w:color="000000" w:sz="4" w:space="0"/>
              <w:left w:val="single" w:color="000000"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kern w:val="0"/>
                <w:sz w:val="24"/>
                <w:szCs w:val="24"/>
                <w:highlight w:val="none"/>
                <w:lang w:eastAsia="zh-CN"/>
              </w:rPr>
            </w:pPr>
            <w:r>
              <w:rPr>
                <w:rFonts w:hint="eastAsia" w:ascii="仿宋" w:hAnsi="仿宋" w:eastAsia="仿宋" w:cs="仿宋"/>
                <w:color w:val="000000"/>
                <w:kern w:val="0"/>
                <w:sz w:val="24"/>
                <w:szCs w:val="24"/>
                <w:highlight w:val="none"/>
                <w:lang w:val="en-US" w:eastAsia="zh-CN"/>
              </w:rPr>
              <w:t>4</w:t>
            </w:r>
          </w:p>
        </w:tc>
        <w:tc>
          <w:tcPr>
            <w:tcW w:w="1336" w:type="dxa"/>
            <w:tcBorders>
              <w:top w:val="single" w:color="000000" w:sz="4" w:space="0"/>
              <w:left w:val="single" w:color="000000"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kern w:val="0"/>
                <w:sz w:val="24"/>
                <w:szCs w:val="24"/>
                <w:highlight w:val="none"/>
                <w:lang w:val="en-US" w:eastAsia="zh-CN"/>
              </w:rPr>
            </w:pPr>
            <w:r>
              <w:rPr>
                <w:rFonts w:hint="eastAsia" w:ascii="仿宋" w:hAnsi="仿宋" w:eastAsia="仿宋" w:cs="仿宋"/>
                <w:color w:val="000000"/>
                <w:kern w:val="0"/>
                <w:sz w:val="24"/>
                <w:szCs w:val="24"/>
                <w:highlight w:val="none"/>
                <w:lang w:val="en-US" w:eastAsia="zh-CN"/>
              </w:rPr>
              <w:t>2</w:t>
            </w:r>
          </w:p>
        </w:tc>
      </w:tr>
      <w:tr>
        <w:tblPrEx>
          <w:tblCellMar>
            <w:top w:w="15" w:type="dxa"/>
            <w:left w:w="15" w:type="dxa"/>
            <w:bottom w:w="15" w:type="dxa"/>
            <w:right w:w="15" w:type="dxa"/>
          </w:tblCellMar>
        </w:tblPrEx>
        <w:trPr>
          <w:trHeight w:val="492" w:hRule="exact"/>
          <w:jc w:val="center"/>
        </w:trPr>
        <w:tc>
          <w:tcPr>
            <w:tcW w:w="3528" w:type="pct"/>
            <w:gridSpan w:val="3"/>
            <w:tcBorders>
              <w:top w:val="single" w:color="000000" w:sz="4" w:space="0"/>
              <w:left w:val="single" w:color="000000"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合  计</w:t>
            </w:r>
          </w:p>
        </w:tc>
        <w:tc>
          <w:tcPr>
            <w:tcW w:w="779" w:type="pct"/>
            <w:tcBorders>
              <w:top w:val="single" w:color="000000" w:sz="4" w:space="0"/>
              <w:left w:val="single" w:color="000000"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default" w:ascii="仿宋" w:hAnsi="仿宋" w:eastAsia="仿宋" w:cs="仿宋"/>
                <w:color w:val="000000"/>
                <w:kern w:val="0"/>
                <w:sz w:val="24"/>
                <w:szCs w:val="24"/>
                <w:highlight w:val="none"/>
                <w:lang w:val="en-US" w:eastAsia="zh-CN"/>
              </w:rPr>
            </w:pPr>
            <w:r>
              <w:rPr>
                <w:rFonts w:hint="eastAsia" w:ascii="仿宋" w:hAnsi="仿宋" w:eastAsia="仿宋" w:cs="仿宋"/>
                <w:color w:val="000000"/>
                <w:kern w:val="0"/>
                <w:sz w:val="24"/>
                <w:szCs w:val="24"/>
                <w:highlight w:val="none"/>
                <w:lang w:val="en-US" w:eastAsia="zh-CN"/>
              </w:rPr>
              <w:t>20</w:t>
            </w:r>
          </w:p>
        </w:tc>
        <w:tc>
          <w:tcPr>
            <w:tcW w:w="1336" w:type="dxa"/>
            <w:tcBorders>
              <w:top w:val="single" w:color="000000" w:sz="4" w:space="0"/>
              <w:left w:val="single" w:color="000000"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default" w:ascii="仿宋" w:hAnsi="仿宋" w:eastAsia="仿宋" w:cs="仿宋"/>
                <w:color w:val="000000"/>
                <w:kern w:val="0"/>
                <w:sz w:val="24"/>
                <w:szCs w:val="24"/>
                <w:highlight w:val="none"/>
                <w:lang w:val="en-US" w:eastAsia="zh-CN"/>
              </w:rPr>
            </w:pPr>
            <w:r>
              <w:rPr>
                <w:rFonts w:hint="eastAsia" w:ascii="仿宋" w:hAnsi="仿宋" w:eastAsia="仿宋" w:cs="仿宋"/>
                <w:color w:val="000000"/>
                <w:kern w:val="0"/>
                <w:sz w:val="24"/>
                <w:szCs w:val="24"/>
                <w:highlight w:val="none"/>
                <w:lang w:val="en-US" w:eastAsia="zh-CN"/>
              </w:rPr>
              <w:t>18</w:t>
            </w:r>
          </w:p>
        </w:tc>
      </w:tr>
    </w:tbl>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rPr>
      </w:pPr>
      <w:r>
        <w:rPr>
          <w:rFonts w:hint="eastAsia" w:ascii="仿宋" w:hAnsi="仿宋" w:eastAsia="仿宋" w:cs="仿宋"/>
          <w:sz w:val="30"/>
          <w:szCs w:val="30"/>
          <w:highlight w:val="none"/>
        </w:rPr>
        <w:t>1.决策机制（</w:t>
      </w:r>
      <w:r>
        <w:rPr>
          <w:rFonts w:hint="eastAsia" w:ascii="仿宋" w:hAnsi="仿宋" w:eastAsia="仿宋" w:cs="仿宋"/>
          <w:sz w:val="30"/>
          <w:szCs w:val="30"/>
          <w:highlight w:val="none"/>
          <w:lang w:val="en-US" w:eastAsia="zh-CN"/>
        </w:rPr>
        <w:t>12</w:t>
      </w:r>
      <w:r>
        <w:rPr>
          <w:rFonts w:hint="eastAsia" w:ascii="仿宋" w:hAnsi="仿宋" w:eastAsia="仿宋" w:cs="仿宋"/>
          <w:sz w:val="30"/>
          <w:szCs w:val="30"/>
          <w:highlight w:val="none"/>
        </w:rPr>
        <w:t>分）</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rPr>
        <w:t>该指标包含2个三级指标，主要</w:t>
      </w:r>
      <w:r>
        <w:rPr>
          <w:rFonts w:hint="eastAsia" w:ascii="仿宋" w:hAnsi="仿宋" w:eastAsia="仿宋" w:cs="仿宋"/>
          <w:sz w:val="30"/>
          <w:szCs w:val="30"/>
          <w:highlight w:val="none"/>
          <w:lang w:eastAsia="zh-CN"/>
        </w:rPr>
        <w:t>评估</w:t>
      </w:r>
      <w:r>
        <w:rPr>
          <w:rFonts w:hint="eastAsia" w:ascii="仿宋" w:hAnsi="仿宋" w:eastAsia="仿宋" w:cs="仿宋"/>
          <w:sz w:val="30"/>
          <w:szCs w:val="30"/>
          <w:highlight w:val="none"/>
        </w:rPr>
        <w:t>项目立项是否符合国家法规、政策规定，符合社会经济发展战略规划；项目内容设置与国家及地方政策、规划、社会需求等相关内容相符程度，决策过程是否规范。</w:t>
      </w:r>
    </w:p>
    <w:p>
      <w:pPr>
        <w:pageBreakBefore w:val="0"/>
        <w:numPr>
          <w:ilvl w:val="0"/>
          <w:numId w:val="1"/>
        </w:numPr>
        <w:kinsoku/>
        <w:wordWrap/>
        <w:overflowPunct/>
        <w:topLinePunct w:val="0"/>
        <w:autoSpaceDE/>
        <w:autoSpaceDN/>
        <w:bidi w:val="0"/>
        <w:adjustRightInd/>
        <w:snapToGrid/>
        <w:spacing w:line="560" w:lineRule="exact"/>
        <w:ind w:firstLine="300" w:firstLineChars="100"/>
        <w:jc w:val="left"/>
        <w:rPr>
          <w:rFonts w:hint="eastAsia" w:ascii="仿宋" w:hAnsi="仿宋" w:eastAsia="仿宋" w:cs="仿宋"/>
          <w:sz w:val="30"/>
          <w:szCs w:val="30"/>
          <w:highlight w:val="none"/>
        </w:rPr>
      </w:pPr>
      <w:r>
        <w:rPr>
          <w:rFonts w:hint="eastAsia" w:ascii="仿宋" w:hAnsi="仿宋" w:eastAsia="仿宋" w:cs="仿宋"/>
          <w:sz w:val="30"/>
          <w:szCs w:val="30"/>
          <w:highlight w:val="none"/>
        </w:rPr>
        <w:t>项目设立</w:t>
      </w:r>
      <w:r>
        <w:rPr>
          <w:rFonts w:hint="eastAsia" w:ascii="仿宋" w:hAnsi="仿宋" w:eastAsia="仿宋" w:cs="仿宋"/>
          <w:sz w:val="30"/>
          <w:szCs w:val="30"/>
          <w:highlight w:val="none"/>
          <w:lang w:val="en-US" w:eastAsia="zh-CN"/>
        </w:rPr>
        <w:t>规范性</w:t>
      </w:r>
      <w:r>
        <w:rPr>
          <w:rFonts w:hint="eastAsia" w:ascii="仿宋" w:hAnsi="仿宋" w:eastAsia="仿宋" w:cs="仿宋"/>
          <w:sz w:val="30"/>
          <w:szCs w:val="30"/>
          <w:highlight w:val="none"/>
        </w:rPr>
        <w:t>（</w:t>
      </w:r>
      <w:r>
        <w:rPr>
          <w:rFonts w:hint="eastAsia" w:ascii="仿宋" w:hAnsi="仿宋" w:eastAsia="仿宋" w:cs="仿宋"/>
          <w:sz w:val="30"/>
          <w:szCs w:val="30"/>
          <w:highlight w:val="none"/>
          <w:lang w:val="en-US" w:eastAsia="zh-CN"/>
        </w:rPr>
        <w:t>6</w:t>
      </w:r>
      <w:r>
        <w:rPr>
          <w:rFonts w:hint="eastAsia" w:ascii="仿宋" w:hAnsi="仿宋" w:eastAsia="仿宋" w:cs="仿宋"/>
          <w:sz w:val="30"/>
          <w:szCs w:val="30"/>
          <w:highlight w:val="none"/>
        </w:rPr>
        <w:t>分）</w:t>
      </w:r>
    </w:p>
    <w:p>
      <w:pPr>
        <w:pageBreakBefore w:val="0"/>
        <w:kinsoku/>
        <w:wordWrap/>
        <w:overflowPunct/>
        <w:topLinePunct w:val="0"/>
        <w:autoSpaceDE/>
        <w:autoSpaceDN/>
        <w:bidi w:val="0"/>
        <w:adjustRightInd/>
        <w:snapToGrid/>
        <w:spacing w:line="560" w:lineRule="exact"/>
        <w:jc w:val="left"/>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rPr>
        <w:t xml:space="preserve">   该指标主要</w:t>
      </w:r>
      <w:r>
        <w:rPr>
          <w:rFonts w:hint="eastAsia" w:ascii="仿宋" w:hAnsi="仿宋" w:eastAsia="仿宋" w:cs="仿宋"/>
          <w:sz w:val="30"/>
          <w:szCs w:val="30"/>
          <w:highlight w:val="none"/>
          <w:lang w:eastAsia="zh-CN"/>
        </w:rPr>
        <w:t>评估</w:t>
      </w:r>
      <w:r>
        <w:rPr>
          <w:rFonts w:hint="eastAsia" w:ascii="仿宋" w:hAnsi="仿宋" w:eastAsia="仿宋" w:cs="仿宋"/>
          <w:sz w:val="30"/>
          <w:szCs w:val="30"/>
          <w:highlight w:val="none"/>
        </w:rPr>
        <w:t>该项目立项是否符合国家法规、政策规定，符合社会经济发展战略规划</w:t>
      </w:r>
      <w:r>
        <w:rPr>
          <w:rFonts w:hint="eastAsia" w:ascii="仿宋" w:hAnsi="仿宋" w:eastAsia="仿宋" w:cs="仿宋"/>
          <w:sz w:val="30"/>
          <w:szCs w:val="30"/>
          <w:highlight w:val="none"/>
          <w:lang w:eastAsia="zh-CN"/>
        </w:rPr>
        <w:t>。</w:t>
      </w:r>
    </w:p>
    <w:p>
      <w:pPr>
        <w:pageBreakBefore w:val="0"/>
        <w:kinsoku/>
        <w:wordWrap/>
        <w:overflowPunct/>
        <w:topLinePunct w:val="0"/>
        <w:autoSpaceDE/>
        <w:autoSpaceDN/>
        <w:bidi w:val="0"/>
        <w:adjustRightInd/>
        <w:snapToGrid/>
        <w:spacing w:line="560" w:lineRule="exact"/>
        <w:ind w:firstLine="600" w:firstLineChars="200"/>
        <w:jc w:val="left"/>
        <w:rPr>
          <w:rFonts w:hint="default" w:ascii="仿宋" w:hAnsi="仿宋" w:eastAsia="仿宋" w:cs="仿宋"/>
          <w:sz w:val="30"/>
          <w:szCs w:val="30"/>
          <w:highlight w:val="none"/>
          <w:lang w:val="en-US" w:eastAsia="zh-CN"/>
        </w:rPr>
      </w:pPr>
      <w:bookmarkStart w:id="42" w:name="_Toc83630331"/>
      <w:bookmarkStart w:id="43" w:name="_Toc83630427"/>
      <w:bookmarkStart w:id="44" w:name="_Toc83631041"/>
      <w:bookmarkStart w:id="45" w:name="_Toc21059"/>
      <w:bookmarkStart w:id="46" w:name="_Toc25534"/>
      <w:r>
        <w:rPr>
          <w:rFonts w:hint="eastAsia" w:ascii="仿宋" w:hAnsi="仿宋" w:eastAsia="仿宋" w:cs="仿宋"/>
          <w:sz w:val="30"/>
          <w:szCs w:val="30"/>
          <w:highlight w:val="none"/>
        </w:rPr>
        <w:t>经检查，该项目设立的主要依据</w:t>
      </w:r>
      <w:r>
        <w:rPr>
          <w:rFonts w:hint="eastAsia" w:ascii="仿宋" w:hAnsi="仿宋" w:eastAsia="仿宋" w:cs="仿宋"/>
          <w:sz w:val="30"/>
          <w:szCs w:val="30"/>
          <w:highlight w:val="none"/>
          <w:lang w:val="en-US" w:eastAsia="zh-CN"/>
        </w:rPr>
        <w:t>有</w:t>
      </w:r>
      <w:r>
        <w:rPr>
          <w:rFonts w:hint="eastAsia" w:ascii="仿宋" w:hAnsi="仿宋" w:eastAsia="仿宋" w:cs="仿宋"/>
          <w:sz w:val="30"/>
          <w:szCs w:val="30"/>
          <w:highlight w:val="none"/>
          <w:lang w:eastAsia="zh-CN"/>
        </w:rPr>
        <w:t>：</w:t>
      </w:r>
      <w:r>
        <w:rPr>
          <w:rFonts w:hint="eastAsia" w:ascii="仿宋" w:hAnsi="仿宋" w:eastAsia="仿宋" w:cs="仿宋"/>
          <w:sz w:val="30"/>
          <w:szCs w:val="30"/>
          <w:highlight w:val="none"/>
        </w:rPr>
        <w:t>曲阳县发展和改革局《关于</w:t>
      </w:r>
      <w:r>
        <w:rPr>
          <w:rFonts w:hint="eastAsia" w:ascii="仿宋" w:hAnsi="仿宋" w:eastAsia="仿宋" w:cs="仿宋"/>
          <w:sz w:val="30"/>
          <w:szCs w:val="30"/>
          <w:highlight w:val="none"/>
          <w:lang w:eastAsia="zh-CN"/>
        </w:rPr>
        <w:t>曲阳县老旧小区改造</w:t>
      </w:r>
      <w:bookmarkStart w:id="90" w:name="_GoBack"/>
      <w:bookmarkEnd w:id="90"/>
      <w:r>
        <w:rPr>
          <w:rFonts w:hint="eastAsia" w:ascii="仿宋" w:hAnsi="仿宋" w:eastAsia="仿宋" w:cs="仿宋"/>
          <w:sz w:val="30"/>
          <w:szCs w:val="30"/>
          <w:highlight w:val="none"/>
          <w:lang w:eastAsia="zh-CN"/>
        </w:rPr>
        <w:t>项目</w:t>
      </w:r>
      <w:r>
        <w:rPr>
          <w:rFonts w:hint="eastAsia" w:ascii="仿宋" w:hAnsi="仿宋" w:eastAsia="仿宋" w:cs="仿宋"/>
          <w:sz w:val="30"/>
          <w:szCs w:val="30"/>
          <w:highlight w:val="none"/>
          <w:lang w:val="en-US" w:eastAsia="zh-CN"/>
        </w:rPr>
        <w:t>建议书</w:t>
      </w:r>
      <w:r>
        <w:rPr>
          <w:rFonts w:hint="eastAsia" w:ascii="仿宋" w:hAnsi="仿宋" w:eastAsia="仿宋" w:cs="仿宋"/>
          <w:sz w:val="30"/>
          <w:szCs w:val="30"/>
          <w:highlight w:val="none"/>
        </w:rPr>
        <w:t>的批复》</w:t>
      </w:r>
      <w:r>
        <w:rPr>
          <w:rFonts w:hint="eastAsia" w:ascii="仿宋" w:hAnsi="仿宋" w:eastAsia="仿宋" w:cs="仿宋"/>
          <w:sz w:val="30"/>
          <w:szCs w:val="30"/>
          <w:highlight w:val="none"/>
          <w:lang w:eastAsia="zh-CN"/>
        </w:rPr>
        <w:t>（</w:t>
      </w:r>
      <w:r>
        <w:rPr>
          <w:rFonts w:hint="eastAsia" w:ascii="仿宋" w:hAnsi="仿宋" w:eastAsia="仿宋" w:cs="仿宋"/>
          <w:sz w:val="30"/>
          <w:szCs w:val="30"/>
          <w:highlight w:val="none"/>
        </w:rPr>
        <w:t>曲阳发改审字</w:t>
      </w:r>
      <w:r>
        <w:rPr>
          <w:rFonts w:hint="eastAsia" w:ascii="仿宋" w:hAnsi="仿宋" w:eastAsia="仿宋" w:cs="仿宋"/>
          <w:sz w:val="30"/>
          <w:szCs w:val="30"/>
          <w:highlight w:val="none"/>
          <w:lang w:val="en-US" w:eastAsia="en-US"/>
        </w:rPr>
        <w:t>[</w:t>
      </w:r>
      <w:r>
        <w:rPr>
          <w:rFonts w:hint="eastAsia" w:ascii="仿宋" w:hAnsi="仿宋" w:eastAsia="仿宋" w:cs="仿宋"/>
          <w:sz w:val="30"/>
          <w:szCs w:val="30"/>
          <w:highlight w:val="none"/>
          <w:lang w:val="en-US" w:eastAsia="zh-CN"/>
        </w:rPr>
        <w:t>2022</w:t>
      </w:r>
      <w:r>
        <w:rPr>
          <w:rFonts w:hint="eastAsia" w:ascii="仿宋" w:hAnsi="仿宋" w:eastAsia="仿宋" w:cs="仿宋"/>
          <w:sz w:val="30"/>
          <w:szCs w:val="30"/>
          <w:highlight w:val="none"/>
          <w:lang w:val="en-US" w:eastAsia="en-US"/>
        </w:rPr>
        <w:t xml:space="preserve">] </w:t>
      </w:r>
      <w:r>
        <w:rPr>
          <w:rFonts w:hint="eastAsia" w:ascii="仿宋" w:hAnsi="仿宋" w:eastAsia="仿宋" w:cs="仿宋"/>
          <w:sz w:val="30"/>
          <w:szCs w:val="30"/>
          <w:highlight w:val="none"/>
          <w:lang w:val="en-US" w:eastAsia="zh-CN"/>
        </w:rPr>
        <w:t>12</w:t>
      </w:r>
      <w:r>
        <w:rPr>
          <w:rFonts w:hint="eastAsia" w:ascii="仿宋" w:hAnsi="仿宋" w:eastAsia="仿宋" w:cs="仿宋"/>
          <w:sz w:val="30"/>
          <w:szCs w:val="30"/>
          <w:highlight w:val="none"/>
        </w:rPr>
        <w:t>号</w:t>
      </w:r>
      <w:r>
        <w:rPr>
          <w:rFonts w:hint="eastAsia" w:ascii="仿宋" w:hAnsi="仿宋" w:eastAsia="仿宋" w:cs="仿宋"/>
          <w:sz w:val="30"/>
          <w:szCs w:val="30"/>
          <w:highlight w:val="none"/>
          <w:lang w:eastAsia="zh-CN"/>
        </w:rPr>
        <w:t>）；</w:t>
      </w:r>
      <w:r>
        <w:rPr>
          <w:rFonts w:hint="eastAsia" w:ascii="仿宋" w:hAnsi="仿宋" w:eastAsia="仿宋" w:cs="仿宋"/>
          <w:sz w:val="30"/>
          <w:szCs w:val="30"/>
          <w:highlight w:val="none"/>
        </w:rPr>
        <w:t>曲阳县发展和改革局《关于</w:t>
      </w:r>
      <w:r>
        <w:rPr>
          <w:rFonts w:hint="eastAsia" w:ascii="仿宋" w:hAnsi="仿宋" w:eastAsia="仿宋" w:cs="仿宋"/>
          <w:sz w:val="30"/>
          <w:szCs w:val="30"/>
          <w:highlight w:val="none"/>
          <w:lang w:eastAsia="zh-CN"/>
        </w:rPr>
        <w:t>曲阳县老旧小区改造项目</w:t>
      </w:r>
      <w:r>
        <w:rPr>
          <w:rFonts w:hint="eastAsia" w:ascii="仿宋" w:hAnsi="仿宋" w:eastAsia="仿宋" w:cs="仿宋"/>
          <w:sz w:val="30"/>
          <w:szCs w:val="30"/>
          <w:highlight w:val="none"/>
        </w:rPr>
        <w:t>可行性研究报告的批复》</w:t>
      </w:r>
      <w:r>
        <w:rPr>
          <w:rFonts w:hint="eastAsia" w:ascii="仿宋" w:hAnsi="仿宋" w:eastAsia="仿宋" w:cs="仿宋"/>
          <w:sz w:val="30"/>
          <w:szCs w:val="30"/>
          <w:highlight w:val="none"/>
          <w:lang w:eastAsia="zh-CN"/>
        </w:rPr>
        <w:t>（</w:t>
      </w:r>
      <w:r>
        <w:rPr>
          <w:rFonts w:hint="eastAsia" w:ascii="仿宋" w:hAnsi="仿宋" w:eastAsia="仿宋" w:cs="仿宋"/>
          <w:sz w:val="30"/>
          <w:szCs w:val="30"/>
          <w:highlight w:val="none"/>
        </w:rPr>
        <w:t>曲阳发改审字</w:t>
      </w:r>
      <w:r>
        <w:rPr>
          <w:rFonts w:hint="eastAsia" w:ascii="仿宋" w:hAnsi="仿宋" w:eastAsia="仿宋" w:cs="仿宋"/>
          <w:sz w:val="30"/>
          <w:szCs w:val="30"/>
          <w:highlight w:val="none"/>
          <w:lang w:val="en-US" w:eastAsia="en-US"/>
        </w:rPr>
        <w:t>[</w:t>
      </w:r>
      <w:r>
        <w:rPr>
          <w:rFonts w:hint="eastAsia" w:ascii="仿宋" w:hAnsi="仿宋" w:eastAsia="仿宋" w:cs="仿宋"/>
          <w:sz w:val="30"/>
          <w:szCs w:val="30"/>
          <w:highlight w:val="none"/>
          <w:lang w:val="en-US" w:eastAsia="zh-CN"/>
        </w:rPr>
        <w:t>2022</w:t>
      </w:r>
      <w:r>
        <w:rPr>
          <w:rFonts w:hint="eastAsia" w:ascii="仿宋" w:hAnsi="仿宋" w:eastAsia="仿宋" w:cs="仿宋"/>
          <w:sz w:val="30"/>
          <w:szCs w:val="30"/>
          <w:highlight w:val="none"/>
          <w:lang w:val="en-US" w:eastAsia="en-US"/>
        </w:rPr>
        <w:t xml:space="preserve">] </w:t>
      </w:r>
      <w:r>
        <w:rPr>
          <w:rFonts w:hint="eastAsia" w:ascii="仿宋" w:hAnsi="仿宋" w:eastAsia="仿宋" w:cs="仿宋"/>
          <w:sz w:val="30"/>
          <w:szCs w:val="30"/>
          <w:highlight w:val="none"/>
          <w:lang w:val="en-US" w:eastAsia="zh-CN"/>
        </w:rPr>
        <w:t>15</w:t>
      </w:r>
      <w:r>
        <w:rPr>
          <w:rFonts w:hint="eastAsia" w:ascii="仿宋" w:hAnsi="仿宋" w:eastAsia="仿宋" w:cs="仿宋"/>
          <w:sz w:val="30"/>
          <w:szCs w:val="30"/>
          <w:highlight w:val="none"/>
        </w:rPr>
        <w:t>号</w:t>
      </w:r>
      <w:r>
        <w:rPr>
          <w:rFonts w:hint="eastAsia" w:ascii="仿宋" w:hAnsi="仿宋" w:eastAsia="仿宋" w:cs="仿宋"/>
          <w:sz w:val="30"/>
          <w:szCs w:val="30"/>
          <w:highlight w:val="none"/>
          <w:lang w:eastAsia="zh-CN"/>
        </w:rPr>
        <w:t>）</w:t>
      </w:r>
      <w:bookmarkEnd w:id="42"/>
      <w:bookmarkEnd w:id="43"/>
      <w:bookmarkEnd w:id="44"/>
      <w:bookmarkEnd w:id="45"/>
      <w:bookmarkEnd w:id="46"/>
      <w:r>
        <w:rPr>
          <w:rFonts w:hint="eastAsia" w:ascii="仿宋" w:hAnsi="仿宋" w:eastAsia="仿宋" w:cs="仿宋"/>
          <w:sz w:val="30"/>
          <w:szCs w:val="30"/>
          <w:highlight w:val="none"/>
          <w:lang w:eastAsia="zh-CN"/>
        </w:rPr>
        <w:t>；</w:t>
      </w:r>
      <w:r>
        <w:rPr>
          <w:rFonts w:hint="eastAsia" w:ascii="仿宋" w:hAnsi="仿宋" w:eastAsia="仿宋" w:cs="仿宋"/>
          <w:sz w:val="30"/>
          <w:szCs w:val="30"/>
          <w:highlight w:val="none"/>
        </w:rPr>
        <w:t>曲阳县发展和改革局《关于</w:t>
      </w:r>
      <w:r>
        <w:rPr>
          <w:rFonts w:hint="eastAsia" w:ascii="仿宋" w:hAnsi="仿宋" w:eastAsia="仿宋" w:cs="仿宋"/>
          <w:sz w:val="30"/>
          <w:szCs w:val="30"/>
          <w:highlight w:val="none"/>
          <w:lang w:eastAsia="zh-CN"/>
        </w:rPr>
        <w:t>曲阳县老旧小区改造项目初步设计</w:t>
      </w:r>
      <w:r>
        <w:rPr>
          <w:rFonts w:hint="eastAsia" w:ascii="仿宋" w:hAnsi="仿宋" w:eastAsia="仿宋" w:cs="仿宋"/>
          <w:sz w:val="30"/>
          <w:szCs w:val="30"/>
          <w:highlight w:val="none"/>
        </w:rPr>
        <w:t>的批复》</w:t>
      </w:r>
      <w:r>
        <w:rPr>
          <w:rFonts w:hint="eastAsia" w:ascii="仿宋" w:hAnsi="仿宋" w:eastAsia="仿宋" w:cs="仿宋"/>
          <w:sz w:val="30"/>
          <w:szCs w:val="30"/>
          <w:highlight w:val="none"/>
          <w:lang w:eastAsia="zh-CN"/>
        </w:rPr>
        <w:t>（</w:t>
      </w:r>
      <w:r>
        <w:rPr>
          <w:rFonts w:hint="eastAsia" w:ascii="仿宋" w:hAnsi="仿宋" w:eastAsia="仿宋" w:cs="仿宋"/>
          <w:sz w:val="30"/>
          <w:szCs w:val="30"/>
          <w:highlight w:val="none"/>
        </w:rPr>
        <w:t>曲阳发改审字</w:t>
      </w:r>
      <w:r>
        <w:rPr>
          <w:rFonts w:hint="eastAsia" w:ascii="仿宋" w:hAnsi="仿宋" w:eastAsia="仿宋" w:cs="仿宋"/>
          <w:sz w:val="30"/>
          <w:szCs w:val="30"/>
          <w:highlight w:val="none"/>
          <w:lang w:val="en-US" w:eastAsia="en-US"/>
        </w:rPr>
        <w:t>[</w:t>
      </w:r>
      <w:r>
        <w:rPr>
          <w:rFonts w:hint="eastAsia" w:ascii="仿宋" w:hAnsi="仿宋" w:eastAsia="仿宋" w:cs="仿宋"/>
          <w:sz w:val="30"/>
          <w:szCs w:val="30"/>
          <w:highlight w:val="none"/>
          <w:lang w:val="en-US" w:eastAsia="zh-CN"/>
        </w:rPr>
        <w:t>2022</w:t>
      </w:r>
      <w:r>
        <w:rPr>
          <w:rFonts w:hint="eastAsia" w:ascii="仿宋" w:hAnsi="仿宋" w:eastAsia="仿宋" w:cs="仿宋"/>
          <w:sz w:val="30"/>
          <w:szCs w:val="30"/>
          <w:highlight w:val="none"/>
          <w:lang w:val="en-US" w:eastAsia="en-US"/>
        </w:rPr>
        <w:t>]</w:t>
      </w:r>
      <w:r>
        <w:rPr>
          <w:rFonts w:hint="eastAsia" w:ascii="仿宋" w:hAnsi="仿宋" w:eastAsia="仿宋" w:cs="仿宋"/>
          <w:sz w:val="30"/>
          <w:szCs w:val="30"/>
          <w:highlight w:val="none"/>
          <w:lang w:val="en-US" w:eastAsia="zh-CN"/>
        </w:rPr>
        <w:t xml:space="preserve"> 50</w:t>
      </w:r>
      <w:r>
        <w:rPr>
          <w:rFonts w:hint="eastAsia" w:ascii="仿宋" w:hAnsi="仿宋" w:eastAsia="仿宋" w:cs="仿宋"/>
          <w:sz w:val="30"/>
          <w:szCs w:val="30"/>
          <w:highlight w:val="none"/>
        </w:rPr>
        <w:t>号</w:t>
      </w:r>
      <w:r>
        <w:rPr>
          <w:rFonts w:hint="eastAsia" w:ascii="仿宋" w:hAnsi="仿宋" w:eastAsia="仿宋" w:cs="仿宋"/>
          <w:sz w:val="30"/>
          <w:szCs w:val="30"/>
          <w:highlight w:val="none"/>
          <w:lang w:eastAsia="zh-CN"/>
        </w:rPr>
        <w:t>）等。</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rPr>
        <w:t>我们认为该项目设定依据充分，</w:t>
      </w:r>
      <w:r>
        <w:rPr>
          <w:rFonts w:hint="eastAsia" w:ascii="仿宋" w:hAnsi="仿宋" w:eastAsia="仿宋" w:cs="仿宋"/>
          <w:sz w:val="30"/>
          <w:szCs w:val="30"/>
          <w:highlight w:val="none"/>
          <w:lang w:val="en-US" w:eastAsia="zh-CN"/>
        </w:rPr>
        <w:t>按照规定的程序申请设立，已经过必要的可行性研究、专家论证等。</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rPr>
      </w:pPr>
      <w:r>
        <w:rPr>
          <w:rFonts w:hint="eastAsia" w:ascii="仿宋" w:hAnsi="仿宋" w:eastAsia="仿宋" w:cs="仿宋"/>
          <w:sz w:val="30"/>
          <w:szCs w:val="30"/>
          <w:highlight w:val="none"/>
        </w:rPr>
        <w:t>该指标实际得分</w:t>
      </w:r>
      <w:r>
        <w:rPr>
          <w:rFonts w:hint="eastAsia" w:ascii="仿宋" w:hAnsi="仿宋" w:eastAsia="仿宋" w:cs="仿宋"/>
          <w:sz w:val="30"/>
          <w:szCs w:val="30"/>
          <w:highlight w:val="none"/>
          <w:lang w:val="en-US" w:eastAsia="zh-CN"/>
        </w:rPr>
        <w:t>6</w:t>
      </w:r>
      <w:r>
        <w:rPr>
          <w:rFonts w:hint="eastAsia" w:ascii="仿宋" w:hAnsi="仿宋" w:eastAsia="仿宋" w:cs="仿宋"/>
          <w:sz w:val="30"/>
          <w:szCs w:val="30"/>
          <w:highlight w:val="none"/>
        </w:rPr>
        <w:t>分。</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rPr>
      </w:pPr>
      <w:r>
        <w:rPr>
          <w:rFonts w:hint="eastAsia" w:ascii="仿宋" w:hAnsi="仿宋" w:eastAsia="仿宋" w:cs="仿宋"/>
          <w:sz w:val="30"/>
          <w:szCs w:val="30"/>
          <w:highlight w:val="none"/>
        </w:rPr>
        <w:t>（2）项目决策必要性（</w:t>
      </w:r>
      <w:r>
        <w:rPr>
          <w:rFonts w:hint="eastAsia" w:ascii="仿宋" w:hAnsi="仿宋" w:eastAsia="仿宋" w:cs="仿宋"/>
          <w:sz w:val="30"/>
          <w:szCs w:val="30"/>
          <w:highlight w:val="none"/>
          <w:lang w:val="en-US" w:eastAsia="zh-CN"/>
        </w:rPr>
        <w:t>6</w:t>
      </w:r>
      <w:r>
        <w:rPr>
          <w:rFonts w:hint="eastAsia" w:ascii="仿宋" w:hAnsi="仿宋" w:eastAsia="仿宋" w:cs="仿宋"/>
          <w:sz w:val="30"/>
          <w:szCs w:val="30"/>
          <w:highlight w:val="none"/>
        </w:rPr>
        <w:t>分）</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rPr>
      </w:pPr>
      <w:r>
        <w:rPr>
          <w:rFonts w:hint="eastAsia" w:ascii="仿宋" w:hAnsi="仿宋" w:eastAsia="仿宋" w:cs="仿宋"/>
          <w:sz w:val="30"/>
          <w:szCs w:val="30"/>
          <w:highlight w:val="none"/>
        </w:rPr>
        <w:t>该指标主要</w:t>
      </w:r>
      <w:r>
        <w:rPr>
          <w:rFonts w:hint="eastAsia" w:ascii="仿宋" w:hAnsi="仿宋" w:eastAsia="仿宋" w:cs="仿宋"/>
          <w:sz w:val="30"/>
          <w:szCs w:val="30"/>
          <w:highlight w:val="none"/>
          <w:lang w:eastAsia="zh-CN"/>
        </w:rPr>
        <w:t>评估</w:t>
      </w:r>
      <w:r>
        <w:rPr>
          <w:rFonts w:hint="eastAsia" w:ascii="仿宋" w:hAnsi="仿宋" w:eastAsia="仿宋" w:cs="仿宋"/>
          <w:sz w:val="30"/>
          <w:szCs w:val="30"/>
          <w:highlight w:val="none"/>
        </w:rPr>
        <w:t>项目内容设置与国家及地方政策、规划、社会需求等相关内容相符程度，决策过程是否规范，用以反映和考核项目决策的必要性。</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val="en-US" w:eastAsia="zh-CN"/>
        </w:rPr>
      </w:pPr>
      <w:bookmarkStart w:id="47" w:name="_Toc83630428"/>
      <w:bookmarkStart w:id="48" w:name="_Toc32149"/>
      <w:bookmarkStart w:id="49" w:name="_Toc83631042"/>
      <w:bookmarkStart w:id="50" w:name="_Toc83630332"/>
      <w:bookmarkStart w:id="51" w:name="_Toc24207"/>
      <w:r>
        <w:rPr>
          <w:rFonts w:hint="eastAsia" w:ascii="仿宋" w:hAnsi="仿宋" w:eastAsia="仿宋" w:cs="仿宋"/>
          <w:sz w:val="30"/>
          <w:szCs w:val="30"/>
          <w:highlight w:val="none"/>
          <w:lang w:val="en-US" w:eastAsia="zh-CN"/>
        </w:rPr>
        <w:t>自</w:t>
      </w:r>
      <w:r>
        <w:rPr>
          <w:rFonts w:hint="default" w:ascii="仿宋" w:hAnsi="仿宋" w:eastAsia="仿宋" w:cs="仿宋"/>
          <w:sz w:val="30"/>
          <w:szCs w:val="30"/>
          <w:highlight w:val="none"/>
          <w:lang w:val="en-US" w:eastAsia="zh-CN"/>
        </w:rPr>
        <w:t>2018</w:t>
      </w:r>
      <w:r>
        <w:rPr>
          <w:rFonts w:hint="eastAsia" w:ascii="仿宋" w:hAnsi="仿宋" w:eastAsia="仿宋" w:cs="仿宋"/>
          <w:sz w:val="30"/>
          <w:szCs w:val="30"/>
          <w:highlight w:val="none"/>
          <w:lang w:val="en-US" w:eastAsia="zh-CN"/>
        </w:rPr>
        <w:t>年开始，河北省委、省政府连续三年将老旧小区改造工作纳入全省重点推进的</w:t>
      </w:r>
      <w:r>
        <w:rPr>
          <w:rFonts w:hint="default" w:ascii="仿宋" w:hAnsi="仿宋" w:eastAsia="仿宋" w:cs="仿宋"/>
          <w:sz w:val="30"/>
          <w:szCs w:val="30"/>
          <w:highlight w:val="none"/>
          <w:lang w:val="en-US" w:eastAsia="zh-CN"/>
        </w:rPr>
        <w:t>2</w:t>
      </w:r>
      <w:r>
        <w:rPr>
          <w:rFonts w:hint="eastAsia" w:ascii="仿宋" w:hAnsi="仿宋" w:eastAsia="仿宋" w:cs="仿宋"/>
          <w:sz w:val="30"/>
          <w:szCs w:val="30"/>
          <w:highlight w:val="none"/>
          <w:lang w:val="en-US" w:eastAsia="zh-CN"/>
        </w:rPr>
        <w:t>0项民生工程，全力推进实施。河北省政府办公厅印发关于《全面推进城镇老旧小区改造工作的实施意见》，提出到“十四五”末，全面完成</w:t>
      </w:r>
      <w:r>
        <w:rPr>
          <w:rFonts w:hint="default" w:ascii="仿宋" w:hAnsi="仿宋" w:eastAsia="仿宋" w:cs="仿宋"/>
          <w:sz w:val="30"/>
          <w:szCs w:val="30"/>
          <w:highlight w:val="none"/>
          <w:lang w:val="en-US" w:eastAsia="zh-CN"/>
        </w:rPr>
        <w:t>2000</w:t>
      </w:r>
      <w:r>
        <w:rPr>
          <w:rFonts w:hint="eastAsia" w:ascii="仿宋" w:hAnsi="仿宋" w:eastAsia="仿宋" w:cs="仿宋"/>
          <w:sz w:val="30"/>
          <w:szCs w:val="30"/>
          <w:highlight w:val="none"/>
          <w:lang w:val="en-US" w:eastAsia="zh-CN"/>
        </w:rPr>
        <w:t>年底前建成的需改造城镇老旧小区改造任务等目标要求，鼓励各地对</w:t>
      </w:r>
      <w:r>
        <w:rPr>
          <w:rFonts w:hint="default" w:ascii="仿宋" w:hAnsi="仿宋" w:eastAsia="仿宋" w:cs="仿宋"/>
          <w:sz w:val="30"/>
          <w:szCs w:val="30"/>
          <w:highlight w:val="none"/>
          <w:lang w:val="en-US" w:eastAsia="zh-CN"/>
        </w:rPr>
        <w:t>2000</w:t>
      </w:r>
      <w:r>
        <w:rPr>
          <w:rFonts w:hint="eastAsia" w:ascii="仿宋" w:hAnsi="仿宋" w:eastAsia="仿宋" w:cs="仿宋"/>
          <w:sz w:val="30"/>
          <w:szCs w:val="30"/>
          <w:highlight w:val="none"/>
          <w:lang w:val="en-US" w:eastAsia="zh-CN"/>
        </w:rPr>
        <w:t>年以后建成的城镇老旧小区实施改造。</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lang w:val="en-US" w:eastAsia="zh-CN"/>
        </w:rPr>
      </w:pPr>
      <w:r>
        <w:rPr>
          <w:rFonts w:hint="default" w:ascii="仿宋" w:hAnsi="仿宋" w:eastAsia="仿宋" w:cs="仿宋"/>
          <w:sz w:val="30"/>
          <w:szCs w:val="30"/>
          <w:highlight w:val="none"/>
          <w:lang w:val="en-US" w:eastAsia="zh-CN"/>
        </w:rPr>
        <w:t>2021</w:t>
      </w:r>
      <w:r>
        <w:rPr>
          <w:rFonts w:hint="eastAsia" w:ascii="仿宋" w:hAnsi="仿宋" w:eastAsia="仿宋" w:cs="仿宋"/>
          <w:sz w:val="30"/>
          <w:szCs w:val="30"/>
          <w:highlight w:val="none"/>
          <w:lang w:val="en-US" w:eastAsia="zh-CN"/>
        </w:rPr>
        <w:t>年</w:t>
      </w:r>
      <w:r>
        <w:rPr>
          <w:rFonts w:hint="default" w:ascii="仿宋" w:hAnsi="仿宋" w:eastAsia="仿宋" w:cs="仿宋"/>
          <w:sz w:val="30"/>
          <w:szCs w:val="30"/>
          <w:highlight w:val="none"/>
          <w:lang w:val="en-US" w:eastAsia="zh-CN"/>
        </w:rPr>
        <w:t>5</w:t>
      </w:r>
      <w:r>
        <w:rPr>
          <w:rFonts w:hint="eastAsia" w:ascii="仿宋" w:hAnsi="仿宋" w:eastAsia="仿宋" w:cs="仿宋"/>
          <w:sz w:val="30"/>
          <w:szCs w:val="30"/>
          <w:highlight w:val="none"/>
          <w:lang w:val="en-US" w:eastAsia="zh-CN"/>
        </w:rPr>
        <w:t xml:space="preserve">月，河北省老旧小区改造领导小组办公室印发《关于做好 </w:t>
      </w:r>
      <w:r>
        <w:rPr>
          <w:rFonts w:hint="default" w:ascii="仿宋" w:hAnsi="仿宋" w:eastAsia="仿宋" w:cs="仿宋"/>
          <w:sz w:val="30"/>
          <w:szCs w:val="30"/>
          <w:highlight w:val="none"/>
          <w:lang w:val="en-US" w:eastAsia="zh-CN"/>
        </w:rPr>
        <w:t xml:space="preserve">2022 </w:t>
      </w:r>
      <w:r>
        <w:rPr>
          <w:rFonts w:hint="eastAsia" w:ascii="仿宋" w:hAnsi="仿宋" w:eastAsia="仿宋" w:cs="仿宋"/>
          <w:sz w:val="30"/>
          <w:szCs w:val="30"/>
          <w:highlight w:val="none"/>
          <w:lang w:val="en-US" w:eastAsia="zh-CN"/>
        </w:rPr>
        <w:t>年城镇老旧小区改造项目储备工作的通知》，要求各地按照“实施一批、谋划一批、储备一批”的原则，强力推进城镇老旧小区改造工作。</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经评估，该项目建设与国家及地方政策、规划、社会需求相符，决策过程较为规范。</w:t>
      </w:r>
    </w:p>
    <w:bookmarkEnd w:id="47"/>
    <w:bookmarkEnd w:id="48"/>
    <w:bookmarkEnd w:id="49"/>
    <w:bookmarkEnd w:id="50"/>
    <w:bookmarkEnd w:id="51"/>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rPr>
      </w:pPr>
      <w:r>
        <w:rPr>
          <w:rFonts w:hint="eastAsia" w:ascii="仿宋" w:hAnsi="仿宋" w:eastAsia="仿宋" w:cs="仿宋"/>
          <w:sz w:val="30"/>
          <w:szCs w:val="30"/>
          <w:highlight w:val="none"/>
        </w:rPr>
        <w:t>该指标实际得分</w:t>
      </w:r>
      <w:r>
        <w:rPr>
          <w:rFonts w:hint="eastAsia" w:ascii="仿宋" w:hAnsi="仿宋" w:eastAsia="仿宋" w:cs="仿宋"/>
          <w:sz w:val="30"/>
          <w:szCs w:val="30"/>
          <w:highlight w:val="none"/>
          <w:lang w:val="en-US" w:eastAsia="zh-CN"/>
        </w:rPr>
        <w:t>6</w:t>
      </w:r>
      <w:r>
        <w:rPr>
          <w:rFonts w:hint="eastAsia" w:ascii="仿宋" w:hAnsi="仿宋" w:eastAsia="仿宋" w:cs="仿宋"/>
          <w:sz w:val="30"/>
          <w:szCs w:val="30"/>
          <w:highlight w:val="none"/>
        </w:rPr>
        <w:t>分。</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rPr>
      </w:pPr>
      <w:r>
        <w:rPr>
          <w:rFonts w:hint="eastAsia" w:ascii="仿宋" w:hAnsi="仿宋" w:eastAsia="仿宋" w:cs="仿宋"/>
          <w:sz w:val="30"/>
          <w:szCs w:val="30"/>
          <w:highlight w:val="none"/>
        </w:rPr>
        <w:t>2.绩效目标（</w:t>
      </w:r>
      <w:r>
        <w:rPr>
          <w:rFonts w:hint="eastAsia" w:ascii="仿宋" w:hAnsi="仿宋" w:eastAsia="仿宋" w:cs="仿宋"/>
          <w:sz w:val="30"/>
          <w:szCs w:val="30"/>
          <w:highlight w:val="none"/>
          <w:lang w:val="en-US" w:eastAsia="zh-CN"/>
        </w:rPr>
        <w:t>8</w:t>
      </w:r>
      <w:r>
        <w:rPr>
          <w:rFonts w:hint="eastAsia" w:ascii="仿宋" w:hAnsi="仿宋" w:eastAsia="仿宋" w:cs="仿宋"/>
          <w:sz w:val="30"/>
          <w:szCs w:val="30"/>
          <w:highlight w:val="none"/>
        </w:rPr>
        <w:t>分）</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rPr>
      </w:pPr>
      <w:r>
        <w:rPr>
          <w:rFonts w:hint="eastAsia" w:ascii="仿宋" w:hAnsi="仿宋" w:eastAsia="仿宋" w:cs="仿宋"/>
          <w:sz w:val="30"/>
          <w:szCs w:val="30"/>
          <w:highlight w:val="none"/>
        </w:rPr>
        <w:t>该指标共包含2个三级指标，主要</w:t>
      </w:r>
      <w:r>
        <w:rPr>
          <w:rFonts w:hint="eastAsia" w:ascii="仿宋" w:hAnsi="仿宋" w:eastAsia="仿宋" w:cs="仿宋"/>
          <w:sz w:val="30"/>
          <w:szCs w:val="30"/>
          <w:highlight w:val="none"/>
          <w:lang w:eastAsia="zh-CN"/>
        </w:rPr>
        <w:t>评估</w:t>
      </w:r>
      <w:r>
        <w:rPr>
          <w:rFonts w:hint="eastAsia" w:ascii="仿宋" w:hAnsi="仿宋" w:eastAsia="仿宋" w:cs="仿宋"/>
          <w:sz w:val="30"/>
          <w:szCs w:val="30"/>
          <w:highlight w:val="none"/>
        </w:rPr>
        <w:t>项目绩效目标依据是否充分，项目绩效指标是否清晰、细化、量化、可衡量。</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rPr>
      </w:pPr>
      <w:r>
        <w:rPr>
          <w:rFonts w:hint="eastAsia" w:ascii="仿宋" w:hAnsi="仿宋" w:eastAsia="仿宋" w:cs="仿宋"/>
          <w:sz w:val="30"/>
          <w:szCs w:val="30"/>
          <w:highlight w:val="none"/>
        </w:rPr>
        <w:t>（1）合理性（</w:t>
      </w:r>
      <w:r>
        <w:rPr>
          <w:rFonts w:hint="eastAsia" w:ascii="仿宋" w:hAnsi="仿宋" w:eastAsia="仿宋" w:cs="仿宋"/>
          <w:sz w:val="30"/>
          <w:szCs w:val="30"/>
          <w:highlight w:val="none"/>
          <w:lang w:val="en-US" w:eastAsia="zh-CN"/>
        </w:rPr>
        <w:t>4</w:t>
      </w:r>
      <w:r>
        <w:rPr>
          <w:rFonts w:hint="eastAsia" w:ascii="仿宋" w:hAnsi="仿宋" w:eastAsia="仿宋" w:cs="仿宋"/>
          <w:sz w:val="30"/>
          <w:szCs w:val="30"/>
          <w:highlight w:val="none"/>
        </w:rPr>
        <w:t>分）</w:t>
      </w:r>
    </w:p>
    <w:p>
      <w:pPr>
        <w:pageBreakBefore w:val="0"/>
        <w:kinsoku/>
        <w:wordWrap/>
        <w:overflowPunct/>
        <w:topLinePunct w:val="0"/>
        <w:autoSpaceDE/>
        <w:autoSpaceDN/>
        <w:bidi w:val="0"/>
        <w:adjustRightInd/>
        <w:snapToGrid/>
        <w:spacing w:line="560" w:lineRule="exact"/>
        <w:jc w:val="left"/>
        <w:rPr>
          <w:rFonts w:hint="eastAsia" w:ascii="仿宋" w:hAnsi="仿宋" w:eastAsia="仿宋" w:cs="仿宋"/>
          <w:sz w:val="30"/>
          <w:szCs w:val="30"/>
          <w:highlight w:val="none"/>
        </w:rPr>
      </w:pPr>
      <w:r>
        <w:rPr>
          <w:rFonts w:hint="eastAsia" w:ascii="仿宋" w:hAnsi="仿宋" w:eastAsia="仿宋" w:cs="仿宋"/>
          <w:sz w:val="30"/>
          <w:szCs w:val="30"/>
          <w:highlight w:val="none"/>
        </w:rPr>
        <w:t xml:space="preserve">    该指标主要</w:t>
      </w:r>
      <w:r>
        <w:rPr>
          <w:rFonts w:hint="eastAsia" w:ascii="仿宋" w:hAnsi="仿宋" w:eastAsia="仿宋" w:cs="仿宋"/>
          <w:sz w:val="30"/>
          <w:szCs w:val="30"/>
          <w:highlight w:val="none"/>
          <w:lang w:eastAsia="zh-CN"/>
        </w:rPr>
        <w:t>评估</w:t>
      </w:r>
      <w:r>
        <w:rPr>
          <w:rFonts w:hint="eastAsia" w:ascii="仿宋" w:hAnsi="仿宋" w:eastAsia="仿宋" w:cs="仿宋"/>
          <w:sz w:val="30"/>
          <w:szCs w:val="30"/>
          <w:highlight w:val="none"/>
        </w:rPr>
        <w:t>项目绩效目标依据是否充分，与客观实际相符的情况。</w:t>
      </w:r>
    </w:p>
    <w:p>
      <w:pPr>
        <w:pageBreakBefore w:val="0"/>
        <w:kinsoku/>
        <w:wordWrap/>
        <w:overflowPunct/>
        <w:topLinePunct w:val="0"/>
        <w:autoSpaceDE/>
        <w:autoSpaceDN/>
        <w:bidi w:val="0"/>
        <w:adjustRightInd/>
        <w:snapToGrid/>
        <w:spacing w:line="560" w:lineRule="exact"/>
        <w:ind w:firstLine="600" w:firstLineChars="200"/>
        <w:rPr>
          <w:rFonts w:hint="default" w:ascii="仿宋" w:hAnsi="仿宋" w:eastAsia="仿宋" w:cs="仿宋"/>
          <w:sz w:val="30"/>
          <w:szCs w:val="30"/>
          <w:highlight w:val="none"/>
          <w:lang w:val="en-US" w:eastAsia="zh-CN"/>
        </w:rPr>
      </w:pPr>
      <w:r>
        <w:rPr>
          <w:rFonts w:hint="eastAsia" w:ascii="仿宋" w:hAnsi="仿宋" w:eastAsia="仿宋" w:cs="仿宋"/>
          <w:sz w:val="30"/>
          <w:szCs w:val="30"/>
          <w:highlight w:val="none"/>
        </w:rPr>
        <w:t>经检查，</w:t>
      </w:r>
      <w:r>
        <w:rPr>
          <w:rFonts w:hint="eastAsia" w:ascii="仿宋" w:hAnsi="仿宋" w:eastAsia="仿宋" w:cs="仿宋"/>
          <w:sz w:val="30"/>
          <w:szCs w:val="30"/>
          <w:highlight w:val="none"/>
          <w:lang w:eastAsia="zh-CN"/>
        </w:rPr>
        <w:t>该</w:t>
      </w:r>
      <w:r>
        <w:rPr>
          <w:rFonts w:hint="eastAsia" w:ascii="仿宋" w:hAnsi="仿宋" w:eastAsia="仿宋" w:cs="仿宋"/>
          <w:sz w:val="30"/>
          <w:szCs w:val="30"/>
          <w:highlight w:val="none"/>
        </w:rPr>
        <w:t>项目</w:t>
      </w:r>
      <w:r>
        <w:rPr>
          <w:rFonts w:hint="eastAsia" w:ascii="仿宋" w:hAnsi="仿宋" w:eastAsia="仿宋" w:cs="仿宋"/>
          <w:sz w:val="30"/>
          <w:szCs w:val="30"/>
          <w:highlight w:val="none"/>
          <w:lang w:val="en-US" w:eastAsia="zh-CN"/>
        </w:rPr>
        <w:t>的绩效目标：1、完善基础设施、提升环境质量、对破损房屋进行整修和完善技防、消防设施。2、带动其他行业的发展，增加当地财政收入、促进国民经济发展。</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rPr>
        <w:t>该项目绩效目标是依据</w:t>
      </w:r>
      <w:r>
        <w:rPr>
          <w:rFonts w:hint="eastAsia" w:ascii="仿宋" w:hAnsi="仿宋" w:eastAsia="仿宋" w:cs="仿宋"/>
          <w:sz w:val="30"/>
          <w:szCs w:val="30"/>
          <w:highlight w:val="none"/>
          <w:lang w:val="en-US" w:eastAsia="zh-CN"/>
        </w:rPr>
        <w:t>项目实施方案文件内容设定的，绩效目标设置</w:t>
      </w:r>
      <w:r>
        <w:rPr>
          <w:rFonts w:hint="eastAsia" w:ascii="仿宋" w:hAnsi="仿宋" w:eastAsia="仿宋" w:cs="仿宋"/>
          <w:sz w:val="30"/>
          <w:szCs w:val="30"/>
          <w:highlight w:val="none"/>
        </w:rPr>
        <w:t>依据</w:t>
      </w:r>
      <w:r>
        <w:rPr>
          <w:rFonts w:hint="eastAsia" w:ascii="仿宋" w:hAnsi="仿宋" w:eastAsia="仿宋" w:cs="仿宋"/>
          <w:sz w:val="30"/>
          <w:szCs w:val="30"/>
          <w:highlight w:val="none"/>
          <w:lang w:val="en-US" w:eastAsia="zh-CN"/>
        </w:rPr>
        <w:t>较为</w:t>
      </w:r>
      <w:r>
        <w:rPr>
          <w:rFonts w:hint="eastAsia" w:ascii="仿宋" w:hAnsi="仿宋" w:eastAsia="仿宋" w:cs="仿宋"/>
          <w:sz w:val="30"/>
          <w:szCs w:val="30"/>
          <w:highlight w:val="none"/>
        </w:rPr>
        <w:t>充分，与客观实际相符</w:t>
      </w:r>
      <w:r>
        <w:rPr>
          <w:rFonts w:hint="eastAsia" w:ascii="仿宋" w:hAnsi="仿宋" w:eastAsia="仿宋" w:cs="仿宋"/>
          <w:sz w:val="30"/>
          <w:szCs w:val="30"/>
          <w:highlight w:val="none"/>
          <w:lang w:val="en-US" w:eastAsia="zh-CN"/>
        </w:rPr>
        <w:t>。</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rPr>
      </w:pPr>
      <w:r>
        <w:rPr>
          <w:rFonts w:hint="eastAsia" w:ascii="仿宋" w:hAnsi="仿宋" w:eastAsia="仿宋" w:cs="仿宋"/>
          <w:sz w:val="30"/>
          <w:szCs w:val="30"/>
          <w:highlight w:val="none"/>
        </w:rPr>
        <w:t>该指标实际得分</w:t>
      </w:r>
      <w:r>
        <w:rPr>
          <w:rFonts w:hint="eastAsia" w:ascii="仿宋" w:hAnsi="仿宋" w:eastAsia="仿宋" w:cs="仿宋"/>
          <w:sz w:val="30"/>
          <w:szCs w:val="30"/>
          <w:highlight w:val="none"/>
          <w:lang w:val="en-US" w:eastAsia="zh-CN"/>
        </w:rPr>
        <w:t>4</w:t>
      </w:r>
      <w:r>
        <w:rPr>
          <w:rFonts w:hint="eastAsia" w:ascii="仿宋" w:hAnsi="仿宋" w:eastAsia="仿宋" w:cs="仿宋"/>
          <w:sz w:val="30"/>
          <w:szCs w:val="30"/>
          <w:highlight w:val="none"/>
        </w:rPr>
        <w:t>分。</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rPr>
      </w:pPr>
      <w:r>
        <w:rPr>
          <w:rFonts w:hint="eastAsia" w:ascii="仿宋" w:hAnsi="仿宋" w:eastAsia="仿宋" w:cs="仿宋"/>
          <w:sz w:val="30"/>
          <w:szCs w:val="30"/>
          <w:highlight w:val="none"/>
        </w:rPr>
        <w:t>（2）明确性（</w:t>
      </w:r>
      <w:r>
        <w:rPr>
          <w:rFonts w:hint="eastAsia" w:ascii="仿宋" w:hAnsi="仿宋" w:eastAsia="仿宋" w:cs="仿宋"/>
          <w:sz w:val="30"/>
          <w:szCs w:val="30"/>
          <w:highlight w:val="none"/>
          <w:lang w:val="en-US" w:eastAsia="zh-CN"/>
        </w:rPr>
        <w:t>4</w:t>
      </w:r>
      <w:r>
        <w:rPr>
          <w:rFonts w:hint="eastAsia" w:ascii="仿宋" w:hAnsi="仿宋" w:eastAsia="仿宋" w:cs="仿宋"/>
          <w:sz w:val="30"/>
          <w:szCs w:val="30"/>
          <w:highlight w:val="none"/>
        </w:rPr>
        <w:t>分）</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rPr>
      </w:pPr>
      <w:r>
        <w:rPr>
          <w:rFonts w:hint="eastAsia" w:ascii="仿宋" w:hAnsi="仿宋" w:eastAsia="仿宋" w:cs="仿宋"/>
          <w:sz w:val="30"/>
          <w:szCs w:val="30"/>
          <w:highlight w:val="none"/>
        </w:rPr>
        <w:t>该指标主要</w:t>
      </w:r>
      <w:r>
        <w:rPr>
          <w:rFonts w:hint="eastAsia" w:ascii="仿宋" w:hAnsi="仿宋" w:eastAsia="仿宋" w:cs="仿宋"/>
          <w:sz w:val="30"/>
          <w:szCs w:val="30"/>
          <w:highlight w:val="none"/>
          <w:lang w:eastAsia="zh-CN"/>
        </w:rPr>
        <w:t>评估</w:t>
      </w:r>
      <w:r>
        <w:rPr>
          <w:rFonts w:hint="eastAsia" w:ascii="仿宋" w:hAnsi="仿宋" w:eastAsia="仿宋" w:cs="仿宋"/>
          <w:sz w:val="30"/>
          <w:szCs w:val="30"/>
          <w:highlight w:val="none"/>
        </w:rPr>
        <w:t>项目绩效指标是否清晰、细化、量化、可衡量，及其与当年工作任务的匹配情况。</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rPr>
      </w:pPr>
      <w:r>
        <w:rPr>
          <w:rFonts w:hint="eastAsia" w:ascii="仿宋" w:hAnsi="仿宋" w:eastAsia="仿宋" w:cs="仿宋"/>
          <w:sz w:val="30"/>
          <w:szCs w:val="30"/>
          <w:highlight w:val="none"/>
        </w:rPr>
        <w:t>经检查，</w:t>
      </w:r>
      <w:r>
        <w:rPr>
          <w:rFonts w:hint="eastAsia" w:ascii="仿宋" w:hAnsi="仿宋" w:eastAsia="仿宋" w:cs="仿宋"/>
          <w:sz w:val="30"/>
          <w:szCs w:val="30"/>
          <w:highlight w:val="none"/>
          <w:lang w:val="en-US" w:eastAsia="zh-CN"/>
        </w:rPr>
        <w:t>专项债券资金</w:t>
      </w:r>
      <w:r>
        <w:rPr>
          <w:rFonts w:hint="eastAsia" w:ascii="仿宋" w:hAnsi="仿宋" w:eastAsia="仿宋" w:cs="仿宋"/>
          <w:sz w:val="30"/>
          <w:szCs w:val="30"/>
          <w:highlight w:val="none"/>
        </w:rPr>
        <w:t>绩效目标</w:t>
      </w:r>
      <w:r>
        <w:rPr>
          <w:rFonts w:hint="eastAsia" w:ascii="仿宋" w:hAnsi="仿宋" w:eastAsia="仿宋" w:cs="仿宋"/>
          <w:sz w:val="30"/>
          <w:szCs w:val="30"/>
          <w:highlight w:val="none"/>
          <w:lang w:val="en-US" w:eastAsia="zh-CN"/>
        </w:rPr>
        <w:t>表中相关</w:t>
      </w:r>
      <w:r>
        <w:rPr>
          <w:rFonts w:hint="eastAsia" w:ascii="仿宋" w:hAnsi="仿宋" w:eastAsia="仿宋" w:cs="仿宋"/>
          <w:sz w:val="30"/>
          <w:szCs w:val="30"/>
          <w:highlight w:val="none"/>
        </w:rPr>
        <w:t>绩效指标</w:t>
      </w:r>
      <w:r>
        <w:rPr>
          <w:rFonts w:hint="eastAsia" w:ascii="仿宋" w:hAnsi="仿宋" w:eastAsia="仿宋" w:cs="仿宋"/>
          <w:sz w:val="30"/>
          <w:szCs w:val="30"/>
          <w:highlight w:val="none"/>
          <w:lang w:val="en-US" w:eastAsia="zh-CN"/>
        </w:rPr>
        <w:t>设定</w:t>
      </w:r>
      <w:r>
        <w:rPr>
          <w:rFonts w:hint="eastAsia" w:ascii="仿宋" w:hAnsi="仿宋" w:eastAsia="仿宋" w:cs="仿宋"/>
          <w:sz w:val="30"/>
          <w:szCs w:val="30"/>
          <w:highlight w:val="none"/>
        </w:rPr>
        <w:t>清晰、细化、量化、可衡量，</w:t>
      </w:r>
      <w:r>
        <w:rPr>
          <w:rFonts w:hint="eastAsia" w:ascii="仿宋" w:hAnsi="仿宋" w:eastAsia="仿宋" w:cs="仿宋"/>
          <w:sz w:val="30"/>
          <w:szCs w:val="30"/>
          <w:highlight w:val="none"/>
          <w:lang w:val="en-US" w:eastAsia="zh-CN"/>
        </w:rPr>
        <w:t>但未按年度细化匹配年度工作任务，不利于考核年度任务完成情况，扣2分。</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rPr>
      </w:pPr>
      <w:r>
        <w:rPr>
          <w:rFonts w:hint="eastAsia" w:ascii="仿宋" w:hAnsi="仿宋" w:eastAsia="仿宋" w:cs="仿宋"/>
          <w:sz w:val="30"/>
          <w:szCs w:val="30"/>
          <w:highlight w:val="none"/>
        </w:rPr>
        <w:t>该指标实际得分</w:t>
      </w:r>
      <w:r>
        <w:rPr>
          <w:rFonts w:hint="eastAsia" w:ascii="仿宋" w:hAnsi="仿宋" w:eastAsia="仿宋" w:cs="仿宋"/>
          <w:sz w:val="30"/>
          <w:szCs w:val="30"/>
          <w:highlight w:val="none"/>
          <w:lang w:val="en-US" w:eastAsia="zh-CN"/>
        </w:rPr>
        <w:t>2</w:t>
      </w:r>
      <w:r>
        <w:rPr>
          <w:rFonts w:hint="eastAsia" w:ascii="仿宋" w:hAnsi="仿宋" w:eastAsia="仿宋" w:cs="仿宋"/>
          <w:sz w:val="30"/>
          <w:szCs w:val="30"/>
          <w:highlight w:val="none"/>
        </w:rPr>
        <w:t>分。</w:t>
      </w:r>
    </w:p>
    <w:p>
      <w:pPr>
        <w:pStyle w:val="4"/>
        <w:pageBreakBefore w:val="0"/>
        <w:kinsoku/>
        <w:wordWrap/>
        <w:overflowPunct/>
        <w:topLinePunct w:val="0"/>
        <w:autoSpaceDE/>
        <w:autoSpaceDN/>
        <w:bidi w:val="0"/>
        <w:adjustRightInd/>
        <w:snapToGrid/>
        <w:spacing w:before="0" w:after="0" w:line="560" w:lineRule="exact"/>
        <w:ind w:firstLine="600" w:firstLineChars="200"/>
        <w:rPr>
          <w:rFonts w:hint="eastAsia" w:ascii="仿宋" w:hAnsi="仿宋" w:eastAsia="仿宋" w:cs="仿宋"/>
          <w:b w:val="0"/>
          <w:bCs w:val="0"/>
          <w:sz w:val="30"/>
          <w:szCs w:val="30"/>
          <w:highlight w:val="none"/>
        </w:rPr>
      </w:pPr>
      <w:bookmarkStart w:id="52" w:name="_Toc83630334"/>
      <w:bookmarkStart w:id="53" w:name="_Toc21302"/>
      <w:bookmarkStart w:id="54" w:name="_Toc83631044"/>
      <w:bookmarkStart w:id="55" w:name="_Toc8907"/>
      <w:bookmarkStart w:id="56" w:name="_Toc27328"/>
      <w:r>
        <w:rPr>
          <w:rFonts w:hint="eastAsia" w:ascii="仿宋" w:hAnsi="仿宋" w:eastAsia="仿宋" w:cs="仿宋"/>
          <w:b w:val="0"/>
          <w:bCs w:val="0"/>
          <w:sz w:val="30"/>
          <w:szCs w:val="30"/>
          <w:highlight w:val="none"/>
        </w:rPr>
        <w:t>（二）项目过程管理（</w:t>
      </w:r>
      <w:r>
        <w:rPr>
          <w:rFonts w:hint="eastAsia" w:ascii="仿宋" w:hAnsi="仿宋" w:eastAsia="仿宋" w:cs="仿宋"/>
          <w:b w:val="0"/>
          <w:bCs w:val="0"/>
          <w:sz w:val="30"/>
          <w:szCs w:val="30"/>
          <w:highlight w:val="none"/>
          <w:lang w:val="en-US" w:eastAsia="zh-CN"/>
        </w:rPr>
        <w:t>40</w:t>
      </w:r>
      <w:r>
        <w:rPr>
          <w:rFonts w:hint="eastAsia" w:ascii="仿宋" w:hAnsi="仿宋" w:eastAsia="仿宋" w:cs="仿宋"/>
          <w:b w:val="0"/>
          <w:bCs w:val="0"/>
          <w:sz w:val="30"/>
          <w:szCs w:val="30"/>
          <w:highlight w:val="none"/>
        </w:rPr>
        <w:t>分）</w:t>
      </w:r>
      <w:bookmarkEnd w:id="52"/>
      <w:bookmarkEnd w:id="53"/>
      <w:bookmarkEnd w:id="54"/>
      <w:bookmarkEnd w:id="55"/>
      <w:bookmarkEnd w:id="56"/>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rPr>
      </w:pPr>
      <w:r>
        <w:rPr>
          <w:rFonts w:hint="eastAsia" w:ascii="仿宋" w:hAnsi="仿宋" w:eastAsia="仿宋" w:cs="仿宋"/>
          <w:sz w:val="30"/>
          <w:szCs w:val="30"/>
          <w:highlight w:val="none"/>
        </w:rPr>
        <w:t>该一级指标包含项目财务管理和项目业务管理2个二级指标，主要反映该项目在实施过程中，财务管理是否规范、资金使用是否合规、项目业务管理是否按照相关规定执行，以保障财政资金的安全性和项目顺利实施。</w:t>
      </w:r>
    </w:p>
    <w:p>
      <w:pPr>
        <w:pStyle w:val="2"/>
        <w:rPr>
          <w:rFonts w:hint="eastAsia"/>
          <w:highlight w:val="none"/>
        </w:rPr>
      </w:pPr>
    </w:p>
    <w:tbl>
      <w:tblPr>
        <w:tblStyle w:val="18"/>
        <w:tblW w:w="4995"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5" w:type="dxa"/>
          <w:left w:w="15" w:type="dxa"/>
          <w:bottom w:w="15" w:type="dxa"/>
          <w:right w:w="15" w:type="dxa"/>
        </w:tblCellMar>
      </w:tblPr>
      <w:tblGrid>
        <w:gridCol w:w="2079"/>
        <w:gridCol w:w="1853"/>
        <w:gridCol w:w="2834"/>
        <w:gridCol w:w="1511"/>
        <w:gridCol w:w="13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647" w:hRule="exact"/>
          <w:jc w:val="center"/>
        </w:trPr>
        <w:tc>
          <w:tcPr>
            <w:tcW w:w="1076" w:type="pct"/>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rPr>
              <w:t>一级指标</w:t>
            </w:r>
          </w:p>
        </w:tc>
        <w:tc>
          <w:tcPr>
            <w:tcW w:w="959" w:type="pct"/>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rPr>
              <w:t>二级指标</w:t>
            </w:r>
          </w:p>
        </w:tc>
        <w:tc>
          <w:tcPr>
            <w:tcW w:w="1466" w:type="pct"/>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rPr>
              <w:t>三级指标</w:t>
            </w:r>
          </w:p>
        </w:tc>
        <w:tc>
          <w:tcPr>
            <w:tcW w:w="782" w:type="pct"/>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rPr>
              <w:t>分数权重</w:t>
            </w:r>
          </w:p>
        </w:tc>
        <w:tc>
          <w:tcPr>
            <w:tcW w:w="715" w:type="pct"/>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92" w:hRule="exact"/>
          <w:jc w:val="center"/>
        </w:trPr>
        <w:tc>
          <w:tcPr>
            <w:tcW w:w="1076" w:type="pct"/>
            <w:vMerge w:val="restart"/>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项目过程管理</w:t>
            </w:r>
          </w:p>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rPr>
              <w:t>（</w:t>
            </w:r>
            <w:r>
              <w:rPr>
                <w:rFonts w:hint="eastAsia" w:ascii="仿宋" w:hAnsi="仿宋" w:eastAsia="仿宋" w:cs="仿宋"/>
                <w:color w:val="000000"/>
                <w:kern w:val="0"/>
                <w:sz w:val="24"/>
                <w:szCs w:val="24"/>
                <w:highlight w:val="none"/>
                <w:lang w:val="en-US" w:eastAsia="zh-CN"/>
              </w:rPr>
              <w:t>40</w:t>
            </w:r>
            <w:r>
              <w:rPr>
                <w:rFonts w:hint="eastAsia" w:ascii="仿宋" w:hAnsi="仿宋" w:eastAsia="仿宋" w:cs="仿宋"/>
                <w:color w:val="000000"/>
                <w:kern w:val="0"/>
                <w:sz w:val="24"/>
                <w:szCs w:val="24"/>
                <w:highlight w:val="none"/>
              </w:rPr>
              <w:t>分）</w:t>
            </w:r>
          </w:p>
        </w:tc>
        <w:tc>
          <w:tcPr>
            <w:tcW w:w="959" w:type="pct"/>
            <w:vMerge w:val="restart"/>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项目财务管理</w:t>
            </w:r>
          </w:p>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rPr>
              <w:t>（</w:t>
            </w:r>
            <w:r>
              <w:rPr>
                <w:rFonts w:hint="eastAsia" w:ascii="仿宋" w:hAnsi="仿宋" w:eastAsia="仿宋" w:cs="仿宋"/>
                <w:color w:val="000000"/>
                <w:kern w:val="0"/>
                <w:sz w:val="24"/>
                <w:szCs w:val="24"/>
                <w:highlight w:val="none"/>
                <w:lang w:val="en-US" w:eastAsia="zh-CN"/>
              </w:rPr>
              <w:t>20</w:t>
            </w:r>
            <w:r>
              <w:rPr>
                <w:rFonts w:hint="eastAsia" w:ascii="仿宋" w:hAnsi="仿宋" w:eastAsia="仿宋" w:cs="仿宋"/>
                <w:color w:val="000000"/>
                <w:kern w:val="0"/>
                <w:sz w:val="24"/>
                <w:szCs w:val="24"/>
                <w:highlight w:val="none"/>
              </w:rPr>
              <w:t>分）</w:t>
            </w:r>
          </w:p>
        </w:tc>
        <w:tc>
          <w:tcPr>
            <w:tcW w:w="1466" w:type="pct"/>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lang w:eastAsia="zh-CN"/>
              </w:rPr>
              <w:t>专项资金</w:t>
            </w:r>
            <w:r>
              <w:rPr>
                <w:rFonts w:hint="eastAsia" w:ascii="仿宋" w:hAnsi="仿宋" w:eastAsia="仿宋" w:cs="仿宋"/>
                <w:color w:val="000000"/>
                <w:kern w:val="0"/>
                <w:sz w:val="24"/>
                <w:szCs w:val="24"/>
                <w:highlight w:val="none"/>
              </w:rPr>
              <w:t>使用率</w:t>
            </w:r>
          </w:p>
        </w:tc>
        <w:tc>
          <w:tcPr>
            <w:tcW w:w="782" w:type="pct"/>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kern w:val="0"/>
                <w:sz w:val="24"/>
                <w:szCs w:val="24"/>
                <w:highlight w:val="none"/>
                <w:lang w:val="en-US" w:eastAsia="zh-CN"/>
              </w:rPr>
            </w:pPr>
            <w:r>
              <w:rPr>
                <w:rFonts w:hint="eastAsia" w:ascii="仿宋" w:hAnsi="仿宋" w:eastAsia="仿宋" w:cs="仿宋"/>
                <w:color w:val="000000"/>
                <w:kern w:val="0"/>
                <w:sz w:val="24"/>
                <w:szCs w:val="24"/>
                <w:highlight w:val="none"/>
                <w:lang w:val="en-US" w:eastAsia="zh-CN"/>
              </w:rPr>
              <w:t>7</w:t>
            </w:r>
          </w:p>
        </w:tc>
        <w:tc>
          <w:tcPr>
            <w:tcW w:w="1381" w:type="dxa"/>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default" w:ascii="仿宋" w:hAnsi="仿宋" w:eastAsia="仿宋" w:cs="仿宋"/>
                <w:color w:val="000000"/>
                <w:kern w:val="0"/>
                <w:sz w:val="24"/>
                <w:szCs w:val="24"/>
                <w:highlight w:val="none"/>
                <w:lang w:val="en-US" w:eastAsia="zh-CN"/>
              </w:rPr>
            </w:pPr>
            <w:r>
              <w:rPr>
                <w:rFonts w:hint="eastAsia" w:ascii="仿宋" w:hAnsi="仿宋" w:eastAsia="仿宋" w:cs="仿宋"/>
                <w:color w:val="000000"/>
                <w:kern w:val="0"/>
                <w:sz w:val="24"/>
                <w:szCs w:val="24"/>
                <w:highlight w:val="none"/>
                <w:lang w:val="en-US" w:eastAsia="zh-CN"/>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51" w:hRule="exact"/>
          <w:jc w:val="center"/>
        </w:trPr>
        <w:tc>
          <w:tcPr>
            <w:tcW w:w="1076" w:type="pct"/>
            <w:vMerge w:val="continue"/>
            <w:vAlign w:val="center"/>
          </w:tcPr>
          <w:p>
            <w:pPr>
              <w:pageBreakBefore w:val="0"/>
              <w:kinsoku/>
              <w:wordWrap/>
              <w:overflowPunct/>
              <w:topLinePunct w:val="0"/>
              <w:autoSpaceDE/>
              <w:autoSpaceDN/>
              <w:bidi w:val="0"/>
              <w:adjustRightInd/>
              <w:snapToGrid/>
              <w:spacing w:line="560" w:lineRule="exact"/>
              <w:jc w:val="center"/>
              <w:rPr>
                <w:rFonts w:hint="eastAsia" w:ascii="仿宋" w:hAnsi="仿宋" w:eastAsia="仿宋" w:cs="仿宋"/>
                <w:color w:val="000000"/>
                <w:sz w:val="24"/>
                <w:szCs w:val="24"/>
                <w:highlight w:val="none"/>
              </w:rPr>
            </w:pPr>
          </w:p>
        </w:tc>
        <w:tc>
          <w:tcPr>
            <w:tcW w:w="959" w:type="pct"/>
            <w:vMerge w:val="continue"/>
            <w:vAlign w:val="center"/>
          </w:tcPr>
          <w:p>
            <w:pPr>
              <w:pageBreakBefore w:val="0"/>
              <w:kinsoku/>
              <w:wordWrap/>
              <w:overflowPunct/>
              <w:topLinePunct w:val="0"/>
              <w:autoSpaceDE/>
              <w:autoSpaceDN/>
              <w:bidi w:val="0"/>
              <w:adjustRightInd/>
              <w:snapToGrid/>
              <w:spacing w:line="560" w:lineRule="exact"/>
              <w:jc w:val="center"/>
              <w:rPr>
                <w:rFonts w:hint="eastAsia" w:ascii="仿宋" w:hAnsi="仿宋" w:eastAsia="仿宋" w:cs="仿宋"/>
                <w:color w:val="000000"/>
                <w:sz w:val="24"/>
                <w:szCs w:val="24"/>
                <w:highlight w:val="none"/>
              </w:rPr>
            </w:pPr>
          </w:p>
        </w:tc>
        <w:tc>
          <w:tcPr>
            <w:tcW w:w="1466" w:type="pct"/>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会计核算</w:t>
            </w:r>
          </w:p>
        </w:tc>
        <w:tc>
          <w:tcPr>
            <w:tcW w:w="1511" w:type="dxa"/>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kern w:val="0"/>
                <w:sz w:val="24"/>
                <w:szCs w:val="24"/>
                <w:highlight w:val="none"/>
                <w:lang w:val="en-US" w:eastAsia="zh-CN"/>
              </w:rPr>
            </w:pPr>
            <w:r>
              <w:rPr>
                <w:rFonts w:hint="eastAsia" w:ascii="仿宋" w:hAnsi="仿宋" w:eastAsia="仿宋" w:cs="仿宋"/>
                <w:color w:val="000000"/>
                <w:kern w:val="0"/>
                <w:sz w:val="24"/>
                <w:szCs w:val="24"/>
                <w:highlight w:val="none"/>
                <w:lang w:val="en-US" w:eastAsia="zh-CN"/>
              </w:rPr>
              <w:t>6</w:t>
            </w:r>
          </w:p>
        </w:tc>
        <w:tc>
          <w:tcPr>
            <w:tcW w:w="1381" w:type="dxa"/>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kern w:val="0"/>
                <w:sz w:val="24"/>
                <w:szCs w:val="24"/>
                <w:highlight w:val="none"/>
                <w:lang w:val="en-US" w:eastAsia="zh-CN"/>
              </w:rPr>
            </w:pPr>
            <w:r>
              <w:rPr>
                <w:rFonts w:hint="eastAsia" w:ascii="仿宋" w:hAnsi="仿宋" w:eastAsia="仿宋" w:cs="仿宋"/>
                <w:color w:val="000000"/>
                <w:kern w:val="0"/>
                <w:sz w:val="24"/>
                <w:szCs w:val="24"/>
                <w:highlight w:val="none"/>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649" w:hRule="exact"/>
          <w:jc w:val="center"/>
        </w:trPr>
        <w:tc>
          <w:tcPr>
            <w:tcW w:w="1076" w:type="pct"/>
            <w:vMerge w:val="continue"/>
            <w:vAlign w:val="center"/>
          </w:tcPr>
          <w:p>
            <w:pPr>
              <w:pageBreakBefore w:val="0"/>
              <w:kinsoku/>
              <w:wordWrap/>
              <w:overflowPunct/>
              <w:topLinePunct w:val="0"/>
              <w:autoSpaceDE/>
              <w:autoSpaceDN/>
              <w:bidi w:val="0"/>
              <w:adjustRightInd/>
              <w:snapToGrid/>
              <w:spacing w:line="560" w:lineRule="exact"/>
              <w:jc w:val="center"/>
              <w:rPr>
                <w:rFonts w:hint="eastAsia" w:ascii="仿宋" w:hAnsi="仿宋" w:eastAsia="仿宋" w:cs="仿宋"/>
                <w:color w:val="000000"/>
                <w:sz w:val="24"/>
                <w:szCs w:val="24"/>
                <w:highlight w:val="none"/>
              </w:rPr>
            </w:pPr>
          </w:p>
        </w:tc>
        <w:tc>
          <w:tcPr>
            <w:tcW w:w="959" w:type="pct"/>
            <w:vMerge w:val="continue"/>
            <w:vAlign w:val="center"/>
          </w:tcPr>
          <w:p>
            <w:pPr>
              <w:pageBreakBefore w:val="0"/>
              <w:kinsoku/>
              <w:wordWrap/>
              <w:overflowPunct/>
              <w:topLinePunct w:val="0"/>
              <w:autoSpaceDE/>
              <w:autoSpaceDN/>
              <w:bidi w:val="0"/>
              <w:adjustRightInd/>
              <w:snapToGrid/>
              <w:spacing w:line="560" w:lineRule="exact"/>
              <w:jc w:val="center"/>
              <w:rPr>
                <w:rFonts w:hint="eastAsia" w:ascii="仿宋" w:hAnsi="仿宋" w:eastAsia="仿宋" w:cs="仿宋"/>
                <w:color w:val="000000"/>
                <w:sz w:val="24"/>
                <w:szCs w:val="24"/>
                <w:highlight w:val="none"/>
              </w:rPr>
            </w:pPr>
          </w:p>
        </w:tc>
        <w:tc>
          <w:tcPr>
            <w:tcW w:w="1466" w:type="pct"/>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资金支出合规性</w:t>
            </w:r>
          </w:p>
        </w:tc>
        <w:tc>
          <w:tcPr>
            <w:tcW w:w="1511" w:type="dxa"/>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kern w:val="0"/>
                <w:sz w:val="24"/>
                <w:szCs w:val="24"/>
                <w:highlight w:val="none"/>
                <w:lang w:val="en-US" w:eastAsia="zh-CN"/>
              </w:rPr>
            </w:pPr>
            <w:r>
              <w:rPr>
                <w:rFonts w:hint="eastAsia" w:ascii="仿宋" w:hAnsi="仿宋" w:eastAsia="仿宋" w:cs="仿宋"/>
                <w:color w:val="000000"/>
                <w:kern w:val="0"/>
                <w:sz w:val="24"/>
                <w:szCs w:val="24"/>
                <w:highlight w:val="none"/>
                <w:lang w:val="en-US" w:eastAsia="zh-CN"/>
              </w:rPr>
              <w:t>7</w:t>
            </w:r>
          </w:p>
        </w:tc>
        <w:tc>
          <w:tcPr>
            <w:tcW w:w="1381" w:type="dxa"/>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kern w:val="0"/>
                <w:sz w:val="24"/>
                <w:szCs w:val="24"/>
                <w:highlight w:val="none"/>
                <w:lang w:val="en-US" w:eastAsia="zh-CN"/>
              </w:rPr>
            </w:pPr>
            <w:r>
              <w:rPr>
                <w:rFonts w:hint="eastAsia" w:ascii="仿宋" w:hAnsi="仿宋" w:eastAsia="仿宋" w:cs="仿宋"/>
                <w:color w:val="000000"/>
                <w:kern w:val="0"/>
                <w:sz w:val="24"/>
                <w:szCs w:val="24"/>
                <w:highlight w:val="none"/>
                <w:lang w:val="en-US" w:eastAsia="zh-CN"/>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86" w:hRule="exact"/>
          <w:jc w:val="center"/>
        </w:trPr>
        <w:tc>
          <w:tcPr>
            <w:tcW w:w="1076" w:type="pct"/>
            <w:vMerge w:val="continue"/>
            <w:vAlign w:val="center"/>
          </w:tcPr>
          <w:p>
            <w:pPr>
              <w:pageBreakBefore w:val="0"/>
              <w:kinsoku/>
              <w:wordWrap/>
              <w:overflowPunct/>
              <w:topLinePunct w:val="0"/>
              <w:autoSpaceDE/>
              <w:autoSpaceDN/>
              <w:bidi w:val="0"/>
              <w:adjustRightInd/>
              <w:snapToGrid/>
              <w:spacing w:line="560" w:lineRule="exact"/>
              <w:jc w:val="center"/>
              <w:rPr>
                <w:rFonts w:hint="eastAsia" w:ascii="仿宋" w:hAnsi="仿宋" w:eastAsia="仿宋" w:cs="仿宋"/>
                <w:color w:val="000000"/>
                <w:sz w:val="24"/>
                <w:szCs w:val="24"/>
                <w:highlight w:val="none"/>
              </w:rPr>
            </w:pPr>
          </w:p>
        </w:tc>
        <w:tc>
          <w:tcPr>
            <w:tcW w:w="959" w:type="pct"/>
            <w:vMerge w:val="restart"/>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项目业务管理</w:t>
            </w:r>
          </w:p>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rPr>
              <w:t>（</w:t>
            </w:r>
            <w:r>
              <w:rPr>
                <w:rFonts w:hint="eastAsia" w:ascii="仿宋" w:hAnsi="仿宋" w:eastAsia="仿宋" w:cs="仿宋"/>
                <w:color w:val="000000"/>
                <w:kern w:val="0"/>
                <w:sz w:val="24"/>
                <w:szCs w:val="24"/>
                <w:highlight w:val="none"/>
                <w:lang w:val="en-US" w:eastAsia="zh-CN"/>
              </w:rPr>
              <w:t>20</w:t>
            </w:r>
            <w:r>
              <w:rPr>
                <w:rFonts w:hint="eastAsia" w:ascii="仿宋" w:hAnsi="仿宋" w:eastAsia="仿宋" w:cs="仿宋"/>
                <w:color w:val="000000"/>
                <w:kern w:val="0"/>
                <w:sz w:val="24"/>
                <w:szCs w:val="24"/>
                <w:highlight w:val="none"/>
              </w:rPr>
              <w:t>分）</w:t>
            </w:r>
          </w:p>
        </w:tc>
        <w:tc>
          <w:tcPr>
            <w:tcW w:w="1466" w:type="pct"/>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kern w:val="0"/>
                <w:sz w:val="24"/>
                <w:szCs w:val="24"/>
                <w:highlight w:val="none"/>
                <w:lang w:eastAsia="zh-CN"/>
              </w:rPr>
            </w:pPr>
            <w:r>
              <w:rPr>
                <w:rFonts w:hint="eastAsia" w:ascii="仿宋" w:hAnsi="仿宋" w:eastAsia="仿宋" w:cs="仿宋"/>
                <w:color w:val="000000"/>
                <w:kern w:val="0"/>
                <w:sz w:val="24"/>
                <w:szCs w:val="24"/>
                <w:highlight w:val="none"/>
                <w:lang w:val="en-US" w:eastAsia="zh-CN"/>
              </w:rPr>
              <w:t>管理制度是否健全</w:t>
            </w:r>
          </w:p>
        </w:tc>
        <w:tc>
          <w:tcPr>
            <w:tcW w:w="1511" w:type="dxa"/>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default" w:ascii="仿宋" w:hAnsi="仿宋" w:eastAsia="仿宋" w:cs="仿宋"/>
                <w:color w:val="000000"/>
                <w:kern w:val="0"/>
                <w:sz w:val="24"/>
                <w:szCs w:val="24"/>
                <w:highlight w:val="none"/>
                <w:lang w:val="en-US" w:eastAsia="zh-CN"/>
              </w:rPr>
            </w:pPr>
            <w:r>
              <w:rPr>
                <w:rFonts w:hint="eastAsia" w:ascii="仿宋" w:hAnsi="仿宋" w:eastAsia="仿宋" w:cs="仿宋"/>
                <w:color w:val="000000"/>
                <w:kern w:val="0"/>
                <w:sz w:val="24"/>
                <w:szCs w:val="24"/>
                <w:highlight w:val="none"/>
                <w:lang w:val="en-US" w:eastAsia="zh-CN"/>
              </w:rPr>
              <w:t>7</w:t>
            </w:r>
          </w:p>
        </w:tc>
        <w:tc>
          <w:tcPr>
            <w:tcW w:w="1381" w:type="dxa"/>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lang w:val="en-US" w:eastAsia="zh-CN"/>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75" w:hRule="exact"/>
          <w:jc w:val="center"/>
        </w:trPr>
        <w:tc>
          <w:tcPr>
            <w:tcW w:w="1076" w:type="pct"/>
            <w:vMerge w:val="continue"/>
            <w:vAlign w:val="center"/>
          </w:tcPr>
          <w:p>
            <w:pPr>
              <w:pageBreakBefore w:val="0"/>
              <w:kinsoku/>
              <w:wordWrap/>
              <w:overflowPunct/>
              <w:topLinePunct w:val="0"/>
              <w:autoSpaceDE/>
              <w:autoSpaceDN/>
              <w:bidi w:val="0"/>
              <w:adjustRightInd/>
              <w:snapToGrid/>
              <w:spacing w:line="560" w:lineRule="exact"/>
              <w:jc w:val="center"/>
              <w:rPr>
                <w:rFonts w:hint="eastAsia" w:ascii="仿宋" w:hAnsi="仿宋" w:eastAsia="仿宋" w:cs="仿宋"/>
                <w:color w:val="000000"/>
                <w:sz w:val="24"/>
                <w:szCs w:val="24"/>
                <w:highlight w:val="none"/>
              </w:rPr>
            </w:pPr>
          </w:p>
        </w:tc>
        <w:tc>
          <w:tcPr>
            <w:tcW w:w="959" w:type="pct"/>
            <w:vMerge w:val="continue"/>
            <w:vAlign w:val="center"/>
          </w:tcPr>
          <w:p>
            <w:pPr>
              <w:pageBreakBefore w:val="0"/>
              <w:kinsoku/>
              <w:wordWrap/>
              <w:overflowPunct/>
              <w:topLinePunct w:val="0"/>
              <w:autoSpaceDE/>
              <w:autoSpaceDN/>
              <w:bidi w:val="0"/>
              <w:adjustRightInd/>
              <w:snapToGrid/>
              <w:spacing w:line="560" w:lineRule="exact"/>
              <w:jc w:val="center"/>
              <w:rPr>
                <w:rFonts w:hint="eastAsia" w:ascii="仿宋" w:hAnsi="仿宋" w:eastAsia="仿宋" w:cs="仿宋"/>
                <w:color w:val="000000"/>
                <w:sz w:val="24"/>
                <w:szCs w:val="24"/>
                <w:highlight w:val="none"/>
              </w:rPr>
            </w:pPr>
          </w:p>
        </w:tc>
        <w:tc>
          <w:tcPr>
            <w:tcW w:w="1466" w:type="pct"/>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kern w:val="0"/>
                <w:sz w:val="24"/>
                <w:szCs w:val="24"/>
                <w:highlight w:val="none"/>
                <w:lang w:eastAsia="zh-CN"/>
              </w:rPr>
            </w:pPr>
            <w:r>
              <w:rPr>
                <w:rFonts w:hint="eastAsia" w:ascii="仿宋" w:hAnsi="仿宋" w:eastAsia="仿宋" w:cs="仿宋"/>
                <w:color w:val="000000"/>
                <w:kern w:val="0"/>
                <w:sz w:val="24"/>
                <w:szCs w:val="24"/>
                <w:highlight w:val="none"/>
                <w:lang w:val="en-US" w:eastAsia="zh-CN"/>
              </w:rPr>
              <w:t>制度执行有效性</w:t>
            </w:r>
          </w:p>
        </w:tc>
        <w:tc>
          <w:tcPr>
            <w:tcW w:w="1511" w:type="dxa"/>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kern w:val="0"/>
                <w:sz w:val="24"/>
                <w:szCs w:val="24"/>
                <w:highlight w:val="none"/>
                <w:lang w:val="en-US" w:eastAsia="zh-CN"/>
              </w:rPr>
            </w:pPr>
            <w:r>
              <w:rPr>
                <w:rFonts w:hint="eastAsia" w:ascii="仿宋" w:hAnsi="仿宋" w:eastAsia="仿宋" w:cs="仿宋"/>
                <w:color w:val="000000"/>
                <w:kern w:val="0"/>
                <w:sz w:val="24"/>
                <w:szCs w:val="24"/>
                <w:highlight w:val="none"/>
                <w:lang w:val="en-US" w:eastAsia="zh-CN"/>
              </w:rPr>
              <w:t>6</w:t>
            </w:r>
          </w:p>
        </w:tc>
        <w:tc>
          <w:tcPr>
            <w:tcW w:w="1381" w:type="dxa"/>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kern w:val="0"/>
                <w:sz w:val="24"/>
                <w:szCs w:val="24"/>
                <w:highlight w:val="none"/>
                <w:lang w:val="en-US" w:eastAsia="zh-CN"/>
              </w:rPr>
            </w:pPr>
            <w:r>
              <w:rPr>
                <w:rFonts w:hint="eastAsia" w:ascii="仿宋" w:hAnsi="仿宋" w:eastAsia="仿宋" w:cs="仿宋"/>
                <w:color w:val="000000"/>
                <w:kern w:val="0"/>
                <w:sz w:val="24"/>
                <w:szCs w:val="24"/>
                <w:highlight w:val="none"/>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659" w:hRule="exact"/>
          <w:jc w:val="center"/>
        </w:trPr>
        <w:tc>
          <w:tcPr>
            <w:tcW w:w="1076" w:type="pct"/>
            <w:vMerge w:val="continue"/>
            <w:vAlign w:val="center"/>
          </w:tcPr>
          <w:p>
            <w:pPr>
              <w:pageBreakBefore w:val="0"/>
              <w:kinsoku/>
              <w:wordWrap/>
              <w:overflowPunct/>
              <w:topLinePunct w:val="0"/>
              <w:autoSpaceDE/>
              <w:autoSpaceDN/>
              <w:bidi w:val="0"/>
              <w:adjustRightInd/>
              <w:snapToGrid/>
              <w:spacing w:line="560" w:lineRule="exact"/>
              <w:jc w:val="center"/>
              <w:rPr>
                <w:rFonts w:hint="eastAsia" w:ascii="仿宋" w:hAnsi="仿宋" w:eastAsia="仿宋" w:cs="仿宋"/>
                <w:color w:val="000000"/>
                <w:sz w:val="24"/>
                <w:szCs w:val="24"/>
                <w:highlight w:val="none"/>
              </w:rPr>
            </w:pPr>
          </w:p>
        </w:tc>
        <w:tc>
          <w:tcPr>
            <w:tcW w:w="959" w:type="pct"/>
            <w:vMerge w:val="continue"/>
            <w:vAlign w:val="center"/>
          </w:tcPr>
          <w:p>
            <w:pPr>
              <w:pageBreakBefore w:val="0"/>
              <w:kinsoku/>
              <w:wordWrap/>
              <w:overflowPunct/>
              <w:topLinePunct w:val="0"/>
              <w:autoSpaceDE/>
              <w:autoSpaceDN/>
              <w:bidi w:val="0"/>
              <w:adjustRightInd/>
              <w:snapToGrid/>
              <w:spacing w:line="560" w:lineRule="exact"/>
              <w:jc w:val="center"/>
              <w:rPr>
                <w:rFonts w:hint="eastAsia" w:ascii="仿宋" w:hAnsi="仿宋" w:eastAsia="仿宋" w:cs="仿宋"/>
                <w:color w:val="000000"/>
                <w:sz w:val="24"/>
                <w:szCs w:val="24"/>
                <w:highlight w:val="none"/>
              </w:rPr>
            </w:pPr>
          </w:p>
        </w:tc>
        <w:tc>
          <w:tcPr>
            <w:tcW w:w="1466" w:type="pct"/>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项目档案资料完整性</w:t>
            </w:r>
          </w:p>
        </w:tc>
        <w:tc>
          <w:tcPr>
            <w:tcW w:w="1511" w:type="dxa"/>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default" w:ascii="仿宋" w:hAnsi="仿宋" w:eastAsia="仿宋" w:cs="仿宋"/>
                <w:color w:val="000000"/>
                <w:kern w:val="0"/>
                <w:sz w:val="24"/>
                <w:szCs w:val="24"/>
                <w:highlight w:val="none"/>
                <w:lang w:val="en-US" w:eastAsia="zh-CN"/>
              </w:rPr>
            </w:pPr>
            <w:r>
              <w:rPr>
                <w:rFonts w:hint="eastAsia" w:ascii="仿宋" w:hAnsi="仿宋" w:eastAsia="仿宋" w:cs="仿宋"/>
                <w:color w:val="000000"/>
                <w:kern w:val="0"/>
                <w:sz w:val="24"/>
                <w:szCs w:val="24"/>
                <w:highlight w:val="none"/>
                <w:lang w:val="en-US" w:eastAsia="zh-CN"/>
              </w:rPr>
              <w:t>7</w:t>
            </w:r>
          </w:p>
        </w:tc>
        <w:tc>
          <w:tcPr>
            <w:tcW w:w="1381" w:type="dxa"/>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kern w:val="0"/>
                <w:sz w:val="24"/>
                <w:szCs w:val="24"/>
                <w:highlight w:val="none"/>
                <w:lang w:val="en-US" w:eastAsia="zh-CN"/>
              </w:rPr>
            </w:pPr>
            <w:r>
              <w:rPr>
                <w:rFonts w:hint="eastAsia" w:ascii="仿宋" w:hAnsi="仿宋" w:eastAsia="仿宋" w:cs="仿宋"/>
                <w:color w:val="000000"/>
                <w:kern w:val="0"/>
                <w:sz w:val="24"/>
                <w:szCs w:val="24"/>
                <w:highlight w:val="none"/>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622" w:hRule="exact"/>
          <w:jc w:val="center"/>
        </w:trPr>
        <w:tc>
          <w:tcPr>
            <w:tcW w:w="3502" w:type="pct"/>
            <w:gridSpan w:val="3"/>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合  计</w:t>
            </w:r>
          </w:p>
        </w:tc>
        <w:tc>
          <w:tcPr>
            <w:tcW w:w="782" w:type="pct"/>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default" w:ascii="仿宋" w:hAnsi="仿宋" w:eastAsia="仿宋" w:cs="仿宋"/>
                <w:color w:val="000000"/>
                <w:kern w:val="0"/>
                <w:sz w:val="24"/>
                <w:szCs w:val="24"/>
                <w:highlight w:val="none"/>
                <w:lang w:val="en-US" w:eastAsia="zh-CN"/>
              </w:rPr>
            </w:pPr>
            <w:r>
              <w:rPr>
                <w:rFonts w:hint="eastAsia" w:ascii="仿宋" w:hAnsi="仿宋" w:eastAsia="仿宋" w:cs="仿宋"/>
                <w:color w:val="000000"/>
                <w:kern w:val="0"/>
                <w:sz w:val="24"/>
                <w:szCs w:val="24"/>
                <w:highlight w:val="none"/>
                <w:lang w:val="en-US" w:eastAsia="zh-CN"/>
              </w:rPr>
              <w:t>40</w:t>
            </w:r>
          </w:p>
        </w:tc>
        <w:tc>
          <w:tcPr>
            <w:tcW w:w="1381" w:type="dxa"/>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default" w:ascii="仿宋" w:hAnsi="仿宋" w:eastAsia="仿宋" w:cs="仿宋"/>
                <w:color w:val="000000"/>
                <w:kern w:val="0"/>
                <w:sz w:val="24"/>
                <w:szCs w:val="24"/>
                <w:highlight w:val="none"/>
                <w:lang w:val="en-US" w:eastAsia="zh-CN"/>
              </w:rPr>
            </w:pPr>
            <w:r>
              <w:rPr>
                <w:rFonts w:hint="eastAsia" w:ascii="仿宋" w:hAnsi="仿宋" w:eastAsia="仿宋" w:cs="仿宋"/>
                <w:color w:val="000000"/>
                <w:kern w:val="0"/>
                <w:sz w:val="24"/>
                <w:szCs w:val="24"/>
                <w:highlight w:val="none"/>
                <w:lang w:val="en-US" w:eastAsia="zh-CN"/>
              </w:rPr>
              <w:t>38</w:t>
            </w:r>
          </w:p>
        </w:tc>
      </w:tr>
    </w:tbl>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rPr>
      </w:pPr>
      <w:r>
        <w:rPr>
          <w:rFonts w:hint="eastAsia" w:ascii="仿宋" w:hAnsi="仿宋" w:eastAsia="仿宋" w:cs="仿宋"/>
          <w:sz w:val="30"/>
          <w:szCs w:val="30"/>
          <w:highlight w:val="none"/>
        </w:rPr>
        <w:t>1.项目财务管理（</w:t>
      </w:r>
      <w:r>
        <w:rPr>
          <w:rFonts w:hint="eastAsia" w:ascii="仿宋" w:hAnsi="仿宋" w:eastAsia="仿宋" w:cs="仿宋"/>
          <w:sz w:val="30"/>
          <w:szCs w:val="30"/>
          <w:highlight w:val="none"/>
          <w:lang w:val="en-US" w:eastAsia="zh-CN"/>
        </w:rPr>
        <w:t>20</w:t>
      </w:r>
      <w:r>
        <w:rPr>
          <w:rFonts w:hint="eastAsia" w:ascii="仿宋" w:hAnsi="仿宋" w:eastAsia="仿宋" w:cs="仿宋"/>
          <w:sz w:val="30"/>
          <w:szCs w:val="30"/>
          <w:highlight w:val="none"/>
        </w:rPr>
        <w:t>分）</w:t>
      </w:r>
    </w:p>
    <w:p>
      <w:pPr>
        <w:pageBreakBefore w:val="0"/>
        <w:kinsoku/>
        <w:wordWrap/>
        <w:overflowPunct/>
        <w:topLinePunct w:val="0"/>
        <w:autoSpaceDE/>
        <w:autoSpaceDN/>
        <w:bidi w:val="0"/>
        <w:adjustRightInd/>
        <w:snapToGrid/>
        <w:spacing w:line="560" w:lineRule="exact"/>
        <w:jc w:val="left"/>
        <w:rPr>
          <w:rFonts w:hint="eastAsia" w:ascii="仿宋" w:hAnsi="仿宋" w:eastAsia="仿宋" w:cs="仿宋"/>
          <w:sz w:val="30"/>
          <w:szCs w:val="30"/>
          <w:highlight w:val="none"/>
        </w:rPr>
      </w:pPr>
      <w:r>
        <w:rPr>
          <w:rFonts w:hint="eastAsia" w:ascii="仿宋" w:hAnsi="仿宋" w:eastAsia="仿宋" w:cs="仿宋"/>
          <w:sz w:val="30"/>
          <w:szCs w:val="30"/>
          <w:highlight w:val="none"/>
        </w:rPr>
        <w:t xml:space="preserve">    （1）</w:t>
      </w:r>
      <w:r>
        <w:rPr>
          <w:rFonts w:hint="eastAsia" w:ascii="仿宋" w:hAnsi="仿宋" w:eastAsia="仿宋" w:cs="仿宋"/>
          <w:sz w:val="30"/>
          <w:szCs w:val="30"/>
          <w:highlight w:val="none"/>
          <w:lang w:eastAsia="zh-CN"/>
        </w:rPr>
        <w:t>专项资金</w:t>
      </w:r>
      <w:r>
        <w:rPr>
          <w:rFonts w:hint="eastAsia" w:ascii="仿宋" w:hAnsi="仿宋" w:eastAsia="仿宋" w:cs="仿宋"/>
          <w:sz w:val="30"/>
          <w:szCs w:val="30"/>
          <w:highlight w:val="none"/>
        </w:rPr>
        <w:t>使用率（</w:t>
      </w:r>
      <w:r>
        <w:rPr>
          <w:rFonts w:hint="eastAsia" w:ascii="仿宋" w:hAnsi="仿宋" w:eastAsia="仿宋" w:cs="仿宋"/>
          <w:sz w:val="30"/>
          <w:szCs w:val="30"/>
          <w:highlight w:val="none"/>
          <w:lang w:val="en-US" w:eastAsia="zh-CN"/>
        </w:rPr>
        <w:t>7</w:t>
      </w:r>
      <w:r>
        <w:rPr>
          <w:rFonts w:hint="eastAsia" w:ascii="仿宋" w:hAnsi="仿宋" w:eastAsia="仿宋" w:cs="仿宋"/>
          <w:sz w:val="30"/>
          <w:szCs w:val="30"/>
          <w:highlight w:val="none"/>
        </w:rPr>
        <w:t>分）</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rPr>
      </w:pPr>
      <w:r>
        <w:rPr>
          <w:rFonts w:hint="eastAsia" w:ascii="仿宋" w:hAnsi="仿宋" w:eastAsia="仿宋" w:cs="仿宋"/>
          <w:sz w:val="30"/>
          <w:szCs w:val="30"/>
          <w:highlight w:val="none"/>
        </w:rPr>
        <w:t>该指标主要</w:t>
      </w:r>
      <w:r>
        <w:rPr>
          <w:rFonts w:hint="eastAsia" w:ascii="仿宋" w:hAnsi="仿宋" w:eastAsia="仿宋" w:cs="仿宋"/>
          <w:sz w:val="30"/>
          <w:szCs w:val="30"/>
          <w:highlight w:val="none"/>
          <w:lang w:eastAsia="zh-CN"/>
        </w:rPr>
        <w:t>评估</w:t>
      </w:r>
      <w:r>
        <w:rPr>
          <w:rFonts w:hint="eastAsia" w:ascii="仿宋" w:hAnsi="仿宋" w:eastAsia="仿宋" w:cs="仿宋"/>
          <w:sz w:val="30"/>
          <w:szCs w:val="30"/>
          <w:highlight w:val="none"/>
        </w:rPr>
        <w:t>实际使用</w:t>
      </w:r>
      <w:r>
        <w:rPr>
          <w:rFonts w:hint="eastAsia" w:ascii="仿宋" w:hAnsi="仿宋" w:eastAsia="仿宋" w:cs="仿宋"/>
          <w:sz w:val="30"/>
          <w:szCs w:val="30"/>
          <w:highlight w:val="none"/>
          <w:lang w:val="en-US" w:eastAsia="zh-CN"/>
        </w:rPr>
        <w:t>专项债券</w:t>
      </w:r>
      <w:r>
        <w:rPr>
          <w:rFonts w:hint="eastAsia" w:ascii="仿宋" w:hAnsi="仿宋" w:eastAsia="仿宋" w:cs="仿宋"/>
          <w:sz w:val="30"/>
          <w:szCs w:val="30"/>
          <w:highlight w:val="none"/>
        </w:rPr>
        <w:t>资金数额占</w:t>
      </w:r>
      <w:r>
        <w:rPr>
          <w:rFonts w:hint="eastAsia" w:ascii="仿宋" w:hAnsi="仿宋" w:eastAsia="仿宋" w:cs="仿宋"/>
          <w:sz w:val="30"/>
          <w:szCs w:val="30"/>
          <w:highlight w:val="none"/>
          <w:lang w:val="en-US" w:eastAsia="zh-CN"/>
        </w:rPr>
        <w:t>专项债券资金</w:t>
      </w:r>
      <w:r>
        <w:rPr>
          <w:rFonts w:hint="eastAsia" w:ascii="仿宋" w:hAnsi="仿宋" w:eastAsia="仿宋" w:cs="仿宋"/>
          <w:sz w:val="30"/>
          <w:szCs w:val="30"/>
          <w:highlight w:val="none"/>
        </w:rPr>
        <w:t>实际拨付额比例。</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rPr>
      </w:pPr>
      <w:r>
        <w:rPr>
          <w:rFonts w:hint="eastAsia" w:ascii="仿宋" w:hAnsi="仿宋" w:eastAsia="仿宋" w:cs="仿宋"/>
          <w:sz w:val="30"/>
          <w:szCs w:val="30"/>
          <w:highlight w:val="none"/>
        </w:rPr>
        <w:t>经检查，</w:t>
      </w:r>
      <w:r>
        <w:rPr>
          <w:rFonts w:hint="eastAsia" w:ascii="仿宋" w:hAnsi="仿宋" w:eastAsia="仿宋" w:cs="仿宋"/>
          <w:sz w:val="30"/>
          <w:szCs w:val="30"/>
          <w:highlight w:val="none"/>
          <w:lang w:val="en-US" w:eastAsia="zh-CN"/>
        </w:rPr>
        <w:t>该项目2022年</w:t>
      </w:r>
      <w:r>
        <w:rPr>
          <w:rFonts w:hint="eastAsia" w:ascii="仿宋" w:hAnsi="仿宋" w:eastAsia="仿宋" w:cs="仿宋"/>
          <w:sz w:val="30"/>
          <w:szCs w:val="30"/>
          <w:highlight w:val="none"/>
          <w:lang w:eastAsia="zh-CN"/>
        </w:rPr>
        <w:t>度共安排</w:t>
      </w:r>
      <w:r>
        <w:rPr>
          <w:rFonts w:hint="eastAsia" w:ascii="仿宋" w:hAnsi="仿宋" w:eastAsia="仿宋" w:cs="仿宋"/>
          <w:sz w:val="30"/>
          <w:szCs w:val="30"/>
          <w:highlight w:val="none"/>
          <w:lang w:val="en-US" w:eastAsia="zh-CN"/>
        </w:rPr>
        <w:t>专项债券资金5000.00</w:t>
      </w:r>
      <w:r>
        <w:rPr>
          <w:rFonts w:hint="eastAsia" w:ascii="仿宋" w:hAnsi="仿宋" w:eastAsia="仿宋" w:cs="仿宋"/>
          <w:sz w:val="30"/>
          <w:szCs w:val="30"/>
          <w:highlight w:val="none"/>
          <w:lang w:eastAsia="zh-CN"/>
        </w:rPr>
        <w:t>万元，2022年</w:t>
      </w:r>
      <w:r>
        <w:rPr>
          <w:rFonts w:hint="eastAsia" w:ascii="仿宋" w:hAnsi="仿宋" w:eastAsia="仿宋" w:cs="仿宋"/>
          <w:sz w:val="30"/>
          <w:szCs w:val="30"/>
          <w:highlight w:val="none"/>
        </w:rPr>
        <w:t>度</w:t>
      </w:r>
      <w:r>
        <w:rPr>
          <w:rFonts w:hint="eastAsia" w:ascii="仿宋" w:hAnsi="仿宋" w:eastAsia="仿宋" w:cs="仿宋"/>
          <w:sz w:val="30"/>
          <w:szCs w:val="30"/>
          <w:highlight w:val="none"/>
          <w:lang w:val="en-US" w:eastAsia="zh-CN"/>
        </w:rPr>
        <w:t>共使用专项债券资金5000.00</w:t>
      </w:r>
      <w:r>
        <w:rPr>
          <w:rFonts w:hint="eastAsia" w:ascii="仿宋" w:hAnsi="仿宋" w:eastAsia="仿宋" w:cs="仿宋"/>
          <w:sz w:val="30"/>
          <w:szCs w:val="30"/>
          <w:highlight w:val="none"/>
          <w:lang w:eastAsia="zh-CN"/>
        </w:rPr>
        <w:t>万元</w:t>
      </w:r>
      <w:r>
        <w:rPr>
          <w:rFonts w:hint="eastAsia" w:ascii="仿宋" w:hAnsi="仿宋" w:eastAsia="仿宋" w:cs="仿宋"/>
          <w:sz w:val="30"/>
          <w:szCs w:val="30"/>
          <w:highlight w:val="none"/>
        </w:rPr>
        <w:t>，实际使用</w:t>
      </w:r>
      <w:r>
        <w:rPr>
          <w:rFonts w:hint="eastAsia" w:ascii="仿宋" w:hAnsi="仿宋" w:eastAsia="仿宋" w:cs="仿宋"/>
          <w:sz w:val="30"/>
          <w:szCs w:val="30"/>
          <w:highlight w:val="none"/>
          <w:lang w:val="en-US" w:eastAsia="zh-CN"/>
        </w:rPr>
        <w:t>专项债券</w:t>
      </w:r>
      <w:r>
        <w:rPr>
          <w:rFonts w:hint="eastAsia" w:ascii="仿宋" w:hAnsi="仿宋" w:eastAsia="仿宋" w:cs="仿宋"/>
          <w:sz w:val="30"/>
          <w:szCs w:val="30"/>
          <w:highlight w:val="none"/>
        </w:rPr>
        <w:t>资金数额占专项</w:t>
      </w:r>
      <w:r>
        <w:rPr>
          <w:rFonts w:hint="eastAsia" w:ascii="仿宋" w:hAnsi="仿宋" w:eastAsia="仿宋" w:cs="仿宋"/>
          <w:sz w:val="30"/>
          <w:szCs w:val="30"/>
          <w:highlight w:val="none"/>
          <w:lang w:val="en-US" w:eastAsia="zh-CN"/>
        </w:rPr>
        <w:t>债券</w:t>
      </w:r>
      <w:r>
        <w:rPr>
          <w:rFonts w:hint="eastAsia" w:ascii="仿宋" w:hAnsi="仿宋" w:eastAsia="仿宋" w:cs="仿宋"/>
          <w:sz w:val="30"/>
          <w:szCs w:val="30"/>
          <w:highlight w:val="none"/>
        </w:rPr>
        <w:t>资金拨付额的比例为</w:t>
      </w:r>
      <w:r>
        <w:rPr>
          <w:rFonts w:hint="eastAsia" w:ascii="仿宋" w:hAnsi="仿宋" w:eastAsia="仿宋" w:cs="仿宋"/>
          <w:sz w:val="30"/>
          <w:szCs w:val="30"/>
          <w:highlight w:val="none"/>
          <w:lang w:val="en-US" w:eastAsia="zh-CN"/>
        </w:rPr>
        <w:t>100</w:t>
      </w:r>
      <w:r>
        <w:rPr>
          <w:rFonts w:hint="eastAsia" w:ascii="仿宋" w:hAnsi="仿宋" w:eastAsia="仿宋" w:cs="仿宋"/>
          <w:sz w:val="30"/>
          <w:szCs w:val="30"/>
          <w:highlight w:val="none"/>
        </w:rPr>
        <w:t>%。</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rPr>
      </w:pPr>
      <w:r>
        <w:rPr>
          <w:rFonts w:hint="eastAsia" w:ascii="仿宋" w:hAnsi="仿宋" w:eastAsia="仿宋" w:cs="仿宋"/>
          <w:sz w:val="30"/>
          <w:szCs w:val="30"/>
          <w:highlight w:val="none"/>
        </w:rPr>
        <w:t>该项指标实际得分</w:t>
      </w:r>
      <w:r>
        <w:rPr>
          <w:rFonts w:hint="eastAsia" w:ascii="仿宋" w:hAnsi="仿宋" w:eastAsia="仿宋" w:cs="仿宋"/>
          <w:sz w:val="30"/>
          <w:szCs w:val="30"/>
          <w:highlight w:val="none"/>
          <w:lang w:val="en-US" w:eastAsia="zh-CN"/>
        </w:rPr>
        <w:t>7*100</w:t>
      </w:r>
      <w:r>
        <w:rPr>
          <w:rFonts w:hint="eastAsia" w:ascii="仿宋" w:hAnsi="仿宋" w:eastAsia="仿宋" w:cs="仿宋"/>
          <w:sz w:val="30"/>
          <w:szCs w:val="30"/>
          <w:highlight w:val="none"/>
        </w:rPr>
        <w:t>%</w:t>
      </w:r>
      <w:r>
        <w:rPr>
          <w:rFonts w:hint="eastAsia" w:ascii="仿宋" w:hAnsi="仿宋" w:eastAsia="仿宋" w:cs="仿宋"/>
          <w:sz w:val="30"/>
          <w:szCs w:val="30"/>
          <w:highlight w:val="none"/>
          <w:lang w:val="en-US" w:eastAsia="zh-CN"/>
        </w:rPr>
        <w:t>=7</w:t>
      </w:r>
      <w:r>
        <w:rPr>
          <w:rFonts w:hint="eastAsia" w:ascii="仿宋" w:hAnsi="仿宋" w:eastAsia="仿宋" w:cs="仿宋"/>
          <w:sz w:val="30"/>
          <w:szCs w:val="30"/>
          <w:highlight w:val="none"/>
        </w:rPr>
        <w:t>分。</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rPr>
      </w:pPr>
      <w:r>
        <w:rPr>
          <w:rFonts w:hint="eastAsia" w:ascii="仿宋" w:hAnsi="仿宋" w:eastAsia="仿宋" w:cs="仿宋"/>
          <w:sz w:val="30"/>
          <w:szCs w:val="30"/>
          <w:highlight w:val="none"/>
        </w:rPr>
        <w:t>（2）会计核算（</w:t>
      </w:r>
      <w:r>
        <w:rPr>
          <w:rFonts w:hint="eastAsia" w:ascii="仿宋" w:hAnsi="仿宋" w:eastAsia="仿宋" w:cs="仿宋"/>
          <w:sz w:val="30"/>
          <w:szCs w:val="30"/>
          <w:highlight w:val="none"/>
          <w:lang w:val="en-US" w:eastAsia="zh-CN"/>
        </w:rPr>
        <w:t>6</w:t>
      </w:r>
      <w:r>
        <w:rPr>
          <w:rFonts w:hint="eastAsia" w:ascii="仿宋" w:hAnsi="仿宋" w:eastAsia="仿宋" w:cs="仿宋"/>
          <w:sz w:val="30"/>
          <w:szCs w:val="30"/>
          <w:highlight w:val="none"/>
        </w:rPr>
        <w:t>分）</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rPr>
      </w:pPr>
      <w:r>
        <w:rPr>
          <w:rFonts w:hint="eastAsia" w:ascii="仿宋" w:hAnsi="仿宋" w:eastAsia="仿宋" w:cs="仿宋"/>
          <w:sz w:val="30"/>
          <w:szCs w:val="30"/>
          <w:highlight w:val="none"/>
        </w:rPr>
        <w:t>该指标主要</w:t>
      </w:r>
      <w:r>
        <w:rPr>
          <w:rFonts w:hint="eastAsia" w:ascii="仿宋" w:hAnsi="仿宋" w:eastAsia="仿宋" w:cs="仿宋"/>
          <w:sz w:val="30"/>
          <w:szCs w:val="30"/>
          <w:highlight w:val="none"/>
          <w:lang w:eastAsia="zh-CN"/>
        </w:rPr>
        <w:t>评估</w:t>
      </w:r>
      <w:r>
        <w:rPr>
          <w:rFonts w:hint="eastAsia" w:ascii="仿宋" w:hAnsi="仿宋" w:eastAsia="仿宋" w:cs="仿宋"/>
          <w:sz w:val="30"/>
          <w:szCs w:val="30"/>
          <w:highlight w:val="none"/>
        </w:rPr>
        <w:t>会计核算是否严格遵守有关法规及制度规定，会计核算是否规范，专项资金支付申报、审批流程是否完善、支付依据是否合法。</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lang w:eastAsia="zh-CN"/>
        </w:rPr>
        <w:t>经检查，该项目资金按照合同要求的付款进度进行支付；</w:t>
      </w:r>
      <w:r>
        <w:rPr>
          <w:rFonts w:hint="eastAsia" w:ascii="仿宋" w:hAnsi="仿宋" w:eastAsia="仿宋" w:cs="仿宋"/>
          <w:sz w:val="30"/>
          <w:szCs w:val="30"/>
          <w:highlight w:val="none"/>
          <w:lang w:val="en-US" w:eastAsia="zh-CN"/>
        </w:rPr>
        <w:t>曲阳县住房和城乡建设局</w:t>
      </w:r>
      <w:r>
        <w:rPr>
          <w:rFonts w:hint="eastAsia" w:ascii="仿宋" w:hAnsi="仿宋" w:eastAsia="仿宋" w:cs="仿宋"/>
          <w:sz w:val="30"/>
          <w:szCs w:val="30"/>
          <w:highlight w:val="none"/>
          <w:lang w:eastAsia="zh-CN"/>
        </w:rPr>
        <w:t>会计核算严格遵守《政府会计制度》的相关规定，科目使用正确，核算规范；各项资金的支付申报、审批流程完善，支付依据充分合法。</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rPr>
      </w:pPr>
      <w:r>
        <w:rPr>
          <w:rFonts w:hint="eastAsia" w:ascii="仿宋" w:hAnsi="仿宋" w:eastAsia="仿宋" w:cs="仿宋"/>
          <w:sz w:val="30"/>
          <w:szCs w:val="30"/>
          <w:highlight w:val="none"/>
        </w:rPr>
        <w:t>该项指标实际得分</w:t>
      </w:r>
      <w:r>
        <w:rPr>
          <w:rFonts w:hint="eastAsia" w:ascii="仿宋" w:hAnsi="仿宋" w:eastAsia="仿宋" w:cs="仿宋"/>
          <w:sz w:val="30"/>
          <w:szCs w:val="30"/>
          <w:highlight w:val="none"/>
          <w:lang w:val="en-US" w:eastAsia="zh-CN"/>
        </w:rPr>
        <w:t>6</w:t>
      </w:r>
      <w:r>
        <w:rPr>
          <w:rFonts w:hint="eastAsia" w:ascii="仿宋" w:hAnsi="仿宋" w:eastAsia="仿宋" w:cs="仿宋"/>
          <w:sz w:val="30"/>
          <w:szCs w:val="30"/>
          <w:highlight w:val="none"/>
        </w:rPr>
        <w:t>分。</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rPr>
      </w:pPr>
      <w:r>
        <w:rPr>
          <w:rFonts w:hint="eastAsia" w:ascii="仿宋" w:hAnsi="仿宋" w:eastAsia="仿宋" w:cs="仿宋"/>
          <w:sz w:val="30"/>
          <w:szCs w:val="30"/>
          <w:highlight w:val="none"/>
        </w:rPr>
        <w:t>（3）资金支出合规性（</w:t>
      </w:r>
      <w:r>
        <w:rPr>
          <w:rFonts w:hint="eastAsia" w:ascii="仿宋" w:hAnsi="仿宋" w:eastAsia="仿宋" w:cs="仿宋"/>
          <w:sz w:val="30"/>
          <w:szCs w:val="30"/>
          <w:highlight w:val="none"/>
          <w:lang w:val="en-US" w:eastAsia="zh-CN"/>
        </w:rPr>
        <w:t>7</w:t>
      </w:r>
      <w:r>
        <w:rPr>
          <w:rFonts w:hint="eastAsia" w:ascii="仿宋" w:hAnsi="仿宋" w:eastAsia="仿宋" w:cs="仿宋"/>
          <w:sz w:val="30"/>
          <w:szCs w:val="30"/>
          <w:highlight w:val="none"/>
        </w:rPr>
        <w:t>分）</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rPr>
      </w:pPr>
      <w:r>
        <w:rPr>
          <w:rFonts w:hint="eastAsia" w:ascii="仿宋" w:hAnsi="仿宋" w:eastAsia="仿宋" w:cs="仿宋"/>
          <w:sz w:val="30"/>
          <w:szCs w:val="30"/>
          <w:highlight w:val="none"/>
        </w:rPr>
        <w:t>该指标主要</w:t>
      </w:r>
      <w:r>
        <w:rPr>
          <w:rFonts w:hint="eastAsia" w:ascii="仿宋" w:hAnsi="仿宋" w:eastAsia="仿宋" w:cs="仿宋"/>
          <w:sz w:val="30"/>
          <w:szCs w:val="30"/>
          <w:highlight w:val="none"/>
          <w:lang w:eastAsia="zh-CN"/>
        </w:rPr>
        <w:t>评估</w:t>
      </w:r>
      <w:r>
        <w:rPr>
          <w:rFonts w:hint="eastAsia" w:ascii="仿宋" w:hAnsi="仿宋" w:eastAsia="仿宋" w:cs="仿宋"/>
          <w:sz w:val="30"/>
          <w:szCs w:val="30"/>
          <w:highlight w:val="none"/>
        </w:rPr>
        <w:t>专项资金是否严格按照资金管理办法的用途支出，是否有截留、挤占、挪用等违规行为。</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rPr>
      </w:pPr>
      <w:r>
        <w:rPr>
          <w:rFonts w:hint="eastAsia" w:ascii="仿宋" w:hAnsi="仿宋" w:eastAsia="仿宋" w:cs="仿宋"/>
          <w:sz w:val="30"/>
          <w:szCs w:val="30"/>
          <w:highlight w:val="none"/>
        </w:rPr>
        <w:t>经检查，该项目</w:t>
      </w:r>
      <w:r>
        <w:rPr>
          <w:rFonts w:hint="eastAsia" w:ascii="仿宋" w:hAnsi="仿宋" w:eastAsia="仿宋" w:cs="仿宋"/>
          <w:sz w:val="30"/>
          <w:szCs w:val="30"/>
          <w:highlight w:val="none"/>
          <w:lang w:val="en-US" w:eastAsia="zh-CN"/>
        </w:rPr>
        <w:t>专项债券</w:t>
      </w:r>
      <w:r>
        <w:rPr>
          <w:rFonts w:hint="eastAsia" w:ascii="仿宋" w:hAnsi="仿宋" w:eastAsia="仿宋" w:cs="仿宋"/>
          <w:sz w:val="30"/>
          <w:szCs w:val="30"/>
          <w:highlight w:val="none"/>
        </w:rPr>
        <w:t>资金</w:t>
      </w:r>
      <w:r>
        <w:rPr>
          <w:rFonts w:hint="eastAsia" w:ascii="仿宋" w:hAnsi="仿宋" w:eastAsia="仿宋" w:cs="仿宋"/>
          <w:sz w:val="30"/>
          <w:szCs w:val="30"/>
          <w:highlight w:val="none"/>
          <w:lang w:val="en-US" w:eastAsia="zh-CN"/>
        </w:rPr>
        <w:t>均用于项目工程款支付，</w:t>
      </w:r>
      <w:r>
        <w:rPr>
          <w:rFonts w:hint="eastAsia" w:ascii="仿宋" w:hAnsi="仿宋" w:eastAsia="仿宋" w:cs="仿宋"/>
          <w:sz w:val="30"/>
          <w:szCs w:val="30"/>
          <w:highlight w:val="none"/>
        </w:rPr>
        <w:t>专款专用，</w:t>
      </w:r>
      <w:r>
        <w:rPr>
          <w:rFonts w:hint="eastAsia" w:ascii="仿宋" w:hAnsi="仿宋" w:eastAsia="仿宋" w:cs="仿宋"/>
          <w:sz w:val="30"/>
          <w:szCs w:val="30"/>
          <w:highlight w:val="none"/>
          <w:lang w:val="en-US" w:eastAsia="zh-CN"/>
        </w:rPr>
        <w:t>资金通过国库集中支付，</w:t>
      </w:r>
      <w:r>
        <w:rPr>
          <w:rFonts w:hint="eastAsia" w:ascii="仿宋" w:hAnsi="仿宋" w:eastAsia="仿宋" w:cs="仿宋"/>
          <w:sz w:val="30"/>
          <w:szCs w:val="30"/>
          <w:highlight w:val="none"/>
        </w:rPr>
        <w:t>不存在截留、挤占、挪用等违规行为。</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rPr>
      </w:pPr>
      <w:r>
        <w:rPr>
          <w:rFonts w:hint="eastAsia" w:ascii="仿宋" w:hAnsi="仿宋" w:eastAsia="仿宋" w:cs="仿宋"/>
          <w:sz w:val="30"/>
          <w:szCs w:val="30"/>
          <w:highlight w:val="none"/>
        </w:rPr>
        <w:t>该指标实际得分</w:t>
      </w:r>
      <w:r>
        <w:rPr>
          <w:rFonts w:hint="eastAsia" w:ascii="仿宋" w:hAnsi="仿宋" w:eastAsia="仿宋" w:cs="仿宋"/>
          <w:sz w:val="30"/>
          <w:szCs w:val="30"/>
          <w:highlight w:val="none"/>
          <w:lang w:val="en-US" w:eastAsia="zh-CN"/>
        </w:rPr>
        <w:t>7</w:t>
      </w:r>
      <w:r>
        <w:rPr>
          <w:rFonts w:hint="eastAsia" w:ascii="仿宋" w:hAnsi="仿宋" w:eastAsia="仿宋" w:cs="仿宋"/>
          <w:sz w:val="30"/>
          <w:szCs w:val="30"/>
          <w:highlight w:val="none"/>
        </w:rPr>
        <w:t>分。</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rPr>
      </w:pPr>
      <w:r>
        <w:rPr>
          <w:rFonts w:hint="eastAsia" w:ascii="仿宋" w:hAnsi="仿宋" w:eastAsia="仿宋" w:cs="仿宋"/>
          <w:sz w:val="30"/>
          <w:szCs w:val="30"/>
          <w:highlight w:val="none"/>
        </w:rPr>
        <w:t>2.项目业务管理（</w:t>
      </w:r>
      <w:r>
        <w:rPr>
          <w:rFonts w:hint="eastAsia" w:ascii="仿宋" w:hAnsi="仿宋" w:eastAsia="仿宋" w:cs="仿宋"/>
          <w:sz w:val="30"/>
          <w:szCs w:val="30"/>
          <w:highlight w:val="none"/>
          <w:lang w:val="en-US" w:eastAsia="zh-CN"/>
        </w:rPr>
        <w:t>20</w:t>
      </w:r>
      <w:r>
        <w:rPr>
          <w:rFonts w:hint="eastAsia" w:ascii="仿宋" w:hAnsi="仿宋" w:eastAsia="仿宋" w:cs="仿宋"/>
          <w:sz w:val="30"/>
          <w:szCs w:val="30"/>
          <w:highlight w:val="none"/>
        </w:rPr>
        <w:t>分）</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rPr>
      </w:pPr>
      <w:bookmarkStart w:id="57" w:name="_Toc6507"/>
      <w:bookmarkStart w:id="58" w:name="_Toc21112"/>
      <w:bookmarkStart w:id="59" w:name="_Toc83630335"/>
      <w:bookmarkStart w:id="60" w:name="_Toc83631045"/>
      <w:bookmarkStart w:id="61" w:name="_Toc30993"/>
      <w:r>
        <w:rPr>
          <w:rFonts w:hint="eastAsia" w:ascii="仿宋" w:hAnsi="仿宋" w:eastAsia="仿宋" w:cs="仿宋"/>
          <w:sz w:val="30"/>
          <w:szCs w:val="30"/>
          <w:highlight w:val="none"/>
        </w:rPr>
        <w:t>（1）</w:t>
      </w:r>
      <w:r>
        <w:rPr>
          <w:rFonts w:hint="eastAsia" w:ascii="仿宋" w:hAnsi="仿宋" w:eastAsia="仿宋" w:cs="仿宋"/>
          <w:sz w:val="30"/>
          <w:szCs w:val="30"/>
          <w:highlight w:val="none"/>
          <w:lang w:val="en-US" w:eastAsia="zh-CN"/>
        </w:rPr>
        <w:t>管理制度是否健全</w:t>
      </w:r>
      <w:r>
        <w:rPr>
          <w:rFonts w:hint="eastAsia" w:ascii="仿宋" w:hAnsi="仿宋" w:eastAsia="仿宋" w:cs="仿宋"/>
          <w:sz w:val="30"/>
          <w:szCs w:val="30"/>
          <w:highlight w:val="none"/>
        </w:rPr>
        <w:t>（</w:t>
      </w:r>
      <w:r>
        <w:rPr>
          <w:rFonts w:hint="eastAsia" w:ascii="仿宋" w:hAnsi="仿宋" w:eastAsia="仿宋" w:cs="仿宋"/>
          <w:sz w:val="30"/>
          <w:szCs w:val="30"/>
          <w:highlight w:val="none"/>
          <w:lang w:val="en-US" w:eastAsia="zh-CN"/>
        </w:rPr>
        <w:t>7</w:t>
      </w:r>
      <w:r>
        <w:rPr>
          <w:rFonts w:hint="eastAsia" w:ascii="仿宋" w:hAnsi="仿宋" w:eastAsia="仿宋" w:cs="仿宋"/>
          <w:sz w:val="30"/>
          <w:szCs w:val="30"/>
          <w:highlight w:val="none"/>
        </w:rPr>
        <w:t>分）</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rPr>
        <w:t>该指标主要</w:t>
      </w:r>
      <w:r>
        <w:rPr>
          <w:rFonts w:hint="eastAsia" w:ascii="仿宋" w:hAnsi="仿宋" w:eastAsia="仿宋" w:cs="仿宋"/>
          <w:sz w:val="30"/>
          <w:szCs w:val="30"/>
          <w:highlight w:val="none"/>
          <w:lang w:eastAsia="zh-CN"/>
        </w:rPr>
        <w:t>评估</w:t>
      </w:r>
      <w:r>
        <w:rPr>
          <w:rFonts w:hint="eastAsia" w:ascii="仿宋" w:hAnsi="仿宋" w:eastAsia="仿宋" w:cs="仿宋"/>
          <w:sz w:val="30"/>
          <w:szCs w:val="30"/>
          <w:highlight w:val="none"/>
        </w:rPr>
        <w:t>项目制定的管理制度和措施是否全面、明确、合理</w:t>
      </w:r>
      <w:r>
        <w:rPr>
          <w:rFonts w:hint="eastAsia" w:ascii="仿宋" w:hAnsi="仿宋" w:eastAsia="仿宋" w:cs="仿宋"/>
          <w:sz w:val="30"/>
          <w:szCs w:val="30"/>
          <w:highlight w:val="none"/>
          <w:lang w:eastAsia="zh-CN"/>
        </w:rPr>
        <w:t>，</w:t>
      </w:r>
      <w:r>
        <w:rPr>
          <w:rFonts w:hint="eastAsia" w:ascii="仿宋" w:hAnsi="仿宋" w:eastAsia="仿宋" w:cs="仿宋"/>
          <w:sz w:val="30"/>
          <w:szCs w:val="30"/>
          <w:highlight w:val="none"/>
        </w:rPr>
        <w:t>能否保障项目顺利实施</w:t>
      </w:r>
      <w:r>
        <w:rPr>
          <w:rFonts w:hint="eastAsia" w:ascii="仿宋" w:hAnsi="仿宋" w:eastAsia="仿宋" w:cs="仿宋"/>
          <w:sz w:val="30"/>
          <w:szCs w:val="30"/>
          <w:highlight w:val="none"/>
          <w:lang w:eastAsia="zh-CN"/>
        </w:rPr>
        <w:t>。</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rPr>
        <w:t>经检查，</w:t>
      </w:r>
      <w:r>
        <w:rPr>
          <w:rFonts w:hint="eastAsia" w:ascii="仿宋" w:hAnsi="仿宋" w:eastAsia="仿宋" w:cs="仿宋"/>
          <w:sz w:val="30"/>
          <w:szCs w:val="30"/>
          <w:highlight w:val="none"/>
          <w:lang w:val="en-US" w:eastAsia="zh-CN"/>
        </w:rPr>
        <w:t>《曲阳县老旧小区改造项目可行性研究报告》第八章 项目管理中明确了项目过程管理要求，有效保障了项目的顺利实施；项目《实施方案》中明确了项目资金管理方案及保障措施，保障了</w:t>
      </w:r>
      <w:r>
        <w:rPr>
          <w:rFonts w:hint="eastAsia" w:ascii="仿宋" w:hAnsi="仿宋" w:eastAsia="仿宋" w:cs="仿宋"/>
          <w:sz w:val="30"/>
          <w:szCs w:val="30"/>
          <w:highlight w:val="none"/>
        </w:rPr>
        <w:t>债券资金</w:t>
      </w:r>
      <w:r>
        <w:rPr>
          <w:rFonts w:hint="eastAsia" w:ascii="仿宋" w:hAnsi="仿宋" w:eastAsia="仿宋" w:cs="仿宋"/>
          <w:sz w:val="30"/>
          <w:szCs w:val="30"/>
          <w:highlight w:val="none"/>
          <w:lang w:eastAsia="zh-CN"/>
        </w:rPr>
        <w:t>的</w:t>
      </w:r>
      <w:r>
        <w:rPr>
          <w:rFonts w:hint="eastAsia" w:ascii="仿宋" w:hAnsi="仿宋" w:eastAsia="仿宋" w:cs="仿宋"/>
          <w:sz w:val="30"/>
          <w:szCs w:val="30"/>
          <w:highlight w:val="none"/>
        </w:rPr>
        <w:t>合规使用，提高</w:t>
      </w:r>
      <w:r>
        <w:rPr>
          <w:rFonts w:hint="eastAsia" w:ascii="仿宋" w:hAnsi="仿宋" w:eastAsia="仿宋" w:cs="仿宋"/>
          <w:sz w:val="30"/>
          <w:szCs w:val="30"/>
          <w:highlight w:val="none"/>
          <w:lang w:eastAsia="zh-CN"/>
        </w:rPr>
        <w:t>了</w:t>
      </w:r>
      <w:r>
        <w:rPr>
          <w:rFonts w:hint="eastAsia" w:ascii="仿宋" w:hAnsi="仿宋" w:eastAsia="仿宋" w:cs="仿宋"/>
          <w:sz w:val="30"/>
          <w:szCs w:val="30"/>
          <w:highlight w:val="none"/>
        </w:rPr>
        <w:t>债券资金</w:t>
      </w:r>
      <w:r>
        <w:rPr>
          <w:rFonts w:hint="eastAsia" w:ascii="仿宋" w:hAnsi="仿宋" w:eastAsia="仿宋" w:cs="仿宋"/>
          <w:sz w:val="30"/>
          <w:szCs w:val="30"/>
          <w:highlight w:val="none"/>
          <w:lang w:eastAsia="zh-CN"/>
        </w:rPr>
        <w:t>的</w:t>
      </w:r>
      <w:r>
        <w:rPr>
          <w:rFonts w:hint="eastAsia" w:ascii="仿宋" w:hAnsi="仿宋" w:eastAsia="仿宋" w:cs="仿宋"/>
          <w:sz w:val="30"/>
          <w:szCs w:val="30"/>
          <w:highlight w:val="none"/>
        </w:rPr>
        <w:t>使用效率</w:t>
      </w:r>
      <w:r>
        <w:rPr>
          <w:rFonts w:hint="eastAsia" w:ascii="仿宋" w:hAnsi="仿宋" w:eastAsia="仿宋" w:cs="仿宋"/>
          <w:sz w:val="30"/>
          <w:szCs w:val="30"/>
          <w:highlight w:val="none"/>
          <w:lang w:val="en-US" w:eastAsia="zh-CN"/>
        </w:rPr>
        <w:t>。</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rPr>
      </w:pPr>
      <w:r>
        <w:rPr>
          <w:rFonts w:hint="eastAsia" w:ascii="仿宋" w:hAnsi="仿宋" w:eastAsia="仿宋" w:cs="仿宋"/>
          <w:sz w:val="30"/>
          <w:szCs w:val="30"/>
          <w:highlight w:val="none"/>
        </w:rPr>
        <w:t>该指标实际得分</w:t>
      </w:r>
      <w:r>
        <w:rPr>
          <w:rFonts w:hint="eastAsia" w:ascii="仿宋" w:hAnsi="仿宋" w:eastAsia="仿宋" w:cs="仿宋"/>
          <w:sz w:val="30"/>
          <w:szCs w:val="30"/>
          <w:highlight w:val="none"/>
          <w:lang w:val="en-US" w:eastAsia="zh-CN"/>
        </w:rPr>
        <w:t>7</w:t>
      </w:r>
      <w:r>
        <w:rPr>
          <w:rFonts w:hint="eastAsia" w:ascii="仿宋" w:hAnsi="仿宋" w:eastAsia="仿宋" w:cs="仿宋"/>
          <w:sz w:val="30"/>
          <w:szCs w:val="30"/>
          <w:highlight w:val="none"/>
        </w:rPr>
        <w:t>分。</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rPr>
      </w:pPr>
      <w:r>
        <w:rPr>
          <w:rFonts w:hint="eastAsia" w:ascii="仿宋" w:hAnsi="仿宋" w:eastAsia="仿宋" w:cs="仿宋"/>
          <w:sz w:val="30"/>
          <w:szCs w:val="30"/>
          <w:highlight w:val="none"/>
        </w:rPr>
        <w:t>（2）</w:t>
      </w:r>
      <w:r>
        <w:rPr>
          <w:rFonts w:hint="eastAsia" w:ascii="仿宋" w:hAnsi="仿宋" w:eastAsia="仿宋" w:cs="仿宋"/>
          <w:sz w:val="30"/>
          <w:szCs w:val="30"/>
          <w:highlight w:val="none"/>
          <w:lang w:val="en-US" w:eastAsia="zh-CN"/>
        </w:rPr>
        <w:t>制度执行有效性</w:t>
      </w:r>
      <w:r>
        <w:rPr>
          <w:rFonts w:hint="eastAsia" w:ascii="仿宋" w:hAnsi="仿宋" w:eastAsia="仿宋" w:cs="仿宋"/>
          <w:sz w:val="30"/>
          <w:szCs w:val="30"/>
          <w:highlight w:val="none"/>
        </w:rPr>
        <w:t>（</w:t>
      </w:r>
      <w:r>
        <w:rPr>
          <w:rFonts w:hint="eastAsia" w:ascii="仿宋" w:hAnsi="仿宋" w:eastAsia="仿宋" w:cs="仿宋"/>
          <w:sz w:val="30"/>
          <w:szCs w:val="30"/>
          <w:highlight w:val="none"/>
          <w:lang w:val="en-US" w:eastAsia="zh-CN"/>
        </w:rPr>
        <w:t>6</w:t>
      </w:r>
      <w:r>
        <w:rPr>
          <w:rFonts w:hint="eastAsia" w:ascii="仿宋" w:hAnsi="仿宋" w:eastAsia="仿宋" w:cs="仿宋"/>
          <w:sz w:val="30"/>
          <w:szCs w:val="30"/>
          <w:highlight w:val="none"/>
        </w:rPr>
        <w:t>分）</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rPr>
        <w:t>该指标主要</w:t>
      </w:r>
      <w:r>
        <w:rPr>
          <w:rFonts w:hint="eastAsia" w:ascii="仿宋" w:hAnsi="仿宋" w:eastAsia="仿宋" w:cs="仿宋"/>
          <w:sz w:val="30"/>
          <w:szCs w:val="30"/>
          <w:highlight w:val="none"/>
          <w:lang w:eastAsia="zh-CN"/>
        </w:rPr>
        <w:t>评估</w:t>
      </w:r>
      <w:r>
        <w:rPr>
          <w:rFonts w:hint="eastAsia" w:ascii="仿宋" w:hAnsi="仿宋" w:eastAsia="仿宋" w:cs="仿宋"/>
          <w:sz w:val="30"/>
          <w:szCs w:val="30"/>
          <w:highlight w:val="none"/>
        </w:rPr>
        <w:t>项目实施是否符合相关法律法规、业务管理制度的规定</w:t>
      </w:r>
      <w:r>
        <w:rPr>
          <w:rFonts w:hint="eastAsia" w:ascii="仿宋" w:hAnsi="仿宋" w:eastAsia="仿宋" w:cs="仿宋"/>
          <w:sz w:val="30"/>
          <w:szCs w:val="30"/>
          <w:highlight w:val="none"/>
          <w:lang w:eastAsia="zh-CN"/>
        </w:rPr>
        <w:t>。</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rPr>
        <w:t>经</w:t>
      </w:r>
      <w:r>
        <w:rPr>
          <w:rFonts w:hint="eastAsia" w:ascii="仿宋" w:hAnsi="仿宋" w:eastAsia="仿宋" w:cs="仿宋"/>
          <w:sz w:val="30"/>
          <w:szCs w:val="30"/>
          <w:highlight w:val="none"/>
          <w:lang w:val="en-US" w:eastAsia="zh-CN"/>
        </w:rPr>
        <w:t>评估</w:t>
      </w:r>
      <w:r>
        <w:rPr>
          <w:rFonts w:hint="eastAsia" w:ascii="仿宋" w:hAnsi="仿宋" w:eastAsia="仿宋" w:cs="仿宋"/>
          <w:sz w:val="30"/>
          <w:szCs w:val="30"/>
          <w:highlight w:val="none"/>
        </w:rPr>
        <w:t>，</w:t>
      </w:r>
      <w:r>
        <w:rPr>
          <w:rFonts w:hint="eastAsia" w:ascii="仿宋" w:hAnsi="仿宋" w:eastAsia="仿宋" w:cs="仿宋"/>
          <w:sz w:val="30"/>
          <w:szCs w:val="30"/>
          <w:highlight w:val="none"/>
          <w:lang w:val="en-US" w:eastAsia="zh-CN"/>
        </w:rPr>
        <w:t>项目实施</w:t>
      </w:r>
      <w:r>
        <w:rPr>
          <w:rFonts w:hint="eastAsia" w:ascii="仿宋" w:hAnsi="仿宋" w:eastAsia="仿宋" w:cs="仿宋"/>
          <w:sz w:val="30"/>
          <w:szCs w:val="30"/>
          <w:highlight w:val="none"/>
        </w:rPr>
        <w:t>符合相关法律法规、业务管理制度的规定</w:t>
      </w:r>
      <w:r>
        <w:rPr>
          <w:rFonts w:hint="eastAsia" w:ascii="仿宋" w:hAnsi="仿宋" w:eastAsia="仿宋" w:cs="仿宋"/>
          <w:sz w:val="30"/>
          <w:szCs w:val="30"/>
          <w:highlight w:val="none"/>
          <w:lang w:eastAsia="zh-CN"/>
        </w:rPr>
        <w:t>。</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rPr>
      </w:pPr>
      <w:r>
        <w:rPr>
          <w:rFonts w:hint="eastAsia" w:ascii="仿宋" w:hAnsi="仿宋" w:eastAsia="仿宋" w:cs="仿宋"/>
          <w:sz w:val="30"/>
          <w:szCs w:val="30"/>
          <w:highlight w:val="none"/>
        </w:rPr>
        <w:t>该指标得分</w:t>
      </w:r>
      <w:r>
        <w:rPr>
          <w:rFonts w:hint="eastAsia" w:ascii="仿宋" w:hAnsi="仿宋" w:eastAsia="仿宋" w:cs="仿宋"/>
          <w:sz w:val="30"/>
          <w:szCs w:val="30"/>
          <w:highlight w:val="none"/>
          <w:lang w:val="en-US" w:eastAsia="zh-CN"/>
        </w:rPr>
        <w:t>5</w:t>
      </w:r>
      <w:r>
        <w:rPr>
          <w:rFonts w:hint="eastAsia" w:ascii="仿宋" w:hAnsi="仿宋" w:eastAsia="仿宋" w:cs="仿宋"/>
          <w:sz w:val="30"/>
          <w:szCs w:val="30"/>
          <w:highlight w:val="none"/>
        </w:rPr>
        <w:t>分。</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rPr>
      </w:pPr>
      <w:r>
        <w:rPr>
          <w:rFonts w:hint="eastAsia" w:ascii="仿宋" w:hAnsi="仿宋" w:eastAsia="仿宋" w:cs="仿宋"/>
          <w:sz w:val="30"/>
          <w:szCs w:val="30"/>
          <w:highlight w:val="none"/>
          <w:lang w:eastAsia="zh-CN"/>
        </w:rPr>
        <w:t>（</w:t>
      </w:r>
      <w:r>
        <w:rPr>
          <w:rFonts w:hint="eastAsia" w:ascii="仿宋" w:hAnsi="仿宋" w:eastAsia="仿宋" w:cs="仿宋"/>
          <w:sz w:val="30"/>
          <w:szCs w:val="30"/>
          <w:highlight w:val="none"/>
          <w:lang w:val="en-US" w:eastAsia="zh-CN"/>
        </w:rPr>
        <w:t>3</w:t>
      </w:r>
      <w:r>
        <w:rPr>
          <w:rFonts w:hint="eastAsia" w:ascii="仿宋" w:hAnsi="仿宋" w:eastAsia="仿宋" w:cs="仿宋"/>
          <w:sz w:val="30"/>
          <w:szCs w:val="30"/>
          <w:highlight w:val="none"/>
          <w:lang w:eastAsia="zh-CN"/>
        </w:rPr>
        <w:t>）</w:t>
      </w:r>
      <w:r>
        <w:rPr>
          <w:rFonts w:hint="eastAsia" w:ascii="仿宋" w:hAnsi="仿宋" w:eastAsia="仿宋" w:cs="仿宋"/>
          <w:sz w:val="30"/>
          <w:szCs w:val="30"/>
          <w:highlight w:val="none"/>
        </w:rPr>
        <w:t>项目档案资料完整性（</w:t>
      </w:r>
      <w:r>
        <w:rPr>
          <w:rFonts w:hint="eastAsia" w:ascii="仿宋" w:hAnsi="仿宋" w:eastAsia="仿宋" w:cs="仿宋"/>
          <w:sz w:val="30"/>
          <w:szCs w:val="30"/>
          <w:highlight w:val="none"/>
          <w:lang w:val="en-US" w:eastAsia="zh-CN"/>
        </w:rPr>
        <w:t>7</w:t>
      </w:r>
      <w:r>
        <w:rPr>
          <w:rFonts w:hint="eastAsia" w:ascii="仿宋" w:hAnsi="仿宋" w:eastAsia="仿宋" w:cs="仿宋"/>
          <w:sz w:val="30"/>
          <w:szCs w:val="30"/>
          <w:highlight w:val="none"/>
        </w:rPr>
        <w:t>分）</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rPr>
      </w:pPr>
      <w:r>
        <w:rPr>
          <w:rFonts w:hint="eastAsia" w:ascii="仿宋" w:hAnsi="仿宋" w:eastAsia="仿宋" w:cs="仿宋"/>
          <w:sz w:val="30"/>
          <w:szCs w:val="30"/>
          <w:highlight w:val="none"/>
        </w:rPr>
        <w:t>该指标主要</w:t>
      </w:r>
      <w:r>
        <w:rPr>
          <w:rFonts w:hint="eastAsia" w:ascii="仿宋" w:hAnsi="仿宋" w:eastAsia="仿宋" w:cs="仿宋"/>
          <w:sz w:val="30"/>
          <w:szCs w:val="30"/>
          <w:highlight w:val="none"/>
          <w:lang w:eastAsia="zh-CN"/>
        </w:rPr>
        <w:t>评估</w:t>
      </w:r>
      <w:r>
        <w:rPr>
          <w:rFonts w:hint="eastAsia" w:ascii="仿宋" w:hAnsi="仿宋" w:eastAsia="仿宋" w:cs="仿宋"/>
          <w:sz w:val="30"/>
          <w:szCs w:val="30"/>
          <w:highlight w:val="none"/>
        </w:rPr>
        <w:t>项目档案资料是否齐全，保存是否完整。</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rPr>
      </w:pPr>
      <w:r>
        <w:rPr>
          <w:rFonts w:hint="eastAsia" w:ascii="仿宋" w:hAnsi="仿宋" w:eastAsia="仿宋" w:cs="仿宋"/>
          <w:sz w:val="30"/>
          <w:szCs w:val="30"/>
          <w:highlight w:val="none"/>
          <w:lang w:val="en-US" w:eastAsia="zh-CN"/>
        </w:rPr>
        <w:t>经评估，项目于2023年2月20日签订施工合同补充协议，对合同工期进行补充，将合同竣工日期从2023年2月25日延期至2023年6月30日，但未提供工程延期原因相关说明材料，</w:t>
      </w:r>
      <w:r>
        <w:rPr>
          <w:rFonts w:hint="eastAsia" w:ascii="仿宋" w:hAnsi="仿宋" w:eastAsia="仿宋" w:cs="仿宋"/>
          <w:sz w:val="30"/>
          <w:szCs w:val="30"/>
          <w:highlight w:val="none"/>
        </w:rPr>
        <w:t>项目档案资料</w:t>
      </w:r>
      <w:r>
        <w:rPr>
          <w:rFonts w:hint="eastAsia" w:ascii="仿宋" w:hAnsi="仿宋" w:eastAsia="仿宋" w:cs="仿宋"/>
          <w:sz w:val="30"/>
          <w:szCs w:val="30"/>
          <w:highlight w:val="none"/>
          <w:lang w:eastAsia="zh-CN"/>
        </w:rPr>
        <w:t>完整程度有待加强，扣</w:t>
      </w:r>
      <w:r>
        <w:rPr>
          <w:rFonts w:hint="eastAsia" w:ascii="仿宋" w:hAnsi="仿宋" w:eastAsia="仿宋" w:cs="仿宋"/>
          <w:sz w:val="30"/>
          <w:szCs w:val="30"/>
          <w:highlight w:val="none"/>
          <w:lang w:val="en-US" w:eastAsia="zh-CN"/>
        </w:rPr>
        <w:t>2分。</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rPr>
      </w:pPr>
      <w:r>
        <w:rPr>
          <w:rFonts w:hint="eastAsia" w:ascii="仿宋" w:hAnsi="仿宋" w:eastAsia="仿宋" w:cs="仿宋"/>
          <w:sz w:val="30"/>
          <w:szCs w:val="30"/>
          <w:highlight w:val="none"/>
        </w:rPr>
        <w:t>该指标实际得分</w:t>
      </w:r>
      <w:r>
        <w:rPr>
          <w:rFonts w:hint="eastAsia" w:ascii="仿宋" w:hAnsi="仿宋" w:eastAsia="仿宋" w:cs="仿宋"/>
          <w:sz w:val="30"/>
          <w:szCs w:val="30"/>
          <w:highlight w:val="none"/>
          <w:lang w:val="en-US" w:eastAsia="zh-CN"/>
        </w:rPr>
        <w:t>5</w:t>
      </w:r>
      <w:r>
        <w:rPr>
          <w:rFonts w:hint="eastAsia" w:ascii="仿宋" w:hAnsi="仿宋" w:eastAsia="仿宋" w:cs="仿宋"/>
          <w:sz w:val="30"/>
          <w:szCs w:val="30"/>
          <w:highlight w:val="none"/>
        </w:rPr>
        <w:t>分。</w:t>
      </w:r>
    </w:p>
    <w:p>
      <w:pPr>
        <w:pStyle w:val="4"/>
        <w:pageBreakBefore w:val="0"/>
        <w:kinsoku/>
        <w:wordWrap/>
        <w:overflowPunct/>
        <w:topLinePunct w:val="0"/>
        <w:autoSpaceDE/>
        <w:autoSpaceDN/>
        <w:bidi w:val="0"/>
        <w:adjustRightInd/>
        <w:snapToGrid/>
        <w:spacing w:before="0" w:after="0" w:line="560" w:lineRule="exact"/>
        <w:ind w:firstLine="600" w:firstLineChars="200"/>
        <w:rPr>
          <w:rFonts w:hint="eastAsia" w:ascii="仿宋" w:hAnsi="仿宋" w:eastAsia="仿宋" w:cs="仿宋"/>
          <w:sz w:val="30"/>
          <w:szCs w:val="30"/>
          <w:highlight w:val="none"/>
        </w:rPr>
      </w:pPr>
      <w:r>
        <w:rPr>
          <w:rFonts w:hint="eastAsia" w:ascii="仿宋" w:hAnsi="仿宋" w:eastAsia="仿宋" w:cs="仿宋"/>
          <w:b w:val="0"/>
          <w:bCs w:val="0"/>
          <w:sz w:val="30"/>
          <w:szCs w:val="30"/>
          <w:highlight w:val="none"/>
        </w:rPr>
        <w:t>（三）项目产出（</w:t>
      </w:r>
      <w:r>
        <w:rPr>
          <w:rFonts w:hint="eastAsia" w:ascii="仿宋" w:hAnsi="仿宋" w:eastAsia="仿宋" w:cs="仿宋"/>
          <w:b w:val="0"/>
          <w:bCs w:val="0"/>
          <w:sz w:val="30"/>
          <w:szCs w:val="30"/>
          <w:highlight w:val="none"/>
          <w:lang w:val="en-US" w:eastAsia="zh-CN"/>
        </w:rPr>
        <w:t>20</w:t>
      </w:r>
      <w:r>
        <w:rPr>
          <w:rFonts w:hint="eastAsia" w:ascii="仿宋" w:hAnsi="仿宋" w:eastAsia="仿宋" w:cs="仿宋"/>
          <w:b w:val="0"/>
          <w:bCs w:val="0"/>
          <w:sz w:val="30"/>
          <w:szCs w:val="30"/>
          <w:highlight w:val="none"/>
        </w:rPr>
        <w:t>分）</w:t>
      </w:r>
      <w:bookmarkEnd w:id="57"/>
      <w:bookmarkEnd w:id="58"/>
      <w:bookmarkEnd w:id="59"/>
      <w:bookmarkEnd w:id="60"/>
      <w:bookmarkEnd w:id="61"/>
    </w:p>
    <w:p>
      <w:pPr>
        <w:spacing w:line="360" w:lineRule="auto"/>
        <w:ind w:firstLine="600" w:firstLineChars="200"/>
        <w:jc w:val="left"/>
        <w:rPr>
          <w:rFonts w:hint="eastAsia" w:ascii="仿宋" w:hAnsi="仿宋" w:eastAsia="仿宋" w:cs="仿宋"/>
          <w:sz w:val="30"/>
          <w:szCs w:val="30"/>
          <w:highlight w:val="none"/>
        </w:rPr>
      </w:pPr>
      <w:r>
        <w:rPr>
          <w:rFonts w:hint="eastAsia" w:ascii="仿宋" w:hAnsi="仿宋" w:eastAsia="仿宋" w:cs="仿宋"/>
          <w:sz w:val="30"/>
          <w:szCs w:val="30"/>
          <w:highlight w:val="none"/>
        </w:rPr>
        <w:t>该一级指标包含1个二级指标</w:t>
      </w:r>
      <w:r>
        <w:rPr>
          <w:rFonts w:hint="eastAsia" w:ascii="仿宋" w:hAnsi="仿宋" w:eastAsia="仿宋" w:cs="仿宋"/>
          <w:sz w:val="30"/>
          <w:szCs w:val="30"/>
          <w:highlight w:val="none"/>
          <w:lang w:val="en-US" w:eastAsia="zh-CN"/>
        </w:rPr>
        <w:t>3</w:t>
      </w:r>
      <w:r>
        <w:rPr>
          <w:rFonts w:hint="eastAsia" w:ascii="仿宋" w:hAnsi="仿宋" w:eastAsia="仿宋" w:cs="仿宋"/>
          <w:sz w:val="30"/>
          <w:szCs w:val="30"/>
          <w:highlight w:val="none"/>
        </w:rPr>
        <w:t>个三级指标，主要</w:t>
      </w:r>
      <w:r>
        <w:rPr>
          <w:rFonts w:hint="eastAsia" w:ascii="仿宋" w:hAnsi="仿宋" w:eastAsia="仿宋" w:cs="仿宋"/>
          <w:sz w:val="30"/>
          <w:szCs w:val="30"/>
          <w:highlight w:val="none"/>
          <w:lang w:val="en-US" w:eastAsia="zh-CN"/>
        </w:rPr>
        <w:t>从实际完成率、完成及时率、质量达标率</w:t>
      </w:r>
      <w:r>
        <w:rPr>
          <w:rFonts w:hint="eastAsia" w:ascii="仿宋" w:hAnsi="仿宋" w:eastAsia="仿宋" w:cs="仿宋"/>
          <w:sz w:val="30"/>
          <w:szCs w:val="30"/>
          <w:highlight w:val="none"/>
        </w:rPr>
        <w:t>是否达到预期</w:t>
      </w:r>
      <w:r>
        <w:rPr>
          <w:rFonts w:hint="eastAsia" w:ascii="仿宋" w:hAnsi="仿宋" w:eastAsia="仿宋" w:cs="仿宋"/>
          <w:sz w:val="30"/>
          <w:szCs w:val="30"/>
          <w:highlight w:val="none"/>
          <w:lang w:val="en-US" w:eastAsia="zh-CN"/>
        </w:rPr>
        <w:t>目标</w:t>
      </w:r>
      <w:r>
        <w:rPr>
          <w:rFonts w:hint="eastAsia" w:ascii="仿宋" w:hAnsi="仿宋" w:eastAsia="仿宋" w:cs="仿宋"/>
          <w:sz w:val="30"/>
          <w:szCs w:val="30"/>
          <w:highlight w:val="none"/>
        </w:rPr>
        <w:t>。</w:t>
      </w:r>
    </w:p>
    <w:tbl>
      <w:tblPr>
        <w:tblStyle w:val="18"/>
        <w:tblW w:w="4993" w:type="pct"/>
        <w:jc w:val="center"/>
        <w:tblLayout w:type="autofit"/>
        <w:tblCellMar>
          <w:top w:w="15" w:type="dxa"/>
          <w:left w:w="15" w:type="dxa"/>
          <w:bottom w:w="15" w:type="dxa"/>
          <w:right w:w="15" w:type="dxa"/>
        </w:tblCellMar>
      </w:tblPr>
      <w:tblGrid>
        <w:gridCol w:w="1667"/>
        <w:gridCol w:w="1448"/>
        <w:gridCol w:w="3992"/>
        <w:gridCol w:w="1462"/>
        <w:gridCol w:w="1085"/>
      </w:tblGrid>
      <w:tr>
        <w:tblPrEx>
          <w:tblCellMar>
            <w:top w:w="15" w:type="dxa"/>
            <w:left w:w="15" w:type="dxa"/>
            <w:bottom w:w="15" w:type="dxa"/>
            <w:right w:w="15" w:type="dxa"/>
          </w:tblCellMar>
        </w:tblPrEx>
        <w:trPr>
          <w:trHeight w:val="507" w:hRule="exact"/>
          <w:jc w:val="center"/>
        </w:trPr>
        <w:tc>
          <w:tcPr>
            <w:tcW w:w="863" w:type="pct"/>
            <w:tcBorders>
              <w:top w:val="single" w:color="000000" w:sz="4" w:space="0"/>
              <w:left w:val="single" w:color="000000" w:sz="4" w:space="0"/>
              <w:bottom w:val="single" w:color="auto"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rPr>
              <w:t>一级指标</w:t>
            </w:r>
          </w:p>
        </w:tc>
        <w:tc>
          <w:tcPr>
            <w:tcW w:w="750" w:type="pct"/>
            <w:tcBorders>
              <w:top w:val="single" w:color="000000" w:sz="4" w:space="0"/>
              <w:left w:val="single" w:color="000000" w:sz="4" w:space="0"/>
              <w:bottom w:val="single" w:color="auto"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rPr>
              <w:t>二级指标</w:t>
            </w:r>
          </w:p>
        </w:tc>
        <w:tc>
          <w:tcPr>
            <w:tcW w:w="2066" w:type="pct"/>
            <w:tcBorders>
              <w:top w:val="single" w:color="000000" w:sz="4" w:space="0"/>
              <w:left w:val="single" w:color="000000" w:sz="4" w:space="0"/>
              <w:bottom w:val="single" w:color="auto"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rPr>
              <w:t>三级指标</w:t>
            </w:r>
          </w:p>
        </w:tc>
        <w:tc>
          <w:tcPr>
            <w:tcW w:w="757" w:type="pct"/>
            <w:tcBorders>
              <w:top w:val="single" w:color="000000" w:sz="4" w:space="0"/>
              <w:left w:val="single" w:color="000000" w:sz="4" w:space="0"/>
              <w:bottom w:val="single" w:color="auto"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rPr>
              <w:t>分数权重</w:t>
            </w:r>
          </w:p>
        </w:tc>
        <w:tc>
          <w:tcPr>
            <w:tcW w:w="562" w:type="pct"/>
            <w:tcBorders>
              <w:top w:val="single" w:color="000000" w:sz="4" w:space="0"/>
              <w:left w:val="single" w:color="000000" w:sz="4" w:space="0"/>
              <w:bottom w:val="single" w:color="auto"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rPr>
              <w:t>得分</w:t>
            </w:r>
          </w:p>
        </w:tc>
      </w:tr>
      <w:tr>
        <w:tblPrEx>
          <w:tblCellMar>
            <w:top w:w="15" w:type="dxa"/>
            <w:left w:w="15" w:type="dxa"/>
            <w:bottom w:w="15" w:type="dxa"/>
            <w:right w:w="15" w:type="dxa"/>
          </w:tblCellMar>
        </w:tblPrEx>
        <w:trPr>
          <w:trHeight w:val="853" w:hRule="exact"/>
          <w:jc w:val="center"/>
        </w:trPr>
        <w:tc>
          <w:tcPr>
            <w:tcW w:w="863" w:type="pct"/>
            <w:vMerge w:val="restart"/>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项目产出</w:t>
            </w:r>
          </w:p>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rPr>
              <w:t>（</w:t>
            </w:r>
            <w:r>
              <w:rPr>
                <w:rFonts w:hint="eastAsia" w:ascii="仿宋" w:hAnsi="仿宋" w:eastAsia="仿宋" w:cs="仿宋"/>
                <w:color w:val="000000"/>
                <w:kern w:val="0"/>
                <w:sz w:val="24"/>
                <w:szCs w:val="24"/>
                <w:highlight w:val="none"/>
                <w:lang w:val="en-US" w:eastAsia="zh-CN"/>
              </w:rPr>
              <w:t>20</w:t>
            </w:r>
            <w:r>
              <w:rPr>
                <w:rFonts w:hint="eastAsia" w:ascii="仿宋" w:hAnsi="仿宋" w:eastAsia="仿宋" w:cs="仿宋"/>
                <w:color w:val="000000"/>
                <w:kern w:val="0"/>
                <w:sz w:val="24"/>
                <w:szCs w:val="24"/>
                <w:highlight w:val="none"/>
              </w:rPr>
              <w:t>分）</w:t>
            </w:r>
          </w:p>
        </w:tc>
        <w:tc>
          <w:tcPr>
            <w:tcW w:w="750" w:type="pct"/>
            <w:vMerge w:val="restart"/>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项目</w:t>
            </w:r>
            <w:r>
              <w:rPr>
                <w:rFonts w:hint="eastAsia" w:ascii="仿宋" w:hAnsi="仿宋" w:eastAsia="仿宋" w:cs="仿宋"/>
                <w:color w:val="000000"/>
                <w:kern w:val="0"/>
                <w:sz w:val="24"/>
                <w:szCs w:val="24"/>
                <w:highlight w:val="none"/>
                <w:lang w:val="en-US" w:eastAsia="zh-CN"/>
              </w:rPr>
              <w:t>产出</w:t>
            </w:r>
          </w:p>
        </w:tc>
        <w:tc>
          <w:tcPr>
            <w:tcW w:w="2066" w:type="pct"/>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lang w:val="en-US" w:eastAsia="zh-CN"/>
              </w:rPr>
              <w:t>实际完成率</w:t>
            </w:r>
          </w:p>
        </w:tc>
        <w:tc>
          <w:tcPr>
            <w:tcW w:w="757" w:type="pct"/>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default" w:ascii="仿宋" w:hAnsi="仿宋" w:eastAsia="仿宋" w:cs="仿宋"/>
                <w:color w:val="000000"/>
                <w:kern w:val="0"/>
                <w:sz w:val="24"/>
                <w:szCs w:val="24"/>
                <w:highlight w:val="none"/>
                <w:lang w:val="en-US" w:eastAsia="zh-CN"/>
              </w:rPr>
            </w:pPr>
            <w:r>
              <w:rPr>
                <w:rFonts w:hint="eastAsia" w:ascii="仿宋" w:hAnsi="仿宋" w:eastAsia="仿宋" w:cs="仿宋"/>
                <w:color w:val="000000"/>
                <w:kern w:val="0"/>
                <w:sz w:val="24"/>
                <w:szCs w:val="24"/>
                <w:highlight w:val="none"/>
                <w:lang w:val="en-US" w:eastAsia="zh-CN"/>
              </w:rPr>
              <w:t>10</w:t>
            </w:r>
          </w:p>
        </w:tc>
        <w:tc>
          <w:tcPr>
            <w:tcW w:w="1085"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default" w:ascii="仿宋" w:hAnsi="仿宋" w:eastAsia="仿宋" w:cs="仿宋"/>
                <w:color w:val="000000"/>
                <w:kern w:val="0"/>
                <w:sz w:val="24"/>
                <w:szCs w:val="24"/>
                <w:highlight w:val="none"/>
                <w:lang w:val="en-US" w:eastAsia="zh-CN"/>
              </w:rPr>
            </w:pPr>
            <w:r>
              <w:rPr>
                <w:rFonts w:hint="eastAsia" w:ascii="仿宋" w:hAnsi="仿宋" w:eastAsia="仿宋" w:cs="仿宋"/>
                <w:color w:val="000000"/>
                <w:kern w:val="0"/>
                <w:sz w:val="24"/>
                <w:szCs w:val="24"/>
                <w:highlight w:val="none"/>
                <w:lang w:val="en-US" w:eastAsia="zh-CN"/>
              </w:rPr>
              <w:t>10</w:t>
            </w:r>
          </w:p>
        </w:tc>
      </w:tr>
      <w:tr>
        <w:tblPrEx>
          <w:tblCellMar>
            <w:top w:w="15" w:type="dxa"/>
            <w:left w:w="15" w:type="dxa"/>
            <w:bottom w:w="15" w:type="dxa"/>
            <w:right w:w="15" w:type="dxa"/>
          </w:tblCellMar>
        </w:tblPrEx>
        <w:trPr>
          <w:trHeight w:val="828" w:hRule="exact"/>
          <w:jc w:val="center"/>
        </w:trPr>
        <w:tc>
          <w:tcPr>
            <w:tcW w:w="863" w:type="pct"/>
            <w:vMerge w:val="continue"/>
            <w:tcBorders>
              <w:top w:val="single" w:color="auto" w:sz="4" w:space="0"/>
              <w:left w:val="single" w:color="auto" w:sz="4" w:space="0"/>
              <w:bottom w:val="single" w:color="auto" w:sz="4" w:space="0"/>
              <w:right w:val="single" w:color="auto" w:sz="4" w:space="0"/>
            </w:tcBorders>
            <w:vAlign w:val="center"/>
          </w:tcPr>
          <w:p>
            <w:pPr>
              <w:pageBreakBefore w:val="0"/>
              <w:kinsoku/>
              <w:wordWrap/>
              <w:overflowPunct/>
              <w:topLinePunct w:val="0"/>
              <w:autoSpaceDE/>
              <w:autoSpaceDN/>
              <w:bidi w:val="0"/>
              <w:adjustRightInd/>
              <w:snapToGrid/>
              <w:spacing w:line="560" w:lineRule="exact"/>
              <w:jc w:val="center"/>
              <w:rPr>
                <w:rFonts w:hint="eastAsia" w:ascii="仿宋" w:hAnsi="仿宋" w:eastAsia="仿宋" w:cs="仿宋"/>
                <w:color w:val="000000"/>
                <w:sz w:val="24"/>
                <w:szCs w:val="24"/>
                <w:highlight w:val="none"/>
              </w:rPr>
            </w:pPr>
          </w:p>
        </w:tc>
        <w:tc>
          <w:tcPr>
            <w:tcW w:w="750" w:type="pct"/>
            <w:vMerge w:val="continue"/>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kern w:val="0"/>
                <w:sz w:val="24"/>
                <w:szCs w:val="24"/>
                <w:highlight w:val="none"/>
              </w:rPr>
            </w:pPr>
          </w:p>
        </w:tc>
        <w:tc>
          <w:tcPr>
            <w:tcW w:w="2066" w:type="pct"/>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kern w:val="0"/>
                <w:sz w:val="24"/>
                <w:szCs w:val="24"/>
                <w:highlight w:val="none"/>
                <w:lang w:eastAsia="zh-CN"/>
              </w:rPr>
            </w:pPr>
            <w:r>
              <w:rPr>
                <w:rFonts w:hint="eastAsia" w:ascii="仿宋" w:hAnsi="仿宋" w:eastAsia="仿宋" w:cs="仿宋"/>
                <w:color w:val="000000"/>
                <w:kern w:val="0"/>
                <w:sz w:val="24"/>
                <w:szCs w:val="24"/>
                <w:highlight w:val="none"/>
                <w:lang w:val="en-US" w:eastAsia="zh-CN"/>
              </w:rPr>
              <w:t>完成及时率</w:t>
            </w:r>
          </w:p>
        </w:tc>
        <w:tc>
          <w:tcPr>
            <w:tcW w:w="757" w:type="pct"/>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kern w:val="0"/>
                <w:sz w:val="24"/>
                <w:szCs w:val="24"/>
                <w:highlight w:val="none"/>
                <w:lang w:val="en-US" w:eastAsia="zh-CN"/>
              </w:rPr>
            </w:pPr>
            <w:r>
              <w:rPr>
                <w:rFonts w:hint="eastAsia" w:ascii="仿宋" w:hAnsi="仿宋" w:eastAsia="仿宋" w:cs="仿宋"/>
                <w:color w:val="000000"/>
                <w:kern w:val="0"/>
                <w:sz w:val="24"/>
                <w:szCs w:val="24"/>
                <w:highlight w:val="none"/>
                <w:lang w:val="en-US" w:eastAsia="zh-CN"/>
              </w:rPr>
              <w:t>5</w:t>
            </w:r>
          </w:p>
        </w:tc>
        <w:tc>
          <w:tcPr>
            <w:tcW w:w="1085" w:type="dxa"/>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kern w:val="0"/>
                <w:sz w:val="24"/>
                <w:szCs w:val="24"/>
                <w:highlight w:val="none"/>
                <w:lang w:val="en-US" w:eastAsia="zh-CN"/>
              </w:rPr>
            </w:pPr>
            <w:r>
              <w:rPr>
                <w:rFonts w:hint="eastAsia" w:ascii="仿宋" w:hAnsi="仿宋" w:eastAsia="仿宋" w:cs="仿宋"/>
                <w:color w:val="000000"/>
                <w:kern w:val="0"/>
                <w:sz w:val="24"/>
                <w:szCs w:val="24"/>
                <w:highlight w:val="none"/>
                <w:lang w:val="en-US" w:eastAsia="zh-CN"/>
              </w:rPr>
              <w:t>5</w:t>
            </w:r>
          </w:p>
        </w:tc>
      </w:tr>
      <w:tr>
        <w:tblPrEx>
          <w:tblCellMar>
            <w:top w:w="15" w:type="dxa"/>
            <w:left w:w="15" w:type="dxa"/>
            <w:bottom w:w="15" w:type="dxa"/>
            <w:right w:w="15" w:type="dxa"/>
          </w:tblCellMar>
        </w:tblPrEx>
        <w:trPr>
          <w:trHeight w:val="828" w:hRule="exact"/>
          <w:jc w:val="center"/>
        </w:trPr>
        <w:tc>
          <w:tcPr>
            <w:tcW w:w="863" w:type="pct"/>
            <w:vMerge w:val="continue"/>
            <w:tcBorders>
              <w:top w:val="single" w:color="auto" w:sz="4" w:space="0"/>
              <w:left w:val="single" w:color="auto" w:sz="4" w:space="0"/>
              <w:right w:val="single" w:color="000000" w:sz="4" w:space="0"/>
            </w:tcBorders>
            <w:vAlign w:val="center"/>
          </w:tcPr>
          <w:p>
            <w:pPr>
              <w:pageBreakBefore w:val="0"/>
              <w:kinsoku/>
              <w:wordWrap/>
              <w:overflowPunct/>
              <w:topLinePunct w:val="0"/>
              <w:autoSpaceDE/>
              <w:autoSpaceDN/>
              <w:bidi w:val="0"/>
              <w:adjustRightInd/>
              <w:snapToGrid/>
              <w:spacing w:line="560" w:lineRule="exact"/>
              <w:jc w:val="center"/>
              <w:rPr>
                <w:rFonts w:hint="eastAsia" w:ascii="仿宋" w:hAnsi="仿宋" w:eastAsia="仿宋" w:cs="仿宋"/>
                <w:color w:val="000000"/>
                <w:sz w:val="24"/>
                <w:szCs w:val="24"/>
                <w:highlight w:val="none"/>
              </w:rPr>
            </w:pPr>
          </w:p>
        </w:tc>
        <w:tc>
          <w:tcPr>
            <w:tcW w:w="750" w:type="pct"/>
            <w:vMerge w:val="continue"/>
            <w:tcBorders>
              <w:top w:val="single" w:color="auto" w:sz="4" w:space="0"/>
              <w:left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kern w:val="0"/>
                <w:sz w:val="24"/>
                <w:szCs w:val="24"/>
                <w:highlight w:val="none"/>
              </w:rPr>
            </w:pPr>
          </w:p>
        </w:tc>
        <w:tc>
          <w:tcPr>
            <w:tcW w:w="2066" w:type="pct"/>
            <w:tcBorders>
              <w:top w:val="single" w:color="auto" w:sz="4" w:space="0"/>
              <w:left w:val="single" w:color="000000"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lang w:val="en-US" w:eastAsia="zh-CN"/>
              </w:rPr>
              <w:t>验收合格率</w:t>
            </w:r>
          </w:p>
        </w:tc>
        <w:tc>
          <w:tcPr>
            <w:tcW w:w="757" w:type="pct"/>
            <w:tcBorders>
              <w:top w:val="single" w:color="auto" w:sz="4" w:space="0"/>
              <w:left w:val="single" w:color="000000"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kern w:val="0"/>
                <w:sz w:val="24"/>
                <w:szCs w:val="24"/>
                <w:highlight w:val="none"/>
                <w:lang w:val="en-US" w:eastAsia="zh-CN"/>
              </w:rPr>
            </w:pPr>
            <w:r>
              <w:rPr>
                <w:rFonts w:hint="eastAsia" w:ascii="仿宋" w:hAnsi="仿宋" w:eastAsia="仿宋" w:cs="仿宋"/>
                <w:color w:val="000000"/>
                <w:kern w:val="0"/>
                <w:sz w:val="24"/>
                <w:szCs w:val="24"/>
                <w:highlight w:val="none"/>
                <w:lang w:val="en-US" w:eastAsia="zh-CN"/>
              </w:rPr>
              <w:t>5</w:t>
            </w:r>
          </w:p>
        </w:tc>
        <w:tc>
          <w:tcPr>
            <w:tcW w:w="1085" w:type="dxa"/>
            <w:tcBorders>
              <w:top w:val="single" w:color="auto" w:sz="4" w:space="0"/>
              <w:left w:val="single" w:color="000000"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kern w:val="0"/>
                <w:sz w:val="24"/>
                <w:szCs w:val="24"/>
                <w:highlight w:val="none"/>
                <w:lang w:val="en-US" w:eastAsia="zh-CN"/>
              </w:rPr>
            </w:pPr>
            <w:r>
              <w:rPr>
                <w:rFonts w:hint="eastAsia" w:ascii="仿宋" w:hAnsi="仿宋" w:eastAsia="仿宋" w:cs="仿宋"/>
                <w:color w:val="000000"/>
                <w:kern w:val="0"/>
                <w:sz w:val="24"/>
                <w:szCs w:val="24"/>
                <w:highlight w:val="none"/>
                <w:lang w:val="en-US" w:eastAsia="zh-CN"/>
              </w:rPr>
              <w:t>5</w:t>
            </w:r>
          </w:p>
        </w:tc>
      </w:tr>
      <w:tr>
        <w:tblPrEx>
          <w:tblCellMar>
            <w:top w:w="15" w:type="dxa"/>
            <w:left w:w="15" w:type="dxa"/>
            <w:bottom w:w="15" w:type="dxa"/>
            <w:right w:w="15" w:type="dxa"/>
          </w:tblCellMar>
        </w:tblPrEx>
        <w:trPr>
          <w:trHeight w:val="609" w:hRule="exact"/>
          <w:jc w:val="center"/>
        </w:trPr>
        <w:tc>
          <w:tcPr>
            <w:tcW w:w="3680" w:type="pct"/>
            <w:gridSpan w:val="3"/>
            <w:tcBorders>
              <w:top w:val="single" w:color="000000" w:sz="4" w:space="0"/>
              <w:left w:val="single" w:color="000000"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kern w:val="0"/>
                <w:sz w:val="24"/>
                <w:szCs w:val="24"/>
                <w:highlight w:val="none"/>
              </w:rPr>
            </w:pPr>
            <w:r>
              <w:rPr>
                <w:rFonts w:hint="eastAsia" w:ascii="仿宋" w:hAnsi="仿宋" w:eastAsia="仿宋" w:cs="仿宋"/>
                <w:color w:val="000000"/>
                <w:kern w:val="0"/>
                <w:sz w:val="24"/>
                <w:szCs w:val="24"/>
                <w:highlight w:val="none"/>
              </w:rPr>
              <w:t>合  计</w:t>
            </w:r>
          </w:p>
        </w:tc>
        <w:tc>
          <w:tcPr>
            <w:tcW w:w="757" w:type="pct"/>
            <w:tcBorders>
              <w:top w:val="single" w:color="000000" w:sz="4" w:space="0"/>
              <w:left w:val="single" w:color="000000"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default" w:ascii="仿宋" w:hAnsi="仿宋" w:eastAsia="仿宋" w:cs="仿宋"/>
                <w:color w:val="000000"/>
                <w:kern w:val="0"/>
                <w:sz w:val="24"/>
                <w:szCs w:val="24"/>
                <w:highlight w:val="none"/>
                <w:lang w:val="en-US" w:eastAsia="zh-CN"/>
              </w:rPr>
            </w:pPr>
            <w:r>
              <w:rPr>
                <w:rFonts w:hint="eastAsia" w:ascii="仿宋" w:hAnsi="仿宋" w:eastAsia="仿宋" w:cs="仿宋"/>
                <w:color w:val="000000"/>
                <w:kern w:val="0"/>
                <w:sz w:val="24"/>
                <w:szCs w:val="24"/>
                <w:highlight w:val="none"/>
                <w:lang w:val="en-US" w:eastAsia="zh-CN"/>
              </w:rPr>
              <w:t>20</w:t>
            </w:r>
          </w:p>
        </w:tc>
        <w:tc>
          <w:tcPr>
            <w:tcW w:w="562" w:type="pct"/>
            <w:tcBorders>
              <w:top w:val="single" w:color="000000" w:sz="4" w:space="0"/>
              <w:left w:val="single" w:color="000000"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default" w:ascii="仿宋" w:hAnsi="仿宋" w:eastAsia="仿宋" w:cs="仿宋"/>
                <w:color w:val="000000"/>
                <w:kern w:val="0"/>
                <w:sz w:val="24"/>
                <w:szCs w:val="24"/>
                <w:highlight w:val="none"/>
                <w:lang w:val="en-US" w:eastAsia="zh-CN"/>
              </w:rPr>
            </w:pPr>
            <w:r>
              <w:rPr>
                <w:rFonts w:hint="eastAsia" w:ascii="仿宋" w:hAnsi="仿宋" w:eastAsia="仿宋" w:cs="仿宋"/>
                <w:color w:val="000000"/>
                <w:kern w:val="0"/>
                <w:sz w:val="24"/>
                <w:szCs w:val="24"/>
                <w:highlight w:val="none"/>
                <w:lang w:val="en-US" w:eastAsia="zh-CN"/>
              </w:rPr>
              <w:t>20</w:t>
            </w:r>
          </w:p>
        </w:tc>
      </w:tr>
    </w:tbl>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lang w:val="en-US" w:eastAsia="zh-CN"/>
        </w:rPr>
      </w:pPr>
      <w:bookmarkStart w:id="62" w:name="_Toc83630336"/>
      <w:bookmarkStart w:id="63" w:name="_Toc16415"/>
      <w:bookmarkStart w:id="64" w:name="_Toc833"/>
      <w:bookmarkStart w:id="65" w:name="_Toc83631046"/>
      <w:bookmarkStart w:id="66" w:name="_Toc1929"/>
      <w:r>
        <w:rPr>
          <w:rFonts w:hint="eastAsia" w:ascii="仿宋" w:hAnsi="仿宋" w:eastAsia="仿宋" w:cs="仿宋"/>
          <w:sz w:val="30"/>
          <w:szCs w:val="30"/>
          <w:highlight w:val="none"/>
          <w:lang w:val="en-US" w:eastAsia="zh-CN"/>
        </w:rPr>
        <w:t>1.实际完成率（10分）</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该指标主要评估项目实施的实际产出数与计划产出数的比率，用以反映和考核项目产出数量目标的实现程度。</w:t>
      </w:r>
    </w:p>
    <w:p>
      <w:pPr>
        <w:pageBreakBefore w:val="0"/>
        <w:kinsoku/>
        <w:wordWrap/>
        <w:overflowPunct/>
        <w:topLinePunct w:val="0"/>
        <w:autoSpaceDE/>
        <w:autoSpaceDN/>
        <w:bidi w:val="0"/>
        <w:adjustRightInd/>
        <w:snapToGrid/>
        <w:spacing w:line="560" w:lineRule="exact"/>
        <w:ind w:firstLine="600" w:firstLineChars="200"/>
        <w:jc w:val="left"/>
        <w:rPr>
          <w:rFonts w:hint="default"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经评估，项目施工合同及补充协议显示的计划工期为2022年7月1日至2023年6月30日，该项目实际于2022年6月28日开工建设，2022年8月23日工程款支付证书批复单显示的工程进度为已完成整体工程80%，按阶段考核，项目实际完成情况较好。</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该项指标实际得分10分。</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2.完成及时率（5分）</w:t>
      </w:r>
    </w:p>
    <w:p>
      <w:pPr>
        <w:pageBreakBefore w:val="0"/>
        <w:kinsoku/>
        <w:wordWrap/>
        <w:overflowPunct/>
        <w:topLinePunct w:val="0"/>
        <w:autoSpaceDE/>
        <w:autoSpaceDN/>
        <w:bidi w:val="0"/>
        <w:adjustRightInd/>
        <w:snapToGrid/>
        <w:spacing w:line="560" w:lineRule="exact"/>
        <w:ind w:firstLine="600" w:firstLineChars="200"/>
        <w:jc w:val="left"/>
        <w:rPr>
          <w:rFonts w:hint="default"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该指标主要评估项目实际提前完成时间与计划完成时间的比率，用以反映和考核项目产出时效目标的实现程度。</w:t>
      </w:r>
    </w:p>
    <w:p>
      <w:pPr>
        <w:pageBreakBefore w:val="0"/>
        <w:kinsoku/>
        <w:wordWrap/>
        <w:overflowPunct/>
        <w:topLinePunct w:val="0"/>
        <w:autoSpaceDE/>
        <w:autoSpaceDN/>
        <w:bidi w:val="0"/>
        <w:adjustRightInd/>
        <w:snapToGrid/>
        <w:spacing w:line="560" w:lineRule="exact"/>
        <w:ind w:firstLine="600" w:firstLineChars="200"/>
        <w:jc w:val="left"/>
        <w:rPr>
          <w:rFonts w:hint="default"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经评估，该项目施工合同及补充协议显示的计划工期为2022年7月1日至2023年6月30日，截至评估日，项目未完工，无法考核该指标完成情况，但由于项目实际工期未超计划工期，所以不予扣分。</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该项指标实际得分5分。</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3.质量达标率（5分）</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该指标主要评估项目完成的质量达标产出数与实际产出数的比率，用以反映和考核项目产出质量目标的实现程度。</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经检查，截至评估日，项目未完成工程建设，无法评估质量达标情况。</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该项指标实际得分5分。</w:t>
      </w:r>
    </w:p>
    <w:p>
      <w:pPr>
        <w:pStyle w:val="4"/>
        <w:pageBreakBefore w:val="0"/>
        <w:kinsoku/>
        <w:wordWrap/>
        <w:overflowPunct/>
        <w:topLinePunct w:val="0"/>
        <w:autoSpaceDE/>
        <w:autoSpaceDN/>
        <w:bidi w:val="0"/>
        <w:adjustRightInd/>
        <w:snapToGrid/>
        <w:spacing w:before="0" w:after="0" w:line="560" w:lineRule="exact"/>
        <w:ind w:firstLine="600" w:firstLineChars="200"/>
        <w:rPr>
          <w:rFonts w:hint="eastAsia" w:ascii="仿宋" w:hAnsi="仿宋" w:eastAsia="仿宋" w:cs="仿宋"/>
          <w:b w:val="0"/>
          <w:bCs w:val="0"/>
          <w:sz w:val="30"/>
          <w:szCs w:val="30"/>
          <w:highlight w:val="none"/>
        </w:rPr>
      </w:pPr>
      <w:r>
        <w:rPr>
          <w:rFonts w:hint="eastAsia" w:ascii="仿宋" w:hAnsi="仿宋" w:eastAsia="仿宋" w:cs="仿宋"/>
          <w:b w:val="0"/>
          <w:bCs w:val="0"/>
          <w:sz w:val="30"/>
          <w:szCs w:val="30"/>
          <w:highlight w:val="none"/>
        </w:rPr>
        <w:t>（四）项目效果（</w:t>
      </w:r>
      <w:r>
        <w:rPr>
          <w:rFonts w:hint="eastAsia" w:ascii="仿宋" w:hAnsi="仿宋" w:eastAsia="仿宋" w:cs="仿宋"/>
          <w:b w:val="0"/>
          <w:bCs w:val="0"/>
          <w:sz w:val="30"/>
          <w:szCs w:val="30"/>
          <w:highlight w:val="none"/>
          <w:lang w:val="en-US" w:eastAsia="zh-CN"/>
        </w:rPr>
        <w:t>20</w:t>
      </w:r>
      <w:r>
        <w:rPr>
          <w:rFonts w:hint="eastAsia" w:ascii="仿宋" w:hAnsi="仿宋" w:eastAsia="仿宋" w:cs="仿宋"/>
          <w:b w:val="0"/>
          <w:bCs w:val="0"/>
          <w:sz w:val="30"/>
          <w:szCs w:val="30"/>
          <w:highlight w:val="none"/>
        </w:rPr>
        <w:t>分）</w:t>
      </w:r>
      <w:bookmarkEnd w:id="62"/>
      <w:bookmarkEnd w:id="63"/>
      <w:bookmarkEnd w:id="64"/>
      <w:bookmarkEnd w:id="65"/>
      <w:bookmarkEnd w:id="66"/>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该一级指标包含项目效益1个二级指标和2个三级指标，分别是社会效益、可持续影响力。主要评估项目实施后所产生的各种效益，包括项目实施对社会发展所带来的直接或间接影响情况、项目实施的可持续影响程度等。</w:t>
      </w:r>
    </w:p>
    <w:tbl>
      <w:tblPr>
        <w:tblStyle w:val="18"/>
        <w:tblW w:w="0" w:type="auto"/>
        <w:jc w:val="center"/>
        <w:tblLayout w:type="fixed"/>
        <w:tblCellMar>
          <w:top w:w="15" w:type="dxa"/>
          <w:left w:w="15" w:type="dxa"/>
          <w:bottom w:w="15" w:type="dxa"/>
          <w:right w:w="15" w:type="dxa"/>
        </w:tblCellMar>
      </w:tblPr>
      <w:tblGrid>
        <w:gridCol w:w="1591"/>
        <w:gridCol w:w="1489"/>
        <w:gridCol w:w="2588"/>
        <w:gridCol w:w="1434"/>
        <w:gridCol w:w="1490"/>
      </w:tblGrid>
      <w:tr>
        <w:tblPrEx>
          <w:tblCellMar>
            <w:top w:w="15" w:type="dxa"/>
            <w:left w:w="15" w:type="dxa"/>
            <w:bottom w:w="15" w:type="dxa"/>
            <w:right w:w="15" w:type="dxa"/>
          </w:tblCellMar>
        </w:tblPrEx>
        <w:trPr>
          <w:trHeight w:val="454" w:hRule="exact"/>
          <w:jc w:val="center"/>
        </w:trPr>
        <w:tc>
          <w:tcPr>
            <w:tcW w:w="159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一级指标</w:t>
            </w:r>
          </w:p>
        </w:tc>
        <w:tc>
          <w:tcPr>
            <w:tcW w:w="1489"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二级指标</w:t>
            </w:r>
          </w:p>
        </w:tc>
        <w:tc>
          <w:tcPr>
            <w:tcW w:w="258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三级指标</w:t>
            </w:r>
          </w:p>
        </w:tc>
        <w:tc>
          <w:tcPr>
            <w:tcW w:w="14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分数权重</w:t>
            </w:r>
          </w:p>
        </w:tc>
        <w:tc>
          <w:tcPr>
            <w:tcW w:w="149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得分</w:t>
            </w:r>
          </w:p>
        </w:tc>
      </w:tr>
      <w:tr>
        <w:tblPrEx>
          <w:tblCellMar>
            <w:top w:w="15" w:type="dxa"/>
            <w:left w:w="15" w:type="dxa"/>
            <w:bottom w:w="15" w:type="dxa"/>
            <w:right w:w="15" w:type="dxa"/>
          </w:tblCellMar>
        </w:tblPrEx>
        <w:trPr>
          <w:trHeight w:val="746" w:hRule="exact"/>
          <w:jc w:val="center"/>
        </w:trPr>
        <w:tc>
          <w:tcPr>
            <w:tcW w:w="1591"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仿宋" w:hAnsi="仿宋" w:eastAsia="仿宋" w:cs="仿宋"/>
                <w:color w:val="000000"/>
                <w:kern w:val="0"/>
                <w:sz w:val="24"/>
                <w:szCs w:val="24"/>
                <w:highlight w:val="none"/>
                <w:lang w:bidi="ar"/>
              </w:rPr>
            </w:pPr>
            <w:r>
              <w:rPr>
                <w:rFonts w:hint="eastAsia" w:ascii="仿宋" w:hAnsi="仿宋" w:eastAsia="仿宋" w:cs="仿宋"/>
                <w:color w:val="000000"/>
                <w:kern w:val="0"/>
                <w:sz w:val="24"/>
                <w:szCs w:val="24"/>
                <w:highlight w:val="none"/>
                <w:lang w:bidi="ar"/>
              </w:rPr>
              <w:t>项目效果</w:t>
            </w:r>
          </w:p>
          <w:p>
            <w:pPr>
              <w:widowControl/>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（2</w:t>
            </w:r>
            <w:r>
              <w:rPr>
                <w:rFonts w:hint="eastAsia" w:ascii="仿宋" w:hAnsi="仿宋" w:eastAsia="仿宋" w:cs="仿宋"/>
                <w:color w:val="000000"/>
                <w:kern w:val="0"/>
                <w:sz w:val="24"/>
                <w:szCs w:val="24"/>
                <w:highlight w:val="none"/>
                <w:lang w:val="en-US" w:eastAsia="zh-CN" w:bidi="ar"/>
              </w:rPr>
              <w:t>0</w:t>
            </w:r>
            <w:r>
              <w:rPr>
                <w:rFonts w:hint="eastAsia" w:ascii="仿宋" w:hAnsi="仿宋" w:eastAsia="仿宋" w:cs="仿宋"/>
                <w:color w:val="000000"/>
                <w:kern w:val="0"/>
                <w:sz w:val="24"/>
                <w:szCs w:val="24"/>
                <w:highlight w:val="none"/>
                <w:lang w:bidi="ar"/>
              </w:rPr>
              <w:t>分）</w:t>
            </w:r>
          </w:p>
        </w:tc>
        <w:tc>
          <w:tcPr>
            <w:tcW w:w="1489"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仿宋" w:hAnsi="仿宋" w:eastAsia="仿宋" w:cs="仿宋"/>
                <w:color w:val="000000"/>
                <w:sz w:val="24"/>
                <w:szCs w:val="24"/>
                <w:highlight w:val="none"/>
              </w:rPr>
            </w:pPr>
            <w:r>
              <w:rPr>
                <w:rFonts w:hint="eastAsia" w:ascii="仿宋" w:hAnsi="仿宋" w:eastAsia="仿宋" w:cs="仿宋"/>
                <w:color w:val="000000"/>
                <w:kern w:val="0"/>
                <w:sz w:val="24"/>
                <w:szCs w:val="24"/>
                <w:highlight w:val="none"/>
                <w:lang w:bidi="ar"/>
              </w:rPr>
              <w:t>项目效益</w:t>
            </w:r>
          </w:p>
        </w:tc>
        <w:tc>
          <w:tcPr>
            <w:tcW w:w="258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仿宋" w:hAnsi="仿宋" w:eastAsia="仿宋" w:cs="仿宋"/>
                <w:color w:val="000000"/>
                <w:sz w:val="24"/>
                <w:szCs w:val="24"/>
                <w:highlight w:val="none"/>
                <w:lang w:val="en-US" w:eastAsia="zh-CN"/>
              </w:rPr>
            </w:pPr>
            <w:r>
              <w:rPr>
                <w:rFonts w:hint="eastAsia" w:ascii="仿宋" w:hAnsi="仿宋" w:eastAsia="仿宋" w:cs="仿宋"/>
                <w:color w:val="000000"/>
                <w:sz w:val="24"/>
                <w:szCs w:val="24"/>
                <w:highlight w:val="none"/>
                <w:lang w:val="en-US" w:eastAsia="zh-CN"/>
              </w:rPr>
              <w:t>社会效益</w:t>
            </w:r>
          </w:p>
        </w:tc>
        <w:tc>
          <w:tcPr>
            <w:tcW w:w="14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default" w:ascii="仿宋" w:hAnsi="仿宋" w:eastAsia="仿宋" w:cs="仿宋"/>
                <w:color w:val="000000"/>
                <w:sz w:val="24"/>
                <w:szCs w:val="24"/>
                <w:highlight w:val="none"/>
                <w:lang w:val="en-US" w:eastAsia="zh-CN"/>
              </w:rPr>
            </w:pPr>
            <w:r>
              <w:rPr>
                <w:rFonts w:hint="eastAsia" w:ascii="仿宋" w:hAnsi="仿宋" w:eastAsia="仿宋" w:cs="仿宋"/>
                <w:color w:val="000000"/>
                <w:kern w:val="0"/>
                <w:sz w:val="24"/>
                <w:szCs w:val="24"/>
                <w:highlight w:val="none"/>
                <w:lang w:val="en-US" w:eastAsia="zh-CN" w:bidi="ar"/>
              </w:rPr>
              <w:t>10</w:t>
            </w:r>
          </w:p>
        </w:tc>
        <w:tc>
          <w:tcPr>
            <w:tcW w:w="149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仿宋" w:hAnsi="仿宋" w:eastAsia="仿宋" w:cs="仿宋"/>
                <w:color w:val="000000"/>
                <w:sz w:val="24"/>
                <w:szCs w:val="24"/>
                <w:highlight w:val="none"/>
                <w:lang w:val="en-US" w:eastAsia="zh-CN"/>
              </w:rPr>
            </w:pPr>
            <w:r>
              <w:rPr>
                <w:rFonts w:hint="eastAsia" w:ascii="仿宋" w:hAnsi="仿宋" w:eastAsia="仿宋" w:cs="仿宋"/>
                <w:color w:val="000000"/>
                <w:kern w:val="0"/>
                <w:sz w:val="24"/>
                <w:szCs w:val="24"/>
                <w:highlight w:val="none"/>
                <w:lang w:val="en-US" w:eastAsia="zh-CN" w:bidi="ar"/>
              </w:rPr>
              <w:t>10</w:t>
            </w:r>
          </w:p>
        </w:tc>
      </w:tr>
      <w:tr>
        <w:tblPrEx>
          <w:tblCellMar>
            <w:top w:w="15" w:type="dxa"/>
            <w:left w:w="15" w:type="dxa"/>
            <w:bottom w:w="15" w:type="dxa"/>
            <w:right w:w="15" w:type="dxa"/>
          </w:tblCellMar>
        </w:tblPrEx>
        <w:trPr>
          <w:trHeight w:val="694" w:hRule="exact"/>
          <w:jc w:val="center"/>
        </w:trPr>
        <w:tc>
          <w:tcPr>
            <w:tcW w:w="1591"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color w:val="000000"/>
                <w:sz w:val="24"/>
                <w:szCs w:val="24"/>
                <w:highlight w:val="none"/>
              </w:rPr>
            </w:pPr>
          </w:p>
        </w:tc>
        <w:tc>
          <w:tcPr>
            <w:tcW w:w="1489"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仿宋" w:hAnsi="仿宋" w:eastAsia="仿宋" w:cs="仿宋"/>
                <w:color w:val="000000"/>
                <w:sz w:val="24"/>
                <w:szCs w:val="24"/>
                <w:highlight w:val="none"/>
              </w:rPr>
            </w:pPr>
          </w:p>
        </w:tc>
        <w:tc>
          <w:tcPr>
            <w:tcW w:w="258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default" w:ascii="仿宋" w:hAnsi="仿宋" w:eastAsia="仿宋" w:cs="仿宋"/>
                <w:color w:val="000000"/>
                <w:sz w:val="24"/>
                <w:szCs w:val="24"/>
                <w:highlight w:val="none"/>
                <w:lang w:val="en-US" w:eastAsia="zh-CN"/>
              </w:rPr>
            </w:pPr>
            <w:r>
              <w:rPr>
                <w:rFonts w:hint="eastAsia" w:ascii="仿宋" w:hAnsi="仿宋" w:eastAsia="仿宋" w:cs="仿宋"/>
                <w:color w:val="000000"/>
                <w:sz w:val="24"/>
                <w:szCs w:val="24"/>
                <w:highlight w:val="none"/>
                <w:lang w:val="en-US" w:eastAsia="zh-CN"/>
              </w:rPr>
              <w:t>可持续影响力</w:t>
            </w:r>
          </w:p>
        </w:tc>
        <w:tc>
          <w:tcPr>
            <w:tcW w:w="14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default" w:ascii="仿宋" w:hAnsi="仿宋" w:eastAsia="仿宋" w:cs="仿宋"/>
                <w:color w:val="000000"/>
                <w:kern w:val="0"/>
                <w:sz w:val="24"/>
                <w:szCs w:val="24"/>
                <w:highlight w:val="none"/>
                <w:lang w:val="en-US" w:eastAsia="zh-CN" w:bidi="ar"/>
              </w:rPr>
            </w:pPr>
            <w:r>
              <w:rPr>
                <w:rFonts w:hint="eastAsia" w:ascii="仿宋" w:hAnsi="仿宋" w:eastAsia="仿宋" w:cs="仿宋"/>
                <w:color w:val="000000"/>
                <w:kern w:val="0"/>
                <w:sz w:val="24"/>
                <w:szCs w:val="24"/>
                <w:highlight w:val="none"/>
                <w:lang w:val="en-US" w:eastAsia="zh-CN" w:bidi="ar"/>
              </w:rPr>
              <w:t>10</w:t>
            </w:r>
          </w:p>
        </w:tc>
        <w:tc>
          <w:tcPr>
            <w:tcW w:w="149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仿宋" w:hAnsi="仿宋" w:eastAsia="仿宋" w:cs="仿宋"/>
                <w:color w:val="000000"/>
                <w:kern w:val="0"/>
                <w:sz w:val="24"/>
                <w:szCs w:val="24"/>
                <w:highlight w:val="none"/>
                <w:lang w:val="en-US" w:eastAsia="zh-CN" w:bidi="ar"/>
              </w:rPr>
            </w:pPr>
            <w:r>
              <w:rPr>
                <w:rFonts w:hint="eastAsia" w:ascii="仿宋" w:hAnsi="仿宋" w:eastAsia="仿宋" w:cs="仿宋"/>
                <w:color w:val="000000"/>
                <w:kern w:val="0"/>
                <w:sz w:val="24"/>
                <w:szCs w:val="24"/>
                <w:highlight w:val="none"/>
                <w:lang w:val="en-US" w:eastAsia="zh-CN" w:bidi="ar"/>
              </w:rPr>
              <w:t>10</w:t>
            </w:r>
          </w:p>
        </w:tc>
      </w:tr>
      <w:tr>
        <w:tblPrEx>
          <w:tblCellMar>
            <w:top w:w="15" w:type="dxa"/>
            <w:left w:w="15" w:type="dxa"/>
            <w:bottom w:w="15" w:type="dxa"/>
            <w:right w:w="15" w:type="dxa"/>
          </w:tblCellMar>
        </w:tblPrEx>
        <w:trPr>
          <w:trHeight w:val="596" w:hRule="exact"/>
          <w:jc w:val="center"/>
        </w:trPr>
        <w:tc>
          <w:tcPr>
            <w:tcW w:w="5668" w:type="dxa"/>
            <w:gridSpan w:val="3"/>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仿宋" w:hAnsi="仿宋" w:eastAsia="仿宋" w:cs="仿宋"/>
                <w:color w:val="000000"/>
                <w:kern w:val="0"/>
                <w:sz w:val="24"/>
                <w:szCs w:val="24"/>
                <w:highlight w:val="none"/>
                <w:lang w:bidi="ar"/>
              </w:rPr>
            </w:pPr>
            <w:r>
              <w:rPr>
                <w:rFonts w:hint="eastAsia" w:ascii="仿宋" w:hAnsi="仿宋" w:eastAsia="仿宋" w:cs="仿宋"/>
                <w:color w:val="000000"/>
                <w:kern w:val="0"/>
                <w:sz w:val="24"/>
                <w:szCs w:val="24"/>
                <w:highlight w:val="none"/>
                <w:lang w:bidi="ar"/>
              </w:rPr>
              <w:t>合  计</w:t>
            </w:r>
          </w:p>
        </w:tc>
        <w:tc>
          <w:tcPr>
            <w:tcW w:w="14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default" w:ascii="仿宋" w:hAnsi="仿宋" w:eastAsia="仿宋" w:cs="仿宋"/>
                <w:color w:val="000000"/>
                <w:kern w:val="0"/>
                <w:sz w:val="24"/>
                <w:szCs w:val="24"/>
                <w:highlight w:val="none"/>
                <w:lang w:val="en-US" w:eastAsia="zh-CN" w:bidi="ar"/>
              </w:rPr>
            </w:pPr>
            <w:r>
              <w:rPr>
                <w:rFonts w:hint="eastAsia" w:ascii="仿宋" w:hAnsi="仿宋" w:eastAsia="仿宋" w:cs="仿宋"/>
                <w:color w:val="000000"/>
                <w:kern w:val="0"/>
                <w:sz w:val="24"/>
                <w:szCs w:val="24"/>
                <w:highlight w:val="none"/>
                <w:lang w:val="en-US" w:eastAsia="zh-CN" w:bidi="ar"/>
              </w:rPr>
              <w:t>20</w:t>
            </w:r>
          </w:p>
        </w:tc>
        <w:tc>
          <w:tcPr>
            <w:tcW w:w="149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default" w:ascii="仿宋" w:hAnsi="仿宋" w:eastAsia="仿宋" w:cs="仿宋"/>
                <w:color w:val="000000"/>
                <w:kern w:val="0"/>
                <w:sz w:val="24"/>
                <w:szCs w:val="24"/>
                <w:highlight w:val="none"/>
                <w:lang w:val="en-US" w:eastAsia="zh-CN" w:bidi="ar"/>
              </w:rPr>
            </w:pPr>
            <w:r>
              <w:rPr>
                <w:rFonts w:hint="eastAsia" w:ascii="仿宋" w:hAnsi="仿宋" w:eastAsia="仿宋" w:cs="仿宋"/>
                <w:color w:val="000000"/>
                <w:kern w:val="0"/>
                <w:sz w:val="24"/>
                <w:szCs w:val="24"/>
                <w:highlight w:val="none"/>
                <w:lang w:val="en-US" w:eastAsia="zh-CN" w:bidi="ar"/>
              </w:rPr>
              <w:t>20</w:t>
            </w:r>
          </w:p>
        </w:tc>
      </w:tr>
    </w:tbl>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1.社会效益（10分）</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该指标主要评估该项目实施对社会发展所带来的直接或间接影响情况。</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经评估，项目建成后，将全面解决老旧小区建筑物和配套设施破损老化、市政设施不完善、环境脏乱差、管理机制不健全等问题，使老旧小区</w:t>
      </w:r>
    </w:p>
    <w:p>
      <w:pPr>
        <w:pageBreakBefore w:val="0"/>
        <w:kinsoku/>
        <w:wordWrap/>
        <w:overflowPunct/>
        <w:topLinePunct w:val="0"/>
        <w:autoSpaceDE/>
        <w:autoSpaceDN/>
        <w:bidi w:val="0"/>
        <w:adjustRightInd/>
        <w:snapToGrid/>
        <w:spacing w:line="560" w:lineRule="exact"/>
        <w:jc w:val="left"/>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居民的居住条件和生活品质得到明显提升，社区治理体系趋向完善，切实增强群众获得感、幸福感、安全感。对破损房屋进行整修和完善技防、消防设施，优化和完善老旧小区各项设施，补齐功能短板，整治环境卫生，提升绿化水平，实现小区干净、整洁、有序、美观，优化小区整体环境，推动当地社会和谐与稳定，项目的建设预计将产生良好的社会效益。</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该项指标实际得分10分。</w:t>
      </w:r>
    </w:p>
    <w:p>
      <w:pPr>
        <w:pageBreakBefore w:val="0"/>
        <w:numPr>
          <w:ilvl w:val="0"/>
          <w:numId w:val="0"/>
        </w:numPr>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2.可持续影响力（10分）</w:t>
      </w:r>
    </w:p>
    <w:p>
      <w:pPr>
        <w:pageBreakBefore w:val="0"/>
        <w:kinsoku/>
        <w:wordWrap/>
        <w:overflowPunct/>
        <w:topLinePunct w:val="0"/>
        <w:autoSpaceDE/>
        <w:autoSpaceDN/>
        <w:bidi w:val="0"/>
        <w:adjustRightInd/>
        <w:snapToGrid/>
        <w:spacing w:line="560" w:lineRule="exact"/>
        <w:ind w:firstLine="600" w:firstLineChars="200"/>
        <w:jc w:val="left"/>
        <w:rPr>
          <w:rFonts w:hint="default"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该指标主要评估</w:t>
      </w:r>
      <w:r>
        <w:rPr>
          <w:rFonts w:hint="default" w:ascii="仿宋" w:hAnsi="仿宋" w:eastAsia="仿宋" w:cs="仿宋"/>
          <w:sz w:val="30"/>
          <w:szCs w:val="30"/>
          <w:highlight w:val="none"/>
          <w:lang w:val="en-US" w:eastAsia="zh-CN"/>
        </w:rPr>
        <w:t>项目后续运行及成效发挥的可持续影响情况。</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经评估，通过项目建设，将增强城市的吸引力和辐射力，实现物业的保值增值，提升城市形象，对于提升曲阳县的城市形象具有重要意义，预期可持续影响效果好。</w:t>
      </w:r>
    </w:p>
    <w:p>
      <w:pPr>
        <w:pageBreakBefore w:val="0"/>
        <w:kinsoku/>
        <w:wordWrap/>
        <w:overflowPunct/>
        <w:topLinePunct w:val="0"/>
        <w:autoSpaceDE/>
        <w:autoSpaceDN/>
        <w:bidi w:val="0"/>
        <w:adjustRightInd/>
        <w:snapToGrid/>
        <w:spacing w:line="560" w:lineRule="exact"/>
        <w:ind w:firstLine="600" w:firstLineChars="200"/>
        <w:jc w:val="left"/>
        <w:rPr>
          <w:rFonts w:hint="default"/>
          <w:highlight w:val="none"/>
          <w:lang w:val="en-US" w:eastAsia="zh-CN"/>
        </w:rPr>
      </w:pPr>
      <w:r>
        <w:rPr>
          <w:rFonts w:hint="eastAsia" w:ascii="仿宋" w:hAnsi="仿宋" w:eastAsia="仿宋" w:cs="仿宋"/>
          <w:sz w:val="30"/>
          <w:szCs w:val="30"/>
          <w:highlight w:val="none"/>
          <w:lang w:val="en-US" w:eastAsia="zh-CN"/>
        </w:rPr>
        <w:t>该项指标实际得分10分。</w:t>
      </w:r>
    </w:p>
    <w:p>
      <w:pPr>
        <w:pStyle w:val="3"/>
        <w:pageBreakBefore w:val="0"/>
        <w:kinsoku/>
        <w:wordWrap/>
        <w:overflowPunct/>
        <w:topLinePunct w:val="0"/>
        <w:autoSpaceDE/>
        <w:autoSpaceDN/>
        <w:bidi w:val="0"/>
        <w:adjustRightInd/>
        <w:snapToGrid/>
        <w:spacing w:beforeAutospacing="0" w:afterAutospacing="0" w:line="560" w:lineRule="exact"/>
        <w:ind w:firstLine="643" w:firstLineChars="200"/>
        <w:rPr>
          <w:rFonts w:hint="eastAsia" w:ascii="仿宋" w:hAnsi="仿宋" w:eastAsia="仿宋" w:cs="仿宋"/>
          <w:sz w:val="32"/>
          <w:szCs w:val="32"/>
          <w:highlight w:val="none"/>
        </w:rPr>
      </w:pPr>
      <w:bookmarkStart w:id="67" w:name="_Toc501368363"/>
      <w:bookmarkStart w:id="68" w:name="_Toc6602"/>
      <w:bookmarkStart w:id="69" w:name="_Toc83631048"/>
      <w:bookmarkStart w:id="70" w:name="_Toc12802"/>
      <w:bookmarkStart w:id="71" w:name="_Toc2211"/>
      <w:bookmarkStart w:id="72" w:name="_Toc10985"/>
      <w:bookmarkStart w:id="73" w:name="_Toc24878"/>
      <w:bookmarkStart w:id="74" w:name="_Toc83630434"/>
      <w:r>
        <w:rPr>
          <w:rFonts w:hint="eastAsia" w:ascii="仿宋" w:hAnsi="仿宋" w:eastAsia="仿宋" w:cs="仿宋"/>
          <w:sz w:val="32"/>
          <w:szCs w:val="32"/>
          <w:highlight w:val="none"/>
          <w:lang w:val="en-US" w:eastAsia="zh-CN"/>
        </w:rPr>
        <w:t>六</w:t>
      </w:r>
      <w:r>
        <w:rPr>
          <w:rFonts w:hint="eastAsia" w:ascii="仿宋" w:hAnsi="仿宋" w:eastAsia="仿宋" w:cs="仿宋"/>
          <w:sz w:val="32"/>
          <w:szCs w:val="32"/>
          <w:highlight w:val="none"/>
        </w:rPr>
        <w:t>、项目综合</w:t>
      </w:r>
      <w:bookmarkEnd w:id="67"/>
      <w:bookmarkEnd w:id="68"/>
      <w:r>
        <w:rPr>
          <w:rFonts w:hint="eastAsia" w:ascii="仿宋" w:hAnsi="仿宋" w:eastAsia="仿宋" w:cs="仿宋"/>
          <w:sz w:val="32"/>
          <w:szCs w:val="32"/>
          <w:highlight w:val="none"/>
          <w:lang w:eastAsia="zh-CN"/>
        </w:rPr>
        <w:t>评估</w:t>
      </w:r>
      <w:r>
        <w:rPr>
          <w:rFonts w:hint="eastAsia" w:ascii="仿宋" w:hAnsi="仿宋" w:eastAsia="仿宋" w:cs="仿宋"/>
          <w:sz w:val="32"/>
          <w:szCs w:val="32"/>
          <w:highlight w:val="none"/>
        </w:rPr>
        <w:t>结论和</w:t>
      </w:r>
      <w:r>
        <w:rPr>
          <w:rFonts w:hint="eastAsia" w:ascii="仿宋" w:hAnsi="仿宋" w:eastAsia="仿宋" w:cs="仿宋"/>
          <w:sz w:val="32"/>
          <w:szCs w:val="32"/>
          <w:highlight w:val="none"/>
          <w:lang w:eastAsia="zh-CN"/>
        </w:rPr>
        <w:t>评估</w:t>
      </w:r>
      <w:r>
        <w:rPr>
          <w:rFonts w:hint="eastAsia" w:ascii="仿宋" w:hAnsi="仿宋" w:eastAsia="仿宋" w:cs="仿宋"/>
          <w:sz w:val="32"/>
          <w:szCs w:val="32"/>
          <w:highlight w:val="none"/>
        </w:rPr>
        <w:t>等级</w:t>
      </w:r>
      <w:bookmarkEnd w:id="69"/>
      <w:bookmarkEnd w:id="70"/>
      <w:bookmarkEnd w:id="71"/>
      <w:bookmarkEnd w:id="72"/>
      <w:bookmarkEnd w:id="73"/>
      <w:bookmarkEnd w:id="74"/>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val="en-US" w:eastAsia="zh-CN"/>
        </w:rPr>
      </w:pPr>
      <w:bookmarkStart w:id="75" w:name="_Toc501368364"/>
      <w:r>
        <w:rPr>
          <w:rFonts w:hint="eastAsia" w:ascii="仿宋" w:hAnsi="仿宋" w:eastAsia="仿宋" w:cs="仿宋"/>
          <w:sz w:val="30"/>
          <w:szCs w:val="30"/>
          <w:highlight w:val="none"/>
        </w:rPr>
        <w:t>1.</w:t>
      </w:r>
      <w:r>
        <w:rPr>
          <w:rFonts w:hint="eastAsia" w:ascii="仿宋" w:hAnsi="仿宋" w:eastAsia="仿宋" w:cs="仿宋"/>
          <w:sz w:val="30"/>
          <w:szCs w:val="30"/>
          <w:highlight w:val="none"/>
          <w:lang w:val="en-US" w:eastAsia="zh-CN"/>
        </w:rPr>
        <w:t>确定</w:t>
      </w:r>
      <w:bookmarkEnd w:id="75"/>
      <w:r>
        <w:rPr>
          <w:rFonts w:hint="eastAsia" w:ascii="仿宋" w:hAnsi="仿宋" w:eastAsia="仿宋" w:cs="仿宋"/>
          <w:sz w:val="30"/>
          <w:szCs w:val="30"/>
          <w:highlight w:val="none"/>
          <w:lang w:eastAsia="zh-CN"/>
        </w:rPr>
        <w:t>评估</w:t>
      </w:r>
      <w:r>
        <w:rPr>
          <w:rFonts w:hint="eastAsia" w:ascii="仿宋" w:hAnsi="仿宋" w:eastAsia="仿宋" w:cs="仿宋"/>
          <w:sz w:val="30"/>
          <w:szCs w:val="30"/>
          <w:highlight w:val="none"/>
          <w:lang w:val="en-US" w:eastAsia="zh-CN"/>
        </w:rPr>
        <w:t>分值：96分</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rPr>
        <w:t>2.</w:t>
      </w:r>
      <w:r>
        <w:rPr>
          <w:rFonts w:hint="eastAsia" w:ascii="仿宋" w:hAnsi="仿宋" w:eastAsia="仿宋" w:cs="仿宋"/>
          <w:sz w:val="30"/>
          <w:szCs w:val="30"/>
          <w:highlight w:val="none"/>
          <w:lang w:eastAsia="zh-CN"/>
        </w:rPr>
        <w:t>评估</w:t>
      </w:r>
      <w:r>
        <w:rPr>
          <w:rFonts w:hint="eastAsia" w:ascii="仿宋" w:hAnsi="仿宋" w:eastAsia="仿宋" w:cs="仿宋"/>
          <w:sz w:val="30"/>
          <w:szCs w:val="30"/>
          <w:highlight w:val="none"/>
        </w:rPr>
        <w:t>等级</w:t>
      </w:r>
      <w:r>
        <w:rPr>
          <w:rFonts w:hint="eastAsia" w:ascii="仿宋" w:hAnsi="仿宋" w:eastAsia="仿宋" w:cs="仿宋"/>
          <w:sz w:val="30"/>
          <w:szCs w:val="30"/>
          <w:highlight w:val="none"/>
          <w:lang w:eastAsia="zh-CN"/>
        </w:rPr>
        <w:t>：</w:t>
      </w:r>
      <w:r>
        <w:rPr>
          <w:rFonts w:hint="eastAsia" w:ascii="仿宋" w:hAnsi="仿宋" w:eastAsia="仿宋" w:cs="仿宋"/>
          <w:sz w:val="30"/>
          <w:szCs w:val="30"/>
          <w:highlight w:val="none"/>
          <w:lang w:val="en-US" w:eastAsia="zh-CN"/>
        </w:rPr>
        <w:t>优</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rPr>
      </w:pPr>
      <w:r>
        <w:rPr>
          <w:rFonts w:hint="eastAsia" w:ascii="仿宋" w:hAnsi="仿宋" w:eastAsia="仿宋" w:cs="仿宋"/>
          <w:sz w:val="30"/>
          <w:szCs w:val="30"/>
          <w:highlight w:val="none"/>
        </w:rPr>
        <w:t>3.项目综合</w:t>
      </w:r>
      <w:r>
        <w:rPr>
          <w:rFonts w:hint="eastAsia" w:ascii="仿宋" w:hAnsi="仿宋" w:eastAsia="仿宋" w:cs="仿宋"/>
          <w:sz w:val="30"/>
          <w:szCs w:val="30"/>
          <w:highlight w:val="none"/>
          <w:lang w:eastAsia="zh-CN"/>
        </w:rPr>
        <w:t>评估</w:t>
      </w:r>
      <w:r>
        <w:rPr>
          <w:rFonts w:hint="eastAsia" w:ascii="仿宋" w:hAnsi="仿宋" w:eastAsia="仿宋" w:cs="仿宋"/>
          <w:sz w:val="30"/>
          <w:szCs w:val="30"/>
          <w:highlight w:val="none"/>
        </w:rPr>
        <w:t>结论</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rPr>
      </w:pPr>
      <w:bookmarkStart w:id="76" w:name="_Toc83631049"/>
      <w:bookmarkStart w:id="77" w:name="_Toc83630435"/>
      <w:bookmarkStart w:id="78" w:name="_Toc28969"/>
      <w:bookmarkStart w:id="79" w:name="_Toc25027"/>
      <w:r>
        <w:rPr>
          <w:rFonts w:hint="eastAsia" w:ascii="仿宋" w:hAnsi="仿宋" w:eastAsia="仿宋" w:cs="仿宋"/>
          <w:sz w:val="30"/>
          <w:szCs w:val="30"/>
          <w:highlight w:val="none"/>
        </w:rPr>
        <w:t>该项目严格</w:t>
      </w:r>
      <w:r>
        <w:rPr>
          <w:rFonts w:hint="eastAsia" w:ascii="仿宋" w:hAnsi="仿宋" w:eastAsia="仿宋" w:cs="仿宋"/>
          <w:sz w:val="30"/>
          <w:szCs w:val="30"/>
          <w:highlight w:val="none"/>
          <w:lang w:val="en-US" w:eastAsia="zh-CN"/>
        </w:rPr>
        <w:t>专项债券</w:t>
      </w:r>
      <w:r>
        <w:rPr>
          <w:rFonts w:hint="eastAsia" w:ascii="仿宋" w:hAnsi="仿宋" w:eastAsia="仿宋" w:cs="仿宋"/>
          <w:sz w:val="30"/>
          <w:szCs w:val="30"/>
          <w:highlight w:val="none"/>
        </w:rPr>
        <w:t>资金使用管理，</w:t>
      </w:r>
      <w:bookmarkEnd w:id="76"/>
      <w:bookmarkEnd w:id="77"/>
      <w:bookmarkEnd w:id="78"/>
      <w:bookmarkEnd w:id="79"/>
      <w:r>
        <w:rPr>
          <w:rFonts w:hint="eastAsia" w:ascii="仿宋" w:hAnsi="仿宋" w:eastAsia="仿宋" w:cs="仿宋"/>
          <w:sz w:val="30"/>
          <w:szCs w:val="30"/>
          <w:highlight w:val="none"/>
          <w:lang w:val="en-US" w:eastAsia="zh-CN"/>
        </w:rPr>
        <w:t>专项债券资金于2022年度完成支付，全部为工程款支出，</w:t>
      </w:r>
      <w:r>
        <w:rPr>
          <w:rFonts w:hint="eastAsia" w:ascii="仿宋" w:hAnsi="仿宋" w:eastAsia="仿宋" w:cs="仿宋"/>
          <w:sz w:val="30"/>
          <w:szCs w:val="30"/>
          <w:highlight w:val="none"/>
        </w:rPr>
        <w:t>专款专用</w:t>
      </w:r>
      <w:r>
        <w:rPr>
          <w:rFonts w:hint="eastAsia" w:ascii="仿宋" w:hAnsi="仿宋" w:eastAsia="仿宋" w:cs="仿宋"/>
          <w:sz w:val="30"/>
          <w:szCs w:val="30"/>
          <w:highlight w:val="none"/>
          <w:lang w:eastAsia="zh-CN"/>
        </w:rPr>
        <w:t>，</w:t>
      </w:r>
      <w:r>
        <w:rPr>
          <w:rFonts w:hint="eastAsia" w:ascii="仿宋" w:hAnsi="仿宋" w:eastAsia="仿宋" w:cs="仿宋"/>
          <w:sz w:val="30"/>
          <w:szCs w:val="30"/>
          <w:highlight w:val="none"/>
          <w:lang w:val="en-US" w:eastAsia="zh-CN"/>
        </w:rPr>
        <w:t>无结余资金</w:t>
      </w:r>
      <w:r>
        <w:rPr>
          <w:rFonts w:hint="eastAsia" w:ascii="仿宋" w:hAnsi="仿宋" w:eastAsia="仿宋" w:cs="仿宋"/>
          <w:sz w:val="30"/>
          <w:szCs w:val="30"/>
          <w:highlight w:val="none"/>
          <w:lang w:eastAsia="zh-CN"/>
        </w:rPr>
        <w:t>；</w:t>
      </w:r>
      <w:r>
        <w:rPr>
          <w:rFonts w:hint="eastAsia" w:ascii="仿宋" w:hAnsi="仿宋" w:eastAsia="仿宋" w:cs="仿宋"/>
          <w:sz w:val="30"/>
          <w:szCs w:val="30"/>
          <w:highlight w:val="none"/>
          <w:lang w:val="en-US" w:eastAsia="zh-CN"/>
        </w:rPr>
        <w:t>截至评估日，正在进行项目建设。通过项目实施，将优化和完善老旧小区各项设施，补齐功能短板，完善社区治理体系，整治环境卫生，提升绿化水平，优化小区整体环境，切实增强群众获得感、幸福感、安全感，有利于推动当地社会和谐与稳定，预期社会效益和可持续影响效果较好</w:t>
      </w:r>
      <w:r>
        <w:rPr>
          <w:rFonts w:hint="eastAsia" w:ascii="仿宋" w:hAnsi="仿宋" w:eastAsia="仿宋" w:cs="仿宋"/>
          <w:sz w:val="30"/>
          <w:szCs w:val="30"/>
          <w:highlight w:val="none"/>
        </w:rPr>
        <w:t>。</w:t>
      </w:r>
    </w:p>
    <w:p>
      <w:pPr>
        <w:pStyle w:val="3"/>
        <w:pageBreakBefore w:val="0"/>
        <w:kinsoku/>
        <w:wordWrap/>
        <w:overflowPunct/>
        <w:topLinePunct w:val="0"/>
        <w:autoSpaceDE/>
        <w:autoSpaceDN/>
        <w:bidi w:val="0"/>
        <w:adjustRightInd/>
        <w:snapToGrid/>
        <w:spacing w:beforeAutospacing="0" w:afterAutospacing="0" w:line="560" w:lineRule="exact"/>
        <w:ind w:firstLine="643" w:firstLineChars="200"/>
        <w:rPr>
          <w:rFonts w:hint="eastAsia" w:ascii="仿宋" w:hAnsi="仿宋" w:eastAsia="仿宋" w:cs="仿宋"/>
          <w:bCs/>
          <w:sz w:val="32"/>
          <w:szCs w:val="32"/>
          <w:highlight w:val="none"/>
        </w:rPr>
      </w:pPr>
      <w:bookmarkStart w:id="80" w:name="_Toc83630436"/>
      <w:bookmarkStart w:id="81" w:name="_Toc30518"/>
      <w:bookmarkStart w:id="82" w:name="_Toc7207"/>
      <w:bookmarkStart w:id="83" w:name="_Toc27278"/>
      <w:bookmarkStart w:id="84" w:name="_Toc22941"/>
      <w:bookmarkStart w:id="85" w:name="_Toc83631050"/>
      <w:r>
        <w:rPr>
          <w:rFonts w:hint="eastAsia" w:ascii="仿宋" w:hAnsi="仿宋" w:eastAsia="仿宋" w:cs="仿宋"/>
          <w:bCs/>
          <w:sz w:val="32"/>
          <w:szCs w:val="32"/>
          <w:highlight w:val="none"/>
          <w:lang w:val="en-US" w:eastAsia="zh-CN"/>
        </w:rPr>
        <w:t>七</w:t>
      </w:r>
      <w:r>
        <w:rPr>
          <w:rFonts w:hint="eastAsia" w:ascii="仿宋" w:hAnsi="仿宋" w:eastAsia="仿宋" w:cs="仿宋"/>
          <w:bCs/>
          <w:sz w:val="32"/>
          <w:szCs w:val="32"/>
          <w:highlight w:val="none"/>
        </w:rPr>
        <w:t>、存在的问题</w:t>
      </w:r>
      <w:bookmarkEnd w:id="80"/>
      <w:bookmarkEnd w:id="81"/>
      <w:bookmarkEnd w:id="82"/>
      <w:bookmarkEnd w:id="83"/>
      <w:bookmarkEnd w:id="84"/>
      <w:bookmarkEnd w:id="85"/>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rPr>
      </w:pPr>
      <w:r>
        <w:rPr>
          <w:rFonts w:hint="eastAsia" w:ascii="仿宋" w:hAnsi="仿宋" w:eastAsia="仿宋" w:cs="仿宋"/>
          <w:sz w:val="30"/>
          <w:szCs w:val="30"/>
          <w:highlight w:val="none"/>
        </w:rPr>
        <w:t>该项目取得的成绩是肯定的，但在实现绩效目标过程中也存在一些不足之处，具体归纳为：</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lang w:eastAsia="zh-CN"/>
        </w:rPr>
      </w:pPr>
      <w:bookmarkStart w:id="86" w:name="_Toc23781"/>
      <w:bookmarkStart w:id="87" w:name="_Toc83631051"/>
      <w:bookmarkStart w:id="88" w:name="_Toc6530"/>
      <w:bookmarkStart w:id="89" w:name="_Toc83630437"/>
      <w:r>
        <w:rPr>
          <w:rFonts w:hint="eastAsia" w:ascii="仿宋" w:hAnsi="仿宋" w:eastAsia="仿宋" w:cs="仿宋"/>
          <w:sz w:val="30"/>
          <w:szCs w:val="30"/>
          <w:highlight w:val="none"/>
          <w:lang w:eastAsia="zh-CN"/>
        </w:rPr>
        <w:t>（一）绩效指标设定</w:t>
      </w:r>
      <w:r>
        <w:rPr>
          <w:rFonts w:hint="eastAsia" w:ascii="仿宋" w:hAnsi="仿宋" w:eastAsia="仿宋" w:cs="仿宋"/>
          <w:sz w:val="30"/>
          <w:szCs w:val="30"/>
          <w:highlight w:val="none"/>
          <w:lang w:val="en-US" w:eastAsia="zh-CN"/>
        </w:rPr>
        <w:t>方面</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lang w:val="en-US" w:eastAsia="zh-CN"/>
        </w:rPr>
        <w:t>项目绩效自评表中绩效指标的明确性有待加强，</w:t>
      </w:r>
      <w:r>
        <w:rPr>
          <w:rFonts w:hint="eastAsia" w:ascii="仿宋" w:hAnsi="仿宋" w:eastAsia="仿宋" w:cs="仿宋"/>
          <w:sz w:val="30"/>
          <w:szCs w:val="30"/>
          <w:highlight w:val="none"/>
          <w:lang w:eastAsia="zh-CN"/>
        </w:rPr>
        <w:t>产出指标估计不足，指标</w:t>
      </w:r>
      <w:r>
        <w:rPr>
          <w:rFonts w:hint="eastAsia" w:ascii="仿宋" w:hAnsi="仿宋" w:eastAsia="仿宋" w:cs="仿宋"/>
          <w:sz w:val="30"/>
          <w:szCs w:val="30"/>
          <w:highlight w:val="none"/>
          <w:lang w:val="en-US" w:eastAsia="zh-CN"/>
        </w:rPr>
        <w:t>设置</w:t>
      </w:r>
      <w:r>
        <w:rPr>
          <w:rFonts w:hint="eastAsia" w:ascii="仿宋" w:hAnsi="仿宋" w:eastAsia="仿宋" w:cs="仿宋"/>
          <w:sz w:val="30"/>
          <w:szCs w:val="30"/>
          <w:highlight w:val="none"/>
          <w:lang w:eastAsia="zh-CN"/>
        </w:rPr>
        <w:t>不够细化，指标值</w:t>
      </w:r>
      <w:r>
        <w:rPr>
          <w:rFonts w:hint="eastAsia" w:ascii="仿宋" w:hAnsi="仿宋" w:eastAsia="仿宋" w:cs="仿宋"/>
          <w:sz w:val="30"/>
          <w:szCs w:val="30"/>
          <w:highlight w:val="none"/>
          <w:lang w:val="en-US" w:eastAsia="zh-CN"/>
        </w:rPr>
        <w:t>未能与年度工作任务相匹配，不利于考核年度任务完成情况</w:t>
      </w:r>
      <w:r>
        <w:rPr>
          <w:rFonts w:hint="eastAsia" w:ascii="仿宋" w:hAnsi="仿宋" w:eastAsia="仿宋" w:cs="仿宋"/>
          <w:sz w:val="30"/>
          <w:szCs w:val="30"/>
          <w:highlight w:val="none"/>
          <w:lang w:eastAsia="zh-CN"/>
        </w:rPr>
        <w:t>。</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（二）项目档案保管情况</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项目实施单位项目档案资料管理工作有待加强，项目施工合同补充协议对项目工期进行延期，但无延期原因的说明材料。</w:t>
      </w:r>
    </w:p>
    <w:p>
      <w:pPr>
        <w:pStyle w:val="3"/>
        <w:pageBreakBefore w:val="0"/>
        <w:kinsoku/>
        <w:wordWrap/>
        <w:overflowPunct/>
        <w:topLinePunct w:val="0"/>
        <w:autoSpaceDE/>
        <w:autoSpaceDN/>
        <w:bidi w:val="0"/>
        <w:adjustRightInd/>
        <w:snapToGrid/>
        <w:spacing w:beforeAutospacing="0" w:afterAutospacing="0" w:line="560" w:lineRule="exact"/>
        <w:ind w:firstLine="643" w:firstLineChars="200"/>
        <w:rPr>
          <w:rFonts w:hint="eastAsia" w:ascii="仿宋" w:hAnsi="仿宋" w:eastAsia="仿宋" w:cs="仿宋"/>
          <w:bCs/>
          <w:sz w:val="32"/>
          <w:szCs w:val="32"/>
          <w:highlight w:val="none"/>
          <w:lang w:val="en-US" w:eastAsia="zh-CN"/>
        </w:rPr>
      </w:pPr>
      <w:r>
        <w:rPr>
          <w:rFonts w:hint="eastAsia" w:ascii="仿宋" w:hAnsi="仿宋" w:eastAsia="仿宋" w:cs="仿宋"/>
          <w:bCs/>
          <w:sz w:val="32"/>
          <w:szCs w:val="32"/>
          <w:highlight w:val="none"/>
          <w:lang w:val="en-US" w:eastAsia="zh-CN"/>
        </w:rPr>
        <w:t>八、建议及改进措施</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（一）针对项目绩效指标未能与年度工作任务相匹配方面问题，建议项目实施单位细化绩效指标设置，对跨年度实施的项目，明确年度工作任务，制定合理的年度目标任务，从而更好的考核项目完成进度情况。</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 xml:space="preserve">（二）针对项目档案管理方面，建议项目实施单位加强档案管理审核工作，增强档案资料的完整度。   </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 xml:space="preserve"> </w:t>
      </w:r>
    </w:p>
    <w:p>
      <w:pPr>
        <w:pStyle w:val="2"/>
        <w:rPr>
          <w:rFonts w:hint="eastAsia" w:ascii="仿宋" w:hAnsi="仿宋" w:eastAsia="仿宋" w:cs="仿宋"/>
          <w:sz w:val="30"/>
          <w:szCs w:val="30"/>
          <w:highlight w:val="none"/>
          <w:lang w:val="en-US" w:eastAsia="zh-CN"/>
        </w:rPr>
      </w:pPr>
    </w:p>
    <w:p>
      <w:pPr>
        <w:rPr>
          <w:rFonts w:hint="eastAsia"/>
          <w:lang w:val="en-US" w:eastAsia="zh-CN"/>
        </w:rPr>
      </w:pPr>
    </w:p>
    <w:bookmarkEnd w:id="86"/>
    <w:bookmarkEnd w:id="87"/>
    <w:bookmarkEnd w:id="88"/>
    <w:bookmarkEnd w:id="89"/>
    <w:p>
      <w:pPr>
        <w:pStyle w:val="35"/>
        <w:rPr>
          <w:rFonts w:hint="eastAsia" w:ascii="仿宋" w:hAnsi="仿宋" w:eastAsia="仿宋" w:cs="仿宋"/>
          <w:sz w:val="30"/>
          <w:szCs w:val="30"/>
          <w:highlight w:val="none"/>
          <w:lang w:val="en-US" w:eastAsia="zh-CN"/>
        </w:rPr>
      </w:pPr>
    </w:p>
    <w:p>
      <w:pPr>
        <w:ind w:firstLine="7200" w:firstLineChars="2400"/>
        <w:rPr>
          <w:rFonts w:hint="eastAsia"/>
          <w:lang w:val="en-US" w:eastAsia="zh-CN"/>
        </w:rPr>
      </w:pPr>
      <w:r>
        <w:rPr>
          <w:rFonts w:hint="eastAsia" w:ascii="仿宋" w:hAnsi="仿宋" w:eastAsia="仿宋" w:cs="仿宋"/>
          <w:sz w:val="30"/>
          <w:szCs w:val="30"/>
          <w:highlight w:val="none"/>
          <w:lang w:val="en-US" w:eastAsia="zh-CN"/>
        </w:rPr>
        <w:t>曲阳县财政局</w:t>
      </w:r>
    </w:p>
    <w:p>
      <w:pPr>
        <w:pageBreakBefore w:val="0"/>
        <w:kinsoku/>
        <w:wordWrap/>
        <w:overflowPunct/>
        <w:topLinePunct w:val="0"/>
        <w:autoSpaceDE/>
        <w:autoSpaceDN/>
        <w:bidi w:val="0"/>
        <w:adjustRightInd/>
        <w:snapToGrid/>
        <w:spacing w:line="560" w:lineRule="exact"/>
        <w:ind w:firstLine="7200" w:firstLineChars="2400"/>
        <w:rPr>
          <w:rFonts w:hint="eastAsia" w:ascii="仿宋" w:hAnsi="仿宋" w:eastAsia="仿宋" w:cs="仿宋"/>
          <w:sz w:val="30"/>
          <w:szCs w:val="30"/>
          <w:highlight w:val="none"/>
          <w:lang w:eastAsia="zh-CN"/>
        </w:rPr>
      </w:pPr>
      <w:r>
        <w:rPr>
          <w:rFonts w:hint="eastAsia" w:ascii="仿宋" w:hAnsi="仿宋" w:eastAsia="仿宋" w:cs="仿宋"/>
          <w:sz w:val="30"/>
          <w:szCs w:val="30"/>
          <w:highlight w:val="none"/>
          <w:lang w:eastAsia="zh-CN"/>
        </w:rPr>
        <w:t>2023年</w:t>
      </w:r>
      <w:r>
        <w:rPr>
          <w:rFonts w:hint="eastAsia" w:ascii="仿宋" w:hAnsi="仿宋" w:eastAsia="仿宋" w:cs="仿宋"/>
          <w:sz w:val="30"/>
          <w:szCs w:val="30"/>
          <w:highlight w:val="none"/>
          <w:lang w:val="en-US" w:eastAsia="zh-CN"/>
        </w:rPr>
        <w:t>6</w:t>
      </w:r>
      <w:r>
        <w:rPr>
          <w:rFonts w:hint="eastAsia" w:ascii="仿宋" w:hAnsi="仿宋" w:eastAsia="仿宋" w:cs="仿宋"/>
          <w:sz w:val="30"/>
          <w:szCs w:val="30"/>
          <w:highlight w:val="none"/>
          <w:lang w:eastAsia="zh-CN"/>
        </w:rPr>
        <w:t>月</w:t>
      </w:r>
      <w:r>
        <w:rPr>
          <w:rFonts w:hint="eastAsia" w:ascii="仿宋" w:hAnsi="仿宋" w:eastAsia="仿宋" w:cs="仿宋"/>
          <w:sz w:val="30"/>
          <w:szCs w:val="30"/>
          <w:highlight w:val="none"/>
          <w:lang w:val="en-US" w:eastAsia="zh-CN"/>
        </w:rPr>
        <w:t>5</w:t>
      </w:r>
      <w:r>
        <w:rPr>
          <w:rFonts w:hint="eastAsia" w:ascii="仿宋" w:hAnsi="仿宋" w:eastAsia="仿宋" w:cs="仿宋"/>
          <w:sz w:val="30"/>
          <w:szCs w:val="30"/>
          <w:highlight w:val="none"/>
          <w:lang w:eastAsia="zh-CN"/>
        </w:rPr>
        <w:t>日</w:t>
      </w:r>
    </w:p>
    <w:p>
      <w:pPr>
        <w:pageBreakBefore w:val="0"/>
        <w:kinsoku/>
        <w:wordWrap/>
        <w:overflowPunct/>
        <w:topLinePunct w:val="0"/>
        <w:autoSpaceDE/>
        <w:autoSpaceDN/>
        <w:bidi w:val="0"/>
        <w:adjustRightInd/>
        <w:snapToGrid/>
        <w:spacing w:line="560" w:lineRule="exact"/>
        <w:ind w:firstLine="6300" w:firstLineChars="2100"/>
        <w:rPr>
          <w:rFonts w:hint="eastAsia" w:ascii="仿宋" w:hAnsi="仿宋" w:eastAsia="仿宋" w:cs="仿宋"/>
          <w:sz w:val="30"/>
          <w:szCs w:val="30"/>
          <w:highlight w:val="none"/>
          <w:lang w:eastAsia="zh-CN"/>
        </w:rPr>
      </w:pPr>
    </w:p>
    <w:sectPr>
      <w:pgSz w:w="11906" w:h="16838"/>
      <w:pgMar w:top="964" w:right="1134" w:bottom="964" w:left="1134" w:header="1134" w:footer="680" w:gutter="0"/>
      <w:pgBorders>
        <w:top w:val="none" w:sz="0" w:space="0"/>
        <w:left w:val="none" w:sz="0" w:space="0"/>
        <w:bottom w:val="none" w:sz="0" w:space="0"/>
        <w:right w:val="none" w:sz="0" w:space="0"/>
      </w:pgBorders>
      <w:pgNumType w:start="1"/>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319868D"/>
    <w:multiLevelType w:val="singleLevel"/>
    <w:tmpl w:val="D319868D"/>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5"/>
  <w:drawingGridHorizontalSpacing w:val="105"/>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UyYWFlYmY1MDgzZjVkMTIyZDNjNGU3MzRhOTU3MzYifQ=="/>
  </w:docVars>
  <w:rsids>
    <w:rsidRoot w:val="00172A27"/>
    <w:rsid w:val="00001E81"/>
    <w:rsid w:val="00002FE3"/>
    <w:rsid w:val="0001237A"/>
    <w:rsid w:val="00012B1F"/>
    <w:rsid w:val="00013039"/>
    <w:rsid w:val="00016780"/>
    <w:rsid w:val="00016877"/>
    <w:rsid w:val="00022151"/>
    <w:rsid w:val="00025856"/>
    <w:rsid w:val="0002621F"/>
    <w:rsid w:val="00033AA9"/>
    <w:rsid w:val="0003796B"/>
    <w:rsid w:val="00040467"/>
    <w:rsid w:val="00045C4A"/>
    <w:rsid w:val="00051E6A"/>
    <w:rsid w:val="000526B1"/>
    <w:rsid w:val="000545E4"/>
    <w:rsid w:val="00061A9C"/>
    <w:rsid w:val="00061CE6"/>
    <w:rsid w:val="0006219F"/>
    <w:rsid w:val="000708F8"/>
    <w:rsid w:val="0007441F"/>
    <w:rsid w:val="0007465C"/>
    <w:rsid w:val="00074D40"/>
    <w:rsid w:val="000755AD"/>
    <w:rsid w:val="00075E9A"/>
    <w:rsid w:val="00077141"/>
    <w:rsid w:val="00085E3D"/>
    <w:rsid w:val="0009369D"/>
    <w:rsid w:val="0009497A"/>
    <w:rsid w:val="00097090"/>
    <w:rsid w:val="000A0869"/>
    <w:rsid w:val="000A1167"/>
    <w:rsid w:val="000A3E44"/>
    <w:rsid w:val="000A4680"/>
    <w:rsid w:val="000B0D5C"/>
    <w:rsid w:val="000B155D"/>
    <w:rsid w:val="000B1E0C"/>
    <w:rsid w:val="000B20C4"/>
    <w:rsid w:val="000B2F28"/>
    <w:rsid w:val="000C0219"/>
    <w:rsid w:val="000C04B4"/>
    <w:rsid w:val="000D406E"/>
    <w:rsid w:val="000D62DD"/>
    <w:rsid w:val="000D7C44"/>
    <w:rsid w:val="000D7C62"/>
    <w:rsid w:val="000E2FF4"/>
    <w:rsid w:val="000E55B5"/>
    <w:rsid w:val="000E7041"/>
    <w:rsid w:val="000F06E0"/>
    <w:rsid w:val="000F4DB6"/>
    <w:rsid w:val="000F6F4D"/>
    <w:rsid w:val="000F7314"/>
    <w:rsid w:val="00102339"/>
    <w:rsid w:val="00103596"/>
    <w:rsid w:val="0010607C"/>
    <w:rsid w:val="0010686E"/>
    <w:rsid w:val="00107E9D"/>
    <w:rsid w:val="001118A5"/>
    <w:rsid w:val="001129D8"/>
    <w:rsid w:val="00117D1C"/>
    <w:rsid w:val="00123040"/>
    <w:rsid w:val="00123913"/>
    <w:rsid w:val="00127425"/>
    <w:rsid w:val="001337FE"/>
    <w:rsid w:val="00135522"/>
    <w:rsid w:val="0014634C"/>
    <w:rsid w:val="001471EC"/>
    <w:rsid w:val="00151E0E"/>
    <w:rsid w:val="00153236"/>
    <w:rsid w:val="00155639"/>
    <w:rsid w:val="00157B84"/>
    <w:rsid w:val="00161CEF"/>
    <w:rsid w:val="00163C86"/>
    <w:rsid w:val="0016529A"/>
    <w:rsid w:val="0016552F"/>
    <w:rsid w:val="00165B00"/>
    <w:rsid w:val="00167578"/>
    <w:rsid w:val="00172A27"/>
    <w:rsid w:val="001730CC"/>
    <w:rsid w:val="00175C51"/>
    <w:rsid w:val="001775FA"/>
    <w:rsid w:val="00177706"/>
    <w:rsid w:val="00181EDE"/>
    <w:rsid w:val="00196D03"/>
    <w:rsid w:val="001973EC"/>
    <w:rsid w:val="001A0FA2"/>
    <w:rsid w:val="001A47A9"/>
    <w:rsid w:val="001A6DAC"/>
    <w:rsid w:val="001A6DCF"/>
    <w:rsid w:val="001A7692"/>
    <w:rsid w:val="001B348D"/>
    <w:rsid w:val="001B48F3"/>
    <w:rsid w:val="001B5178"/>
    <w:rsid w:val="001B55E7"/>
    <w:rsid w:val="001C05EB"/>
    <w:rsid w:val="001C0981"/>
    <w:rsid w:val="001C0A70"/>
    <w:rsid w:val="001C370C"/>
    <w:rsid w:val="001C5733"/>
    <w:rsid w:val="001C587B"/>
    <w:rsid w:val="001D420F"/>
    <w:rsid w:val="001D7CB3"/>
    <w:rsid w:val="001E3AEC"/>
    <w:rsid w:val="001E5575"/>
    <w:rsid w:val="001E6191"/>
    <w:rsid w:val="001E6D7F"/>
    <w:rsid w:val="001F37F7"/>
    <w:rsid w:val="001F3B46"/>
    <w:rsid w:val="002019BF"/>
    <w:rsid w:val="00204D34"/>
    <w:rsid w:val="00205B2A"/>
    <w:rsid w:val="002061DE"/>
    <w:rsid w:val="00206E4A"/>
    <w:rsid w:val="00211650"/>
    <w:rsid w:val="00212B85"/>
    <w:rsid w:val="00214D2D"/>
    <w:rsid w:val="00217674"/>
    <w:rsid w:val="002238F1"/>
    <w:rsid w:val="0022441E"/>
    <w:rsid w:val="002262ED"/>
    <w:rsid w:val="00227687"/>
    <w:rsid w:val="00231583"/>
    <w:rsid w:val="00231E73"/>
    <w:rsid w:val="00232C0B"/>
    <w:rsid w:val="00236FF9"/>
    <w:rsid w:val="002371BA"/>
    <w:rsid w:val="00241DDA"/>
    <w:rsid w:val="0024577B"/>
    <w:rsid w:val="002477B2"/>
    <w:rsid w:val="002478F4"/>
    <w:rsid w:val="002513BE"/>
    <w:rsid w:val="00256A4B"/>
    <w:rsid w:val="00264E36"/>
    <w:rsid w:val="00266F46"/>
    <w:rsid w:val="002678E2"/>
    <w:rsid w:val="0027048A"/>
    <w:rsid w:val="00270705"/>
    <w:rsid w:val="00271949"/>
    <w:rsid w:val="00274702"/>
    <w:rsid w:val="0027470D"/>
    <w:rsid w:val="002762DA"/>
    <w:rsid w:val="00280437"/>
    <w:rsid w:val="002837BF"/>
    <w:rsid w:val="0028433C"/>
    <w:rsid w:val="00287E1A"/>
    <w:rsid w:val="002938D8"/>
    <w:rsid w:val="00294650"/>
    <w:rsid w:val="00294ED2"/>
    <w:rsid w:val="00297960"/>
    <w:rsid w:val="002A4C4D"/>
    <w:rsid w:val="002A5E76"/>
    <w:rsid w:val="002A68A6"/>
    <w:rsid w:val="002B37B6"/>
    <w:rsid w:val="002B45E5"/>
    <w:rsid w:val="002C1CA4"/>
    <w:rsid w:val="002E02E3"/>
    <w:rsid w:val="002E2613"/>
    <w:rsid w:val="002E2C1A"/>
    <w:rsid w:val="002E45FD"/>
    <w:rsid w:val="002E7CB4"/>
    <w:rsid w:val="002F0A16"/>
    <w:rsid w:val="002F2D01"/>
    <w:rsid w:val="002F72F6"/>
    <w:rsid w:val="00303ADF"/>
    <w:rsid w:val="00306C5A"/>
    <w:rsid w:val="00307390"/>
    <w:rsid w:val="00307D5B"/>
    <w:rsid w:val="00311278"/>
    <w:rsid w:val="00313749"/>
    <w:rsid w:val="00313C79"/>
    <w:rsid w:val="0032011B"/>
    <w:rsid w:val="003225CE"/>
    <w:rsid w:val="00323DE4"/>
    <w:rsid w:val="00325654"/>
    <w:rsid w:val="00327721"/>
    <w:rsid w:val="00330324"/>
    <w:rsid w:val="00330AA2"/>
    <w:rsid w:val="003362FC"/>
    <w:rsid w:val="0033673E"/>
    <w:rsid w:val="00344370"/>
    <w:rsid w:val="00350222"/>
    <w:rsid w:val="00350722"/>
    <w:rsid w:val="00351B3C"/>
    <w:rsid w:val="00354F98"/>
    <w:rsid w:val="00355135"/>
    <w:rsid w:val="003559E9"/>
    <w:rsid w:val="00360C3A"/>
    <w:rsid w:val="00361A21"/>
    <w:rsid w:val="00361C36"/>
    <w:rsid w:val="00371E92"/>
    <w:rsid w:val="003722A1"/>
    <w:rsid w:val="00375B5C"/>
    <w:rsid w:val="003776F3"/>
    <w:rsid w:val="0038027C"/>
    <w:rsid w:val="00382AC7"/>
    <w:rsid w:val="0039160E"/>
    <w:rsid w:val="003918F6"/>
    <w:rsid w:val="003933E7"/>
    <w:rsid w:val="00395AAD"/>
    <w:rsid w:val="0039616C"/>
    <w:rsid w:val="00397291"/>
    <w:rsid w:val="00397784"/>
    <w:rsid w:val="003A468C"/>
    <w:rsid w:val="003A5D20"/>
    <w:rsid w:val="003B0599"/>
    <w:rsid w:val="003B506F"/>
    <w:rsid w:val="003B55FC"/>
    <w:rsid w:val="003C2817"/>
    <w:rsid w:val="003D5A13"/>
    <w:rsid w:val="003E4CEC"/>
    <w:rsid w:val="003E58F6"/>
    <w:rsid w:val="003F5AA4"/>
    <w:rsid w:val="0040171A"/>
    <w:rsid w:val="0040642B"/>
    <w:rsid w:val="00411120"/>
    <w:rsid w:val="00412B46"/>
    <w:rsid w:val="00421AA7"/>
    <w:rsid w:val="004220AA"/>
    <w:rsid w:val="0043069F"/>
    <w:rsid w:val="00431254"/>
    <w:rsid w:val="00432102"/>
    <w:rsid w:val="00435890"/>
    <w:rsid w:val="00437563"/>
    <w:rsid w:val="0045092F"/>
    <w:rsid w:val="0045268D"/>
    <w:rsid w:val="00455858"/>
    <w:rsid w:val="0045663E"/>
    <w:rsid w:val="00460005"/>
    <w:rsid w:val="004603D0"/>
    <w:rsid w:val="00464C8B"/>
    <w:rsid w:val="00464E7C"/>
    <w:rsid w:val="00471474"/>
    <w:rsid w:val="00474E33"/>
    <w:rsid w:val="00476CA9"/>
    <w:rsid w:val="00477A0A"/>
    <w:rsid w:val="004837D1"/>
    <w:rsid w:val="00484031"/>
    <w:rsid w:val="004949BB"/>
    <w:rsid w:val="00494D2C"/>
    <w:rsid w:val="00495D03"/>
    <w:rsid w:val="00496C00"/>
    <w:rsid w:val="004A6E0D"/>
    <w:rsid w:val="004B34D2"/>
    <w:rsid w:val="004B36EF"/>
    <w:rsid w:val="004B60B0"/>
    <w:rsid w:val="004C077B"/>
    <w:rsid w:val="004C16C1"/>
    <w:rsid w:val="004C42FF"/>
    <w:rsid w:val="004D3E55"/>
    <w:rsid w:val="004E1A51"/>
    <w:rsid w:val="004E4D3D"/>
    <w:rsid w:val="004E78EF"/>
    <w:rsid w:val="004F05AB"/>
    <w:rsid w:val="004F1584"/>
    <w:rsid w:val="004F6320"/>
    <w:rsid w:val="005035A0"/>
    <w:rsid w:val="00503F54"/>
    <w:rsid w:val="00504D24"/>
    <w:rsid w:val="00506B53"/>
    <w:rsid w:val="0050755A"/>
    <w:rsid w:val="00525EA6"/>
    <w:rsid w:val="00525F5C"/>
    <w:rsid w:val="005262DE"/>
    <w:rsid w:val="0053461A"/>
    <w:rsid w:val="00535CEF"/>
    <w:rsid w:val="005443B3"/>
    <w:rsid w:val="005511A7"/>
    <w:rsid w:val="0055165F"/>
    <w:rsid w:val="0055189E"/>
    <w:rsid w:val="005605EF"/>
    <w:rsid w:val="0056126D"/>
    <w:rsid w:val="00573D78"/>
    <w:rsid w:val="00577454"/>
    <w:rsid w:val="00580E0D"/>
    <w:rsid w:val="00581141"/>
    <w:rsid w:val="00587B04"/>
    <w:rsid w:val="00587DA6"/>
    <w:rsid w:val="00596FA9"/>
    <w:rsid w:val="005975A7"/>
    <w:rsid w:val="005A0AFA"/>
    <w:rsid w:val="005A1FA5"/>
    <w:rsid w:val="005A2809"/>
    <w:rsid w:val="005A4668"/>
    <w:rsid w:val="005B0ABE"/>
    <w:rsid w:val="005B2098"/>
    <w:rsid w:val="005B5D50"/>
    <w:rsid w:val="005B604D"/>
    <w:rsid w:val="005C6CF3"/>
    <w:rsid w:val="005D4511"/>
    <w:rsid w:val="005D511C"/>
    <w:rsid w:val="005D6237"/>
    <w:rsid w:val="005D6295"/>
    <w:rsid w:val="005E0754"/>
    <w:rsid w:val="005E12F4"/>
    <w:rsid w:val="005E4912"/>
    <w:rsid w:val="005E5A26"/>
    <w:rsid w:val="005E5BF3"/>
    <w:rsid w:val="005F109C"/>
    <w:rsid w:val="005F702A"/>
    <w:rsid w:val="0060053D"/>
    <w:rsid w:val="00601408"/>
    <w:rsid w:val="00606C8F"/>
    <w:rsid w:val="00610D3F"/>
    <w:rsid w:val="006153F8"/>
    <w:rsid w:val="00617B84"/>
    <w:rsid w:val="00620728"/>
    <w:rsid w:val="00626BD6"/>
    <w:rsid w:val="0063198C"/>
    <w:rsid w:val="0063202E"/>
    <w:rsid w:val="006334E7"/>
    <w:rsid w:val="00635205"/>
    <w:rsid w:val="006355C2"/>
    <w:rsid w:val="00637149"/>
    <w:rsid w:val="00640245"/>
    <w:rsid w:val="006474D2"/>
    <w:rsid w:val="006526B7"/>
    <w:rsid w:val="006528E7"/>
    <w:rsid w:val="0066512C"/>
    <w:rsid w:val="0066533C"/>
    <w:rsid w:val="006726C0"/>
    <w:rsid w:val="00677E52"/>
    <w:rsid w:val="0068590D"/>
    <w:rsid w:val="00685CC1"/>
    <w:rsid w:val="00687599"/>
    <w:rsid w:val="0069340F"/>
    <w:rsid w:val="00695DF0"/>
    <w:rsid w:val="006A1A90"/>
    <w:rsid w:val="006B14A2"/>
    <w:rsid w:val="006B6D32"/>
    <w:rsid w:val="006B7630"/>
    <w:rsid w:val="006C4007"/>
    <w:rsid w:val="006C4F4C"/>
    <w:rsid w:val="006C6718"/>
    <w:rsid w:val="006D0B17"/>
    <w:rsid w:val="006D102D"/>
    <w:rsid w:val="006D6EC8"/>
    <w:rsid w:val="006D7836"/>
    <w:rsid w:val="006E16C9"/>
    <w:rsid w:val="006E3BE1"/>
    <w:rsid w:val="006E6313"/>
    <w:rsid w:val="006E6AEF"/>
    <w:rsid w:val="006E7061"/>
    <w:rsid w:val="006F03CB"/>
    <w:rsid w:val="006F3E20"/>
    <w:rsid w:val="006F4C35"/>
    <w:rsid w:val="006F585B"/>
    <w:rsid w:val="00704022"/>
    <w:rsid w:val="00707385"/>
    <w:rsid w:val="007105B6"/>
    <w:rsid w:val="007118CE"/>
    <w:rsid w:val="0071448D"/>
    <w:rsid w:val="00717AF6"/>
    <w:rsid w:val="00725607"/>
    <w:rsid w:val="00726DC9"/>
    <w:rsid w:val="00730116"/>
    <w:rsid w:val="00731011"/>
    <w:rsid w:val="00732D83"/>
    <w:rsid w:val="00734070"/>
    <w:rsid w:val="0073497B"/>
    <w:rsid w:val="00735F2F"/>
    <w:rsid w:val="00743F08"/>
    <w:rsid w:val="00747C52"/>
    <w:rsid w:val="007511E3"/>
    <w:rsid w:val="0076471E"/>
    <w:rsid w:val="007762CE"/>
    <w:rsid w:val="00780B07"/>
    <w:rsid w:val="0078765B"/>
    <w:rsid w:val="00795A90"/>
    <w:rsid w:val="007A3B28"/>
    <w:rsid w:val="007A4F6D"/>
    <w:rsid w:val="007A6F84"/>
    <w:rsid w:val="007B3C17"/>
    <w:rsid w:val="007B7DF5"/>
    <w:rsid w:val="007B7E86"/>
    <w:rsid w:val="007C28A6"/>
    <w:rsid w:val="007C4661"/>
    <w:rsid w:val="007D2F68"/>
    <w:rsid w:val="007D3D44"/>
    <w:rsid w:val="007D560A"/>
    <w:rsid w:val="007D5CC0"/>
    <w:rsid w:val="007D6665"/>
    <w:rsid w:val="007D6692"/>
    <w:rsid w:val="007E2B66"/>
    <w:rsid w:val="007F0132"/>
    <w:rsid w:val="007F02D1"/>
    <w:rsid w:val="007F08E0"/>
    <w:rsid w:val="00803AB6"/>
    <w:rsid w:val="0080468A"/>
    <w:rsid w:val="00806336"/>
    <w:rsid w:val="0081237C"/>
    <w:rsid w:val="0081741F"/>
    <w:rsid w:val="008218D6"/>
    <w:rsid w:val="008252BD"/>
    <w:rsid w:val="008270C5"/>
    <w:rsid w:val="00827186"/>
    <w:rsid w:val="00827902"/>
    <w:rsid w:val="008317D2"/>
    <w:rsid w:val="00831E38"/>
    <w:rsid w:val="00833C82"/>
    <w:rsid w:val="00837564"/>
    <w:rsid w:val="0084040A"/>
    <w:rsid w:val="008418C4"/>
    <w:rsid w:val="0084365C"/>
    <w:rsid w:val="0084490C"/>
    <w:rsid w:val="00845C99"/>
    <w:rsid w:val="0084691A"/>
    <w:rsid w:val="00847274"/>
    <w:rsid w:val="008576D9"/>
    <w:rsid w:val="008626C1"/>
    <w:rsid w:val="00863446"/>
    <w:rsid w:val="00870DE1"/>
    <w:rsid w:val="00882D5B"/>
    <w:rsid w:val="00884402"/>
    <w:rsid w:val="00886A98"/>
    <w:rsid w:val="00890C6C"/>
    <w:rsid w:val="008A1ABB"/>
    <w:rsid w:val="008A2EDD"/>
    <w:rsid w:val="008A5256"/>
    <w:rsid w:val="008B11CB"/>
    <w:rsid w:val="008B2164"/>
    <w:rsid w:val="008B31E9"/>
    <w:rsid w:val="008B43F7"/>
    <w:rsid w:val="008B693D"/>
    <w:rsid w:val="008B6CC8"/>
    <w:rsid w:val="008B7945"/>
    <w:rsid w:val="008B7EA3"/>
    <w:rsid w:val="008C34DF"/>
    <w:rsid w:val="008C4E78"/>
    <w:rsid w:val="008C6BD0"/>
    <w:rsid w:val="008C71D6"/>
    <w:rsid w:val="008D2C8F"/>
    <w:rsid w:val="008D41B3"/>
    <w:rsid w:val="008D70D4"/>
    <w:rsid w:val="008D743B"/>
    <w:rsid w:val="008E0755"/>
    <w:rsid w:val="008F1A99"/>
    <w:rsid w:val="008F1BDB"/>
    <w:rsid w:val="008F2F12"/>
    <w:rsid w:val="00900305"/>
    <w:rsid w:val="0090326A"/>
    <w:rsid w:val="00904477"/>
    <w:rsid w:val="00904A01"/>
    <w:rsid w:val="00912D2E"/>
    <w:rsid w:val="00913359"/>
    <w:rsid w:val="00917252"/>
    <w:rsid w:val="00924661"/>
    <w:rsid w:val="00924F2A"/>
    <w:rsid w:val="00924F8C"/>
    <w:rsid w:val="009250C7"/>
    <w:rsid w:val="0092512C"/>
    <w:rsid w:val="009258A4"/>
    <w:rsid w:val="0093087E"/>
    <w:rsid w:val="00935039"/>
    <w:rsid w:val="00936FCD"/>
    <w:rsid w:val="009444BB"/>
    <w:rsid w:val="0094494F"/>
    <w:rsid w:val="009474C6"/>
    <w:rsid w:val="0095178C"/>
    <w:rsid w:val="00955E76"/>
    <w:rsid w:val="00955FD6"/>
    <w:rsid w:val="009737D8"/>
    <w:rsid w:val="00973C01"/>
    <w:rsid w:val="00977FBC"/>
    <w:rsid w:val="00980669"/>
    <w:rsid w:val="00984C16"/>
    <w:rsid w:val="00984CCE"/>
    <w:rsid w:val="00991A94"/>
    <w:rsid w:val="009944B4"/>
    <w:rsid w:val="0099465A"/>
    <w:rsid w:val="009959AC"/>
    <w:rsid w:val="009A0DF7"/>
    <w:rsid w:val="009A1232"/>
    <w:rsid w:val="009A3761"/>
    <w:rsid w:val="009B33B3"/>
    <w:rsid w:val="009B4723"/>
    <w:rsid w:val="009B53B3"/>
    <w:rsid w:val="009B61CB"/>
    <w:rsid w:val="009D06CE"/>
    <w:rsid w:val="009D4F29"/>
    <w:rsid w:val="009D5BA9"/>
    <w:rsid w:val="009E3A54"/>
    <w:rsid w:val="009E4C36"/>
    <w:rsid w:val="009E74B1"/>
    <w:rsid w:val="009F26D4"/>
    <w:rsid w:val="009F69B1"/>
    <w:rsid w:val="009F69D8"/>
    <w:rsid w:val="00A02D53"/>
    <w:rsid w:val="00A031AB"/>
    <w:rsid w:val="00A03725"/>
    <w:rsid w:val="00A05142"/>
    <w:rsid w:val="00A1354F"/>
    <w:rsid w:val="00A13D82"/>
    <w:rsid w:val="00A15FE0"/>
    <w:rsid w:val="00A216ED"/>
    <w:rsid w:val="00A315AC"/>
    <w:rsid w:val="00A35407"/>
    <w:rsid w:val="00A370C2"/>
    <w:rsid w:val="00A4018F"/>
    <w:rsid w:val="00A436E7"/>
    <w:rsid w:val="00A4517C"/>
    <w:rsid w:val="00A51D4D"/>
    <w:rsid w:val="00A522AD"/>
    <w:rsid w:val="00A54887"/>
    <w:rsid w:val="00A578EB"/>
    <w:rsid w:val="00A57DDD"/>
    <w:rsid w:val="00A6170A"/>
    <w:rsid w:val="00A64359"/>
    <w:rsid w:val="00A67DE5"/>
    <w:rsid w:val="00A72467"/>
    <w:rsid w:val="00A736A2"/>
    <w:rsid w:val="00A77D60"/>
    <w:rsid w:val="00A80257"/>
    <w:rsid w:val="00A820FC"/>
    <w:rsid w:val="00A85BE0"/>
    <w:rsid w:val="00A90F4C"/>
    <w:rsid w:val="00A92B31"/>
    <w:rsid w:val="00A938F4"/>
    <w:rsid w:val="00A94484"/>
    <w:rsid w:val="00A977FD"/>
    <w:rsid w:val="00AA06F9"/>
    <w:rsid w:val="00AA2C06"/>
    <w:rsid w:val="00AA7C05"/>
    <w:rsid w:val="00AB0F07"/>
    <w:rsid w:val="00AC4D96"/>
    <w:rsid w:val="00AC52FA"/>
    <w:rsid w:val="00AD0798"/>
    <w:rsid w:val="00AD50B9"/>
    <w:rsid w:val="00AD6B17"/>
    <w:rsid w:val="00AD7D2F"/>
    <w:rsid w:val="00AE31CD"/>
    <w:rsid w:val="00AE3FED"/>
    <w:rsid w:val="00AE45E0"/>
    <w:rsid w:val="00AE4933"/>
    <w:rsid w:val="00AE6FB4"/>
    <w:rsid w:val="00AF025F"/>
    <w:rsid w:val="00AF7605"/>
    <w:rsid w:val="00B0350D"/>
    <w:rsid w:val="00B06FC2"/>
    <w:rsid w:val="00B175CE"/>
    <w:rsid w:val="00B1766A"/>
    <w:rsid w:val="00B20AC8"/>
    <w:rsid w:val="00B22073"/>
    <w:rsid w:val="00B24854"/>
    <w:rsid w:val="00B27D5F"/>
    <w:rsid w:val="00B357D9"/>
    <w:rsid w:val="00B41697"/>
    <w:rsid w:val="00B452F9"/>
    <w:rsid w:val="00B45D04"/>
    <w:rsid w:val="00B46AAD"/>
    <w:rsid w:val="00B561A3"/>
    <w:rsid w:val="00B60B6A"/>
    <w:rsid w:val="00B6723C"/>
    <w:rsid w:val="00B716AD"/>
    <w:rsid w:val="00B72444"/>
    <w:rsid w:val="00B760E5"/>
    <w:rsid w:val="00B80C9E"/>
    <w:rsid w:val="00B959F2"/>
    <w:rsid w:val="00B95AAB"/>
    <w:rsid w:val="00B96034"/>
    <w:rsid w:val="00B97746"/>
    <w:rsid w:val="00BA1E35"/>
    <w:rsid w:val="00BA356D"/>
    <w:rsid w:val="00BA4A20"/>
    <w:rsid w:val="00BB54BD"/>
    <w:rsid w:val="00BB63F9"/>
    <w:rsid w:val="00BB7272"/>
    <w:rsid w:val="00BC3E03"/>
    <w:rsid w:val="00BC6158"/>
    <w:rsid w:val="00BD2307"/>
    <w:rsid w:val="00BD2901"/>
    <w:rsid w:val="00BD5644"/>
    <w:rsid w:val="00BD589B"/>
    <w:rsid w:val="00BD62CC"/>
    <w:rsid w:val="00BE4093"/>
    <w:rsid w:val="00BE73F7"/>
    <w:rsid w:val="00BF0521"/>
    <w:rsid w:val="00BF6113"/>
    <w:rsid w:val="00C021CE"/>
    <w:rsid w:val="00C05D86"/>
    <w:rsid w:val="00C071B2"/>
    <w:rsid w:val="00C10F97"/>
    <w:rsid w:val="00C1251F"/>
    <w:rsid w:val="00C15E6D"/>
    <w:rsid w:val="00C2633C"/>
    <w:rsid w:val="00C30185"/>
    <w:rsid w:val="00C337E4"/>
    <w:rsid w:val="00C35279"/>
    <w:rsid w:val="00C37115"/>
    <w:rsid w:val="00C37717"/>
    <w:rsid w:val="00C37A13"/>
    <w:rsid w:val="00C402B1"/>
    <w:rsid w:val="00C41B37"/>
    <w:rsid w:val="00C53438"/>
    <w:rsid w:val="00C631CD"/>
    <w:rsid w:val="00C64E13"/>
    <w:rsid w:val="00C657E6"/>
    <w:rsid w:val="00C66572"/>
    <w:rsid w:val="00C6722E"/>
    <w:rsid w:val="00C67735"/>
    <w:rsid w:val="00C76BC8"/>
    <w:rsid w:val="00C808CD"/>
    <w:rsid w:val="00C81737"/>
    <w:rsid w:val="00C847CF"/>
    <w:rsid w:val="00C93435"/>
    <w:rsid w:val="00CA0FF6"/>
    <w:rsid w:val="00CA1456"/>
    <w:rsid w:val="00CA7BF4"/>
    <w:rsid w:val="00CC1421"/>
    <w:rsid w:val="00CC43C2"/>
    <w:rsid w:val="00CC75FA"/>
    <w:rsid w:val="00CD0298"/>
    <w:rsid w:val="00CD18CC"/>
    <w:rsid w:val="00CD2449"/>
    <w:rsid w:val="00CE0C7E"/>
    <w:rsid w:val="00CE1D6A"/>
    <w:rsid w:val="00CE1D8F"/>
    <w:rsid w:val="00CE6077"/>
    <w:rsid w:val="00CE6446"/>
    <w:rsid w:val="00CF0C84"/>
    <w:rsid w:val="00CF45BE"/>
    <w:rsid w:val="00CF5E7C"/>
    <w:rsid w:val="00CF6BF4"/>
    <w:rsid w:val="00D007B7"/>
    <w:rsid w:val="00D04C6B"/>
    <w:rsid w:val="00D13256"/>
    <w:rsid w:val="00D13829"/>
    <w:rsid w:val="00D153CF"/>
    <w:rsid w:val="00D2643F"/>
    <w:rsid w:val="00D27BC5"/>
    <w:rsid w:val="00D34CDD"/>
    <w:rsid w:val="00D36AB4"/>
    <w:rsid w:val="00D36AC2"/>
    <w:rsid w:val="00D45DE3"/>
    <w:rsid w:val="00D46895"/>
    <w:rsid w:val="00D47F71"/>
    <w:rsid w:val="00D53364"/>
    <w:rsid w:val="00D605E4"/>
    <w:rsid w:val="00D615EB"/>
    <w:rsid w:val="00D7205C"/>
    <w:rsid w:val="00D72934"/>
    <w:rsid w:val="00D748CA"/>
    <w:rsid w:val="00D75DE5"/>
    <w:rsid w:val="00D83950"/>
    <w:rsid w:val="00D84226"/>
    <w:rsid w:val="00D862E1"/>
    <w:rsid w:val="00D87E6D"/>
    <w:rsid w:val="00DA4E61"/>
    <w:rsid w:val="00DA5DB0"/>
    <w:rsid w:val="00DA691D"/>
    <w:rsid w:val="00DB0327"/>
    <w:rsid w:val="00DB03B8"/>
    <w:rsid w:val="00DB7DA1"/>
    <w:rsid w:val="00DC07A9"/>
    <w:rsid w:val="00DC2EEA"/>
    <w:rsid w:val="00DC3A4A"/>
    <w:rsid w:val="00DD3585"/>
    <w:rsid w:val="00DE602A"/>
    <w:rsid w:val="00DF3C90"/>
    <w:rsid w:val="00DF44F9"/>
    <w:rsid w:val="00DF5954"/>
    <w:rsid w:val="00DF69EE"/>
    <w:rsid w:val="00E023F5"/>
    <w:rsid w:val="00E06F2F"/>
    <w:rsid w:val="00E07928"/>
    <w:rsid w:val="00E1602F"/>
    <w:rsid w:val="00E1654D"/>
    <w:rsid w:val="00E2611B"/>
    <w:rsid w:val="00E26F1D"/>
    <w:rsid w:val="00E3404B"/>
    <w:rsid w:val="00E36DDE"/>
    <w:rsid w:val="00E40DE1"/>
    <w:rsid w:val="00E4162B"/>
    <w:rsid w:val="00E47B9D"/>
    <w:rsid w:val="00E47D72"/>
    <w:rsid w:val="00E5073B"/>
    <w:rsid w:val="00E5496C"/>
    <w:rsid w:val="00E54A5A"/>
    <w:rsid w:val="00E55442"/>
    <w:rsid w:val="00E55C12"/>
    <w:rsid w:val="00E56181"/>
    <w:rsid w:val="00E67C8B"/>
    <w:rsid w:val="00E74616"/>
    <w:rsid w:val="00E74D9A"/>
    <w:rsid w:val="00E818EA"/>
    <w:rsid w:val="00E87C9B"/>
    <w:rsid w:val="00E87CFA"/>
    <w:rsid w:val="00E93944"/>
    <w:rsid w:val="00E945E6"/>
    <w:rsid w:val="00E9664D"/>
    <w:rsid w:val="00E9720D"/>
    <w:rsid w:val="00EA5CFA"/>
    <w:rsid w:val="00EA76B4"/>
    <w:rsid w:val="00EA7D67"/>
    <w:rsid w:val="00EB1B57"/>
    <w:rsid w:val="00EB38C6"/>
    <w:rsid w:val="00EC5A80"/>
    <w:rsid w:val="00EC62E6"/>
    <w:rsid w:val="00EE706B"/>
    <w:rsid w:val="00EE7F0D"/>
    <w:rsid w:val="00EF1460"/>
    <w:rsid w:val="00EF45F7"/>
    <w:rsid w:val="00EF4D51"/>
    <w:rsid w:val="00F0129C"/>
    <w:rsid w:val="00F01563"/>
    <w:rsid w:val="00F0254F"/>
    <w:rsid w:val="00F04BFE"/>
    <w:rsid w:val="00F071CB"/>
    <w:rsid w:val="00F1167E"/>
    <w:rsid w:val="00F1229F"/>
    <w:rsid w:val="00F124AE"/>
    <w:rsid w:val="00F153DC"/>
    <w:rsid w:val="00F20147"/>
    <w:rsid w:val="00F209EB"/>
    <w:rsid w:val="00F21DBA"/>
    <w:rsid w:val="00F264EF"/>
    <w:rsid w:val="00F27F87"/>
    <w:rsid w:val="00F3212D"/>
    <w:rsid w:val="00F32DC2"/>
    <w:rsid w:val="00F40C25"/>
    <w:rsid w:val="00F43FF0"/>
    <w:rsid w:val="00F44735"/>
    <w:rsid w:val="00F44ADC"/>
    <w:rsid w:val="00F44C8B"/>
    <w:rsid w:val="00F46576"/>
    <w:rsid w:val="00F47A21"/>
    <w:rsid w:val="00F50B74"/>
    <w:rsid w:val="00F525F8"/>
    <w:rsid w:val="00F57BBB"/>
    <w:rsid w:val="00F64C8B"/>
    <w:rsid w:val="00F70989"/>
    <w:rsid w:val="00F747CC"/>
    <w:rsid w:val="00F81AD0"/>
    <w:rsid w:val="00F82BBB"/>
    <w:rsid w:val="00F83AF9"/>
    <w:rsid w:val="00F8434F"/>
    <w:rsid w:val="00F850F0"/>
    <w:rsid w:val="00F855FE"/>
    <w:rsid w:val="00F865F4"/>
    <w:rsid w:val="00F86B76"/>
    <w:rsid w:val="00F92C03"/>
    <w:rsid w:val="00F930C3"/>
    <w:rsid w:val="00F95F3C"/>
    <w:rsid w:val="00F96CD1"/>
    <w:rsid w:val="00FA1D9A"/>
    <w:rsid w:val="00FA275B"/>
    <w:rsid w:val="00FB15C4"/>
    <w:rsid w:val="00FC1747"/>
    <w:rsid w:val="00FC2FCA"/>
    <w:rsid w:val="00FC5532"/>
    <w:rsid w:val="00FC6631"/>
    <w:rsid w:val="00FC7E65"/>
    <w:rsid w:val="00FD3E76"/>
    <w:rsid w:val="00FD6E29"/>
    <w:rsid w:val="00FD6FEF"/>
    <w:rsid w:val="00FE13D4"/>
    <w:rsid w:val="00FE2CF2"/>
    <w:rsid w:val="00FE3BCB"/>
    <w:rsid w:val="00FE7C05"/>
    <w:rsid w:val="00FF14BA"/>
    <w:rsid w:val="00FF253C"/>
    <w:rsid w:val="00FF4832"/>
    <w:rsid w:val="00FF6D34"/>
    <w:rsid w:val="00FF726D"/>
    <w:rsid w:val="01441BB9"/>
    <w:rsid w:val="04141B96"/>
    <w:rsid w:val="081B18D4"/>
    <w:rsid w:val="098E39B9"/>
    <w:rsid w:val="0ADA152D"/>
    <w:rsid w:val="0D9E1C0C"/>
    <w:rsid w:val="0E4B143D"/>
    <w:rsid w:val="0EF02E72"/>
    <w:rsid w:val="0F481A23"/>
    <w:rsid w:val="10814158"/>
    <w:rsid w:val="112F3D99"/>
    <w:rsid w:val="12844DC1"/>
    <w:rsid w:val="142E56E9"/>
    <w:rsid w:val="1823357E"/>
    <w:rsid w:val="187036B2"/>
    <w:rsid w:val="1AEB6122"/>
    <w:rsid w:val="1B1A3889"/>
    <w:rsid w:val="1C850D11"/>
    <w:rsid w:val="1E145C1F"/>
    <w:rsid w:val="1F94354A"/>
    <w:rsid w:val="21460153"/>
    <w:rsid w:val="21DA3F9D"/>
    <w:rsid w:val="223D0F22"/>
    <w:rsid w:val="23FA42D0"/>
    <w:rsid w:val="24743B37"/>
    <w:rsid w:val="25470B20"/>
    <w:rsid w:val="29483C47"/>
    <w:rsid w:val="2A8314C1"/>
    <w:rsid w:val="2A8F3BCE"/>
    <w:rsid w:val="2B872E60"/>
    <w:rsid w:val="2BCE0FAE"/>
    <w:rsid w:val="2CAF4831"/>
    <w:rsid w:val="2DFC5A4D"/>
    <w:rsid w:val="2F1D0509"/>
    <w:rsid w:val="3161561E"/>
    <w:rsid w:val="31AA78D1"/>
    <w:rsid w:val="321B7CF6"/>
    <w:rsid w:val="34A44C4F"/>
    <w:rsid w:val="38963FA8"/>
    <w:rsid w:val="3A186A29"/>
    <w:rsid w:val="3E792B8A"/>
    <w:rsid w:val="3EE9224B"/>
    <w:rsid w:val="436D3360"/>
    <w:rsid w:val="45361007"/>
    <w:rsid w:val="48A44F3A"/>
    <w:rsid w:val="494A68AB"/>
    <w:rsid w:val="4D03459A"/>
    <w:rsid w:val="4E2540DD"/>
    <w:rsid w:val="4F0928DF"/>
    <w:rsid w:val="52381F73"/>
    <w:rsid w:val="53387659"/>
    <w:rsid w:val="55104550"/>
    <w:rsid w:val="57F3068C"/>
    <w:rsid w:val="58D20590"/>
    <w:rsid w:val="5D410D65"/>
    <w:rsid w:val="5E5B23C1"/>
    <w:rsid w:val="5E660CC1"/>
    <w:rsid w:val="5E6C52B2"/>
    <w:rsid w:val="5E8C78A8"/>
    <w:rsid w:val="5F6F6A11"/>
    <w:rsid w:val="632A16BD"/>
    <w:rsid w:val="657965BE"/>
    <w:rsid w:val="661D5A78"/>
    <w:rsid w:val="663566D9"/>
    <w:rsid w:val="663B1AE6"/>
    <w:rsid w:val="67B21F12"/>
    <w:rsid w:val="67D461F9"/>
    <w:rsid w:val="6B300AA0"/>
    <w:rsid w:val="6B9306BB"/>
    <w:rsid w:val="6E2053BF"/>
    <w:rsid w:val="6E3D39F9"/>
    <w:rsid w:val="6ECA1DC7"/>
    <w:rsid w:val="6F860363"/>
    <w:rsid w:val="6FA81A09"/>
    <w:rsid w:val="70350492"/>
    <w:rsid w:val="706C20E6"/>
    <w:rsid w:val="71D44901"/>
    <w:rsid w:val="71FD397A"/>
    <w:rsid w:val="720924FA"/>
    <w:rsid w:val="73007C27"/>
    <w:rsid w:val="74B13A97"/>
    <w:rsid w:val="74DE6D70"/>
    <w:rsid w:val="75435570"/>
    <w:rsid w:val="76171091"/>
    <w:rsid w:val="790C5BF2"/>
    <w:rsid w:val="7A1A6C48"/>
    <w:rsid w:val="7AFE135D"/>
    <w:rsid w:val="7CEF1D89"/>
    <w:rsid w:val="7E494DA3"/>
    <w:rsid w:val="7E6C21B6"/>
    <w:rsid w:val="7FC43B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39" w:semiHidden="0" w:name="toc 1"/>
    <w:lsdException w:qFormat="1" w:uiPriority="39" w:semiHidden="0" w:name="toc 2"/>
    <w:lsdException w:qFormat="1" w:uiPriority="39"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iPriority="1"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3">
    <w:name w:val="heading 1"/>
    <w:basedOn w:val="1"/>
    <w:next w:val="1"/>
    <w:qFormat/>
    <w:uiPriority w:val="0"/>
    <w:pPr>
      <w:spacing w:beforeAutospacing="1" w:afterAutospacing="1"/>
      <w:jc w:val="left"/>
      <w:outlineLvl w:val="0"/>
    </w:pPr>
    <w:rPr>
      <w:rFonts w:hint="eastAsia" w:ascii="宋体" w:hAnsi="宋体"/>
      <w:b/>
      <w:kern w:val="44"/>
      <w:sz w:val="48"/>
      <w:szCs w:val="48"/>
    </w:rPr>
  </w:style>
  <w:style w:type="paragraph" w:styleId="4">
    <w:name w:val="heading 2"/>
    <w:basedOn w:val="1"/>
    <w:next w:val="1"/>
    <w:qFormat/>
    <w:uiPriority w:val="0"/>
    <w:pPr>
      <w:keepNext/>
      <w:keepLines/>
      <w:spacing w:before="260" w:after="260" w:line="416" w:lineRule="auto"/>
      <w:outlineLvl w:val="1"/>
    </w:pPr>
    <w:rPr>
      <w:rFonts w:ascii="Cambria" w:hAnsi="Cambria"/>
      <w:b/>
      <w:bCs/>
      <w:sz w:val="32"/>
      <w:szCs w:val="32"/>
    </w:rPr>
  </w:style>
  <w:style w:type="character" w:default="1" w:styleId="20">
    <w:name w:val="Default Paragraph Font"/>
    <w:semiHidden/>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2">
    <w:name w:val="toc 2"/>
    <w:basedOn w:val="1"/>
    <w:next w:val="1"/>
    <w:unhideWhenUsed/>
    <w:qFormat/>
    <w:uiPriority w:val="39"/>
    <w:pPr>
      <w:widowControl/>
      <w:spacing w:after="100" w:line="276" w:lineRule="auto"/>
      <w:ind w:left="220"/>
      <w:jc w:val="left"/>
    </w:pPr>
    <w:rPr>
      <w:rFonts w:ascii="Calibri" w:hAnsi="Calibri"/>
      <w:kern w:val="0"/>
      <w:sz w:val="22"/>
    </w:rPr>
  </w:style>
  <w:style w:type="paragraph" w:styleId="5">
    <w:name w:val="Body Text"/>
    <w:basedOn w:val="1"/>
    <w:next w:val="6"/>
    <w:unhideWhenUsed/>
    <w:qFormat/>
    <w:uiPriority w:val="1"/>
    <w:pPr>
      <w:spacing w:before="41"/>
      <w:ind w:left="121"/>
      <w:jc w:val="left"/>
    </w:pPr>
    <w:rPr>
      <w:rFonts w:ascii="仿宋" w:hAnsi="仿宋" w:eastAsia="仿宋"/>
      <w:kern w:val="0"/>
      <w:sz w:val="28"/>
      <w:szCs w:val="28"/>
      <w:lang w:eastAsia="en-US"/>
    </w:rPr>
  </w:style>
  <w:style w:type="paragraph" w:customStyle="1" w:styleId="6">
    <w:name w:val="_Style 2"/>
    <w:basedOn w:val="1"/>
    <w:qFormat/>
    <w:uiPriority w:val="0"/>
    <w:pPr>
      <w:ind w:firstLine="420" w:firstLineChars="200"/>
    </w:pPr>
  </w:style>
  <w:style w:type="paragraph" w:styleId="7">
    <w:name w:val="Body Text Indent"/>
    <w:basedOn w:val="1"/>
    <w:next w:val="1"/>
    <w:qFormat/>
    <w:uiPriority w:val="0"/>
    <w:pPr>
      <w:spacing w:line="380" w:lineRule="exact"/>
      <w:ind w:firstLine="480" w:firstLineChars="200"/>
    </w:pPr>
    <w:rPr>
      <w:rFonts w:ascii="宋体" w:hAnsi="宋体"/>
      <w:sz w:val="24"/>
    </w:rPr>
  </w:style>
  <w:style w:type="paragraph" w:styleId="8">
    <w:name w:val="toc 3"/>
    <w:basedOn w:val="1"/>
    <w:next w:val="1"/>
    <w:unhideWhenUsed/>
    <w:qFormat/>
    <w:uiPriority w:val="39"/>
    <w:pPr>
      <w:widowControl/>
      <w:spacing w:after="100" w:line="276" w:lineRule="auto"/>
      <w:ind w:left="440"/>
      <w:jc w:val="left"/>
    </w:pPr>
    <w:rPr>
      <w:rFonts w:asciiTheme="minorHAnsi" w:hAnsiTheme="minorHAnsi" w:eastAsiaTheme="minorEastAsia" w:cstheme="minorBidi"/>
      <w:kern w:val="0"/>
      <w:sz w:val="22"/>
      <w:szCs w:val="22"/>
    </w:rPr>
  </w:style>
  <w:style w:type="paragraph" w:styleId="9">
    <w:name w:val="Plain Text"/>
    <w:basedOn w:val="1"/>
    <w:qFormat/>
    <w:uiPriority w:val="0"/>
    <w:rPr>
      <w:rFonts w:ascii="宋体" w:hAnsi="Courier New" w:cs="Courier New"/>
      <w:szCs w:val="21"/>
    </w:rPr>
  </w:style>
  <w:style w:type="paragraph" w:styleId="10">
    <w:name w:val="Date"/>
    <w:basedOn w:val="1"/>
    <w:next w:val="1"/>
    <w:qFormat/>
    <w:uiPriority w:val="0"/>
    <w:pPr>
      <w:ind w:left="100" w:leftChars="2500"/>
    </w:pPr>
    <w:rPr>
      <w:rFonts w:ascii="宋体" w:hAnsi="宋体"/>
      <w:sz w:val="24"/>
    </w:rPr>
  </w:style>
  <w:style w:type="paragraph" w:styleId="11">
    <w:name w:val="Balloon Text"/>
    <w:basedOn w:val="1"/>
    <w:link w:val="27"/>
    <w:qFormat/>
    <w:uiPriority w:val="0"/>
    <w:rPr>
      <w:sz w:val="18"/>
      <w:szCs w:val="18"/>
    </w:rPr>
  </w:style>
  <w:style w:type="paragraph" w:styleId="12">
    <w:name w:val="footer"/>
    <w:basedOn w:val="1"/>
    <w:link w:val="26"/>
    <w:qFormat/>
    <w:uiPriority w:val="99"/>
    <w:pPr>
      <w:tabs>
        <w:tab w:val="center" w:pos="4153"/>
        <w:tab w:val="right" w:pos="8306"/>
      </w:tabs>
      <w:snapToGrid w:val="0"/>
      <w:jc w:val="left"/>
    </w:pPr>
    <w:rPr>
      <w:sz w:val="18"/>
      <w:szCs w:val="18"/>
    </w:rPr>
  </w:style>
  <w:style w:type="paragraph" w:styleId="13">
    <w:name w:val="header"/>
    <w:basedOn w:val="1"/>
    <w:link w:val="28"/>
    <w:qFormat/>
    <w:uiPriority w:val="99"/>
    <w:pPr>
      <w:pBdr>
        <w:bottom w:val="single" w:color="auto" w:sz="6" w:space="1"/>
      </w:pBdr>
      <w:tabs>
        <w:tab w:val="center" w:pos="4153"/>
        <w:tab w:val="right" w:pos="8306"/>
      </w:tabs>
      <w:snapToGrid w:val="0"/>
      <w:jc w:val="center"/>
    </w:pPr>
    <w:rPr>
      <w:sz w:val="18"/>
      <w:szCs w:val="18"/>
    </w:rPr>
  </w:style>
  <w:style w:type="paragraph" w:styleId="14">
    <w:name w:val="toc 1"/>
    <w:basedOn w:val="1"/>
    <w:next w:val="1"/>
    <w:unhideWhenUsed/>
    <w:qFormat/>
    <w:uiPriority w:val="39"/>
  </w:style>
  <w:style w:type="paragraph" w:styleId="15">
    <w:name w:val="footnote text"/>
    <w:basedOn w:val="1"/>
    <w:link w:val="29"/>
    <w:qFormat/>
    <w:uiPriority w:val="0"/>
    <w:pPr>
      <w:snapToGrid w:val="0"/>
      <w:jc w:val="left"/>
    </w:pPr>
    <w:rPr>
      <w:sz w:val="18"/>
      <w:szCs w:val="18"/>
    </w:rPr>
  </w:style>
  <w:style w:type="paragraph" w:styleId="16">
    <w:name w:val="Normal (Web)"/>
    <w:basedOn w:val="1"/>
    <w:qFormat/>
    <w:uiPriority w:val="0"/>
    <w:pPr>
      <w:spacing w:beforeAutospacing="1" w:afterAutospacing="1"/>
      <w:jc w:val="left"/>
    </w:pPr>
    <w:rPr>
      <w:kern w:val="0"/>
      <w:sz w:val="24"/>
    </w:rPr>
  </w:style>
  <w:style w:type="paragraph" w:styleId="17">
    <w:name w:val="Body Text First Indent 2"/>
    <w:basedOn w:val="7"/>
    <w:next w:val="1"/>
    <w:unhideWhenUsed/>
    <w:qFormat/>
    <w:uiPriority w:val="99"/>
    <w:pPr>
      <w:widowControl/>
      <w:spacing w:after="0" w:line="440" w:lineRule="exact"/>
      <w:ind w:left="0" w:leftChars="0" w:firstLine="420" w:firstLineChars="200"/>
      <w:jc w:val="left"/>
    </w:pPr>
    <w:rPr>
      <w:rFonts w:ascii="Times New Roman" w:hAnsi="Times New Roman" w:eastAsia="宋体" w:cs="Times New Roman"/>
      <w:color w:val="FF0000"/>
      <w:kern w:val="0"/>
      <w:sz w:val="28"/>
      <w:szCs w:val="24"/>
      <w:lang w:val="en-US" w:eastAsia="zh-CN" w:bidi="ar-SA"/>
    </w:rPr>
  </w:style>
  <w:style w:type="table" w:styleId="19">
    <w:name w:val="Table Grid"/>
    <w:basedOn w:val="1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1">
    <w:name w:val="page number"/>
    <w:basedOn w:val="20"/>
    <w:qFormat/>
    <w:uiPriority w:val="0"/>
  </w:style>
  <w:style w:type="character" w:styleId="22">
    <w:name w:val="Hyperlink"/>
    <w:basedOn w:val="20"/>
    <w:unhideWhenUsed/>
    <w:qFormat/>
    <w:uiPriority w:val="99"/>
    <w:rPr>
      <w:color w:val="0000FF" w:themeColor="hyperlink"/>
      <w:u w:val="single"/>
      <w14:textFill>
        <w14:solidFill>
          <w14:schemeClr w14:val="hlink"/>
        </w14:solidFill>
      </w14:textFill>
    </w:rPr>
  </w:style>
  <w:style w:type="character" w:styleId="23">
    <w:name w:val="footnote reference"/>
    <w:basedOn w:val="20"/>
    <w:qFormat/>
    <w:uiPriority w:val="0"/>
    <w:rPr>
      <w:vertAlign w:val="superscript"/>
    </w:rPr>
  </w:style>
  <w:style w:type="character" w:customStyle="1" w:styleId="24">
    <w:name w:val="无间隔 Char"/>
    <w:basedOn w:val="20"/>
    <w:link w:val="25"/>
    <w:qFormat/>
    <w:uiPriority w:val="1"/>
    <w:rPr>
      <w:rFonts w:ascii="Calibri" w:hAnsi="Calibri"/>
      <w:sz w:val="22"/>
      <w:szCs w:val="22"/>
      <w:lang w:val="en-US" w:eastAsia="zh-CN" w:bidi="ar-SA"/>
    </w:rPr>
  </w:style>
  <w:style w:type="paragraph" w:styleId="25">
    <w:name w:val="No Spacing"/>
    <w:link w:val="24"/>
    <w:qFormat/>
    <w:uiPriority w:val="1"/>
    <w:rPr>
      <w:rFonts w:ascii="Calibri" w:hAnsi="Calibri" w:eastAsia="宋体" w:cs="Times New Roman"/>
      <w:sz w:val="22"/>
      <w:szCs w:val="22"/>
      <w:lang w:val="en-US" w:eastAsia="zh-CN" w:bidi="ar-SA"/>
    </w:rPr>
  </w:style>
  <w:style w:type="character" w:customStyle="1" w:styleId="26">
    <w:name w:val="页脚 Char"/>
    <w:basedOn w:val="20"/>
    <w:link w:val="12"/>
    <w:qFormat/>
    <w:uiPriority w:val="99"/>
    <w:rPr>
      <w:kern w:val="2"/>
      <w:sz w:val="18"/>
      <w:szCs w:val="18"/>
    </w:rPr>
  </w:style>
  <w:style w:type="character" w:customStyle="1" w:styleId="27">
    <w:name w:val="批注框文本 Char"/>
    <w:basedOn w:val="20"/>
    <w:link w:val="11"/>
    <w:qFormat/>
    <w:uiPriority w:val="0"/>
    <w:rPr>
      <w:kern w:val="2"/>
      <w:sz w:val="18"/>
      <w:szCs w:val="18"/>
    </w:rPr>
  </w:style>
  <w:style w:type="character" w:customStyle="1" w:styleId="28">
    <w:name w:val="页眉 Char"/>
    <w:basedOn w:val="20"/>
    <w:link w:val="13"/>
    <w:qFormat/>
    <w:uiPriority w:val="99"/>
    <w:rPr>
      <w:kern w:val="2"/>
      <w:sz w:val="18"/>
      <w:szCs w:val="18"/>
    </w:rPr>
  </w:style>
  <w:style w:type="character" w:customStyle="1" w:styleId="29">
    <w:name w:val="脚注文本 Char"/>
    <w:basedOn w:val="20"/>
    <w:link w:val="15"/>
    <w:qFormat/>
    <w:uiPriority w:val="0"/>
    <w:rPr>
      <w:kern w:val="2"/>
      <w:sz w:val="18"/>
      <w:szCs w:val="18"/>
    </w:rPr>
  </w:style>
  <w:style w:type="paragraph" w:customStyle="1" w:styleId="30">
    <w:name w:val="Other|2"/>
    <w:basedOn w:val="1"/>
    <w:qFormat/>
    <w:uiPriority w:val="0"/>
    <w:pPr>
      <w:jc w:val="center"/>
    </w:pPr>
    <w:rPr>
      <w:rFonts w:ascii="宋体" w:hAnsi="宋体" w:cs="宋体"/>
      <w:sz w:val="20"/>
      <w:lang w:val="zh-TW" w:eastAsia="zh-TW" w:bidi="zh-TW"/>
    </w:rPr>
  </w:style>
  <w:style w:type="paragraph" w:customStyle="1" w:styleId="31">
    <w:name w:val="Other|1"/>
    <w:basedOn w:val="1"/>
    <w:qFormat/>
    <w:uiPriority w:val="0"/>
    <w:pPr>
      <w:spacing w:line="401" w:lineRule="auto"/>
      <w:ind w:firstLine="400"/>
    </w:pPr>
    <w:rPr>
      <w:rFonts w:ascii="宋体" w:hAnsi="宋体" w:cs="宋体"/>
      <w:sz w:val="30"/>
      <w:szCs w:val="30"/>
      <w:lang w:val="zh-TW" w:eastAsia="zh-TW" w:bidi="zh-TW"/>
    </w:rPr>
  </w:style>
  <w:style w:type="paragraph" w:customStyle="1" w:styleId="32">
    <w:name w:val="Header or footer|2"/>
    <w:basedOn w:val="1"/>
    <w:qFormat/>
    <w:uiPriority w:val="0"/>
    <w:rPr>
      <w:sz w:val="20"/>
      <w:lang w:val="zh-TW" w:eastAsia="zh-TW" w:bidi="zh-TW"/>
    </w:rPr>
  </w:style>
  <w:style w:type="paragraph" w:customStyle="1" w:styleId="33">
    <w:name w:val="TOC Heading"/>
    <w:basedOn w:val="3"/>
    <w:next w:val="1"/>
    <w:semiHidden/>
    <w:unhideWhenUsed/>
    <w:qFormat/>
    <w:uiPriority w:val="39"/>
    <w:pPr>
      <w:keepNext/>
      <w:keepLines/>
      <w:widowControl/>
      <w:spacing w:before="480" w:beforeAutospacing="0" w:afterAutospacing="0" w:line="276" w:lineRule="auto"/>
      <w:outlineLvl w:val="9"/>
    </w:pPr>
    <w:rPr>
      <w:rFonts w:hint="default" w:asciiTheme="majorHAnsi" w:hAnsiTheme="majorHAnsi" w:eastAsiaTheme="majorEastAsia" w:cstheme="majorBidi"/>
      <w:bCs/>
      <w:color w:val="376092" w:themeColor="accent1" w:themeShade="BF"/>
      <w:kern w:val="0"/>
      <w:sz w:val="28"/>
      <w:szCs w:val="28"/>
    </w:rPr>
  </w:style>
  <w:style w:type="paragraph" w:customStyle="1" w:styleId="34">
    <w:name w:val="WPSOffice手动目录 1"/>
    <w:qFormat/>
    <w:uiPriority w:val="0"/>
    <w:pPr>
      <w:ind w:leftChars="0"/>
    </w:pPr>
    <w:rPr>
      <w:rFonts w:asciiTheme="minorHAnsi" w:hAnsiTheme="minorHAnsi" w:eastAsiaTheme="minorEastAsia" w:cstheme="minorBidi"/>
      <w:sz w:val="20"/>
      <w:szCs w:val="20"/>
    </w:rPr>
  </w:style>
  <w:style w:type="paragraph" w:customStyle="1" w:styleId="35">
    <w:name w:val="Default"/>
    <w:basedOn w:val="1"/>
    <w:qFormat/>
    <w:uiPriority w:val="0"/>
    <w:pPr>
      <w:autoSpaceDE w:val="0"/>
      <w:autoSpaceDN w:val="0"/>
      <w:adjustRightInd w:val="0"/>
      <w:spacing w:line="240" w:lineRule="auto"/>
      <w:ind w:firstLine="0" w:firstLineChars="0"/>
      <w:jc w:val="left"/>
    </w:pPr>
    <w:rPr>
      <w:rFonts w:ascii="宋体" w:hAnsi="宋体" w:cs="宋体"/>
      <w:kern w:val="0"/>
    </w:rPr>
  </w:style>
  <w:style w:type="paragraph" w:styleId="36">
    <w:name w:val="List Paragraph"/>
    <w:basedOn w:val="1"/>
    <w:qFormat/>
    <w:uiPriority w:val="34"/>
    <w:pPr>
      <w:ind w:firstLine="420" w:firstLineChars="200"/>
    </w:pPr>
  </w:style>
  <w:style w:type="paragraph" w:customStyle="1" w:styleId="37">
    <w:name w:val="Body text|1"/>
    <w:basedOn w:val="1"/>
    <w:qFormat/>
    <w:uiPriority w:val="0"/>
    <w:pPr>
      <w:widowControl w:val="0"/>
      <w:shd w:val="clear" w:color="auto" w:fill="auto"/>
      <w:spacing w:line="329" w:lineRule="auto"/>
      <w:ind w:firstLine="400"/>
    </w:pPr>
    <w:rPr>
      <w:rFonts w:ascii="宋体" w:hAnsi="宋体" w:eastAsia="宋体" w:cs="宋体"/>
      <w:sz w:val="28"/>
      <w:szCs w:val="28"/>
      <w:u w:val="none"/>
      <w:shd w:val="clear" w:color="auto" w:fill="auto"/>
      <w:lang w:val="zh-TW" w:eastAsia="zh-TW" w:bidi="zh-TW"/>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D73DF80-32D0-48B6-BDC2-042DA4015297}">
  <ds:schemaRefs/>
</ds:datastoreItem>
</file>

<file path=docProps/app.xml><?xml version="1.0" encoding="utf-8"?>
<Properties xmlns="http://schemas.openxmlformats.org/officeDocument/2006/extended-properties" xmlns:vt="http://schemas.openxmlformats.org/officeDocument/2006/docPropsVTypes">
  <Template>Normal</Template>
  <Company>HP</Company>
  <Pages>17</Pages>
  <Words>8466</Words>
  <Characters>8965</Characters>
  <Lines>90</Lines>
  <Paragraphs>25</Paragraphs>
  <TotalTime>1</TotalTime>
  <ScaleCrop>false</ScaleCrop>
  <LinksUpToDate>false</LinksUpToDate>
  <CharactersWithSpaces>9153</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2014-04-21T00:28:00Z</dcterms:created>
  <dc:creator>中兴科技</dc:creator>
  <cp:lastModifiedBy>晨曦</cp:lastModifiedBy>
  <cp:lastPrinted>2023-06-16T02:41:00Z</cp:lastPrinted>
  <dcterms:modified xsi:type="dcterms:W3CDTF">2023-11-07T08:32:08Z</dcterms:modified>
  <dc:title>审 计 报 告</dc:title>
  <cp:revision>52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AA9140AAE1504A9893CA11E9B8F00E6C</vt:lpwstr>
  </property>
</Properties>
</file>