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highlight w:val="none"/>
        </w:rPr>
      </w:pPr>
    </w:p>
    <w:p>
      <w:pPr>
        <w:rPr>
          <w:rFonts w:ascii="宋体" w:hAnsi="宋体"/>
          <w:sz w:val="36"/>
          <w:szCs w:val="36"/>
          <w:highlight w:val="none"/>
        </w:rPr>
      </w:pPr>
    </w:p>
    <w:p>
      <w:pPr>
        <w:jc w:val="center"/>
        <w:rPr>
          <w:rFonts w:ascii="宋体" w:hAnsi="宋体"/>
          <w:szCs w:val="21"/>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cs="宋体"/>
          <w:b/>
          <w:bCs w:val="0"/>
          <w:sz w:val="44"/>
          <w:szCs w:val="44"/>
          <w:highlight w:val="none"/>
          <w:lang w:val="en-US" w:eastAsia="zh-CN"/>
        </w:rPr>
      </w:pPr>
      <w:r>
        <w:rPr>
          <w:rFonts w:hint="eastAsia" w:ascii="宋体" w:hAnsi="宋体" w:cs="宋体"/>
          <w:b/>
          <w:bCs w:val="0"/>
          <w:sz w:val="44"/>
          <w:szCs w:val="44"/>
          <w:highlight w:val="none"/>
          <w:lang w:val="en-US" w:eastAsia="zh-CN"/>
        </w:rPr>
        <w:t>曲阳县职教中心食堂改扩建及多功能厅建设项目</w:t>
      </w:r>
    </w:p>
    <w:p>
      <w:pPr>
        <w:pStyle w:val="2"/>
        <w:rPr>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eastAsia="宋体" w:cs="宋体"/>
          <w:b/>
          <w:bCs w:val="0"/>
          <w:sz w:val="44"/>
          <w:szCs w:val="44"/>
          <w:highlight w:val="none"/>
          <w:lang w:val="en-US" w:eastAsia="zh-CN"/>
        </w:rPr>
      </w:pPr>
      <w:r>
        <w:rPr>
          <w:rFonts w:hint="eastAsia" w:ascii="宋体" w:hAnsi="宋体" w:cs="宋体"/>
          <w:b/>
          <w:bCs w:val="0"/>
          <w:sz w:val="44"/>
          <w:szCs w:val="44"/>
          <w:highlight w:val="none"/>
          <w:lang w:val="en-US" w:eastAsia="zh-CN"/>
        </w:rPr>
        <w:t>绩效评价报告</w:t>
      </w:r>
    </w:p>
    <w:p>
      <w:pPr>
        <w:pStyle w:val="2"/>
        <w:ind w:left="0" w:leftChars="0" w:firstLine="0" w:firstLineChars="0"/>
        <w:rPr>
          <w:highlight w:val="none"/>
        </w:rPr>
      </w:pPr>
    </w:p>
    <w:p>
      <w:pPr>
        <w:pStyle w:val="2"/>
        <w:rPr>
          <w:highlight w:val="none"/>
        </w:rPr>
      </w:pPr>
    </w:p>
    <w:p>
      <w:pPr>
        <w:rPr>
          <w:highlight w:val="none"/>
        </w:rPr>
      </w:pPr>
    </w:p>
    <w:p>
      <w:pPr>
        <w:pStyle w:val="2"/>
      </w:pPr>
    </w:p>
    <w:p>
      <w:pPr>
        <w:rPr>
          <w:highlight w:val="none"/>
        </w:rPr>
      </w:pPr>
    </w:p>
    <w:p>
      <w:pPr>
        <w:pStyle w:val="2"/>
        <w:rPr>
          <w:highlight w:val="none"/>
        </w:rPr>
      </w:pPr>
    </w:p>
    <w:p>
      <w:pPr>
        <w:rPr>
          <w:highlight w:val="none"/>
        </w:rPr>
      </w:pP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单位：</w:t>
      </w:r>
      <w:r>
        <w:rPr>
          <w:rFonts w:hint="eastAsia" w:ascii="仿宋" w:hAnsi="仿宋" w:eastAsia="仿宋" w:cs="仿宋"/>
          <w:sz w:val="32"/>
          <w:szCs w:val="32"/>
          <w:highlight w:val="none"/>
          <w:lang w:eastAsia="zh-CN"/>
        </w:rPr>
        <w:t>曲阳县财政局</w:t>
      </w: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项目名称：</w:t>
      </w:r>
      <w:r>
        <w:rPr>
          <w:rFonts w:hint="eastAsia" w:ascii="仿宋" w:hAnsi="仿宋" w:eastAsia="仿宋" w:cs="仿宋"/>
          <w:sz w:val="32"/>
          <w:szCs w:val="32"/>
          <w:highlight w:val="none"/>
          <w:lang w:eastAsia="zh-CN"/>
        </w:rPr>
        <w:t>曲阳县</w:t>
      </w:r>
      <w:r>
        <w:rPr>
          <w:rFonts w:hint="eastAsia" w:ascii="仿宋" w:hAnsi="仿宋" w:eastAsia="仿宋" w:cs="仿宋"/>
          <w:sz w:val="30"/>
          <w:szCs w:val="30"/>
          <w:highlight w:val="none"/>
          <w:lang w:eastAsia="zh-CN"/>
        </w:rPr>
        <w:t>职教中心食堂改扩建及多功能厅建设项目</w:t>
      </w:r>
    </w:p>
    <w:p>
      <w:pPr>
        <w:spacing w:line="900" w:lineRule="exact"/>
        <w:ind w:firstLine="1280" w:firstLineChars="4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项目实施主体：曲阳县教育和体育局</w:t>
      </w:r>
    </w:p>
    <w:p>
      <w:pPr>
        <w:spacing w:line="900" w:lineRule="exact"/>
        <w:ind w:firstLine="1280" w:firstLineChars="4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 估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lang w:eastAsia="zh-CN"/>
        </w:rPr>
        <w:t>日</w:t>
      </w: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报 告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日</w:t>
      </w:r>
    </w:p>
    <w:p>
      <w:pPr>
        <w:spacing w:before="0" w:beforeLines="0" w:after="0" w:afterLines="0" w:line="240" w:lineRule="auto"/>
        <w:ind w:left="0" w:leftChars="0" w:right="0" w:rightChars="0" w:firstLine="0" w:firstLineChars="0"/>
        <w:jc w:val="both"/>
        <w:rPr>
          <w:rFonts w:hint="eastAsia" w:ascii="仿宋" w:hAnsi="仿宋" w:eastAsia="仿宋" w:cs="仿宋"/>
          <w:sz w:val="30"/>
          <w:szCs w:val="30"/>
          <w:highlight w:val="none"/>
        </w:rPr>
      </w:pPr>
    </w:p>
    <w:p>
      <w:pPr>
        <w:pStyle w:val="2"/>
        <w:rPr>
          <w:rFonts w:hint="eastAsia" w:ascii="仿宋" w:hAnsi="仿宋" w:eastAsia="仿宋" w:cs="仿宋"/>
          <w:sz w:val="30"/>
          <w:szCs w:val="30"/>
          <w:highlight w:val="none"/>
        </w:rPr>
      </w:pPr>
    </w:p>
    <w:p>
      <w:pPr>
        <w:rPr>
          <w:rFonts w:hint="eastAsia" w:ascii="仿宋" w:hAnsi="仿宋" w:eastAsia="仿宋" w:cs="仿宋"/>
          <w:sz w:val="30"/>
          <w:szCs w:val="30"/>
          <w:highlight w:val="none"/>
        </w:rPr>
      </w:pPr>
    </w:p>
    <w:p>
      <w:pPr>
        <w:pStyle w:val="2"/>
        <w:rPr>
          <w:rFonts w:hint="eastAsia" w:ascii="仿宋" w:hAnsi="仿宋" w:eastAsia="仿宋" w:cs="仿宋"/>
          <w:sz w:val="30"/>
          <w:szCs w:val="30"/>
          <w:highlight w:val="none"/>
        </w:rPr>
      </w:pPr>
    </w:p>
    <w:p>
      <w:pPr>
        <w:rPr>
          <w:rFonts w:hint="eastAsia"/>
        </w:rPr>
      </w:pPr>
    </w:p>
    <w:p>
      <w:pPr>
        <w:pStyle w:val="2"/>
        <w:rPr>
          <w:rFonts w:hint="eastAsia"/>
          <w:highlight w:val="none"/>
        </w:rPr>
      </w:pPr>
    </w:p>
    <w:p>
      <w:pPr>
        <w:rPr>
          <w:rFonts w:hint="eastAsia"/>
          <w:highlight w:val="none"/>
        </w:rPr>
      </w:pPr>
    </w:p>
    <w:p>
      <w:pPr>
        <w:pStyle w:val="2"/>
        <w:rPr>
          <w:rFonts w:hint="eastAsia"/>
        </w:rPr>
      </w:pPr>
    </w:p>
    <w:p>
      <w:pPr>
        <w:spacing w:after="156" w:line="560" w:lineRule="exact"/>
        <w:ind w:left="-359" w:leftChars="-171" w:firstLine="361" w:firstLineChars="100"/>
        <w:jc w:val="center"/>
        <w:outlineLvl w:val="0"/>
        <w:rPr>
          <w:rFonts w:hint="eastAsia" w:ascii="仿宋" w:hAnsi="仿宋" w:eastAsia="仿宋" w:cs="仿宋"/>
          <w:b/>
          <w:bCs w:val="0"/>
          <w:sz w:val="36"/>
          <w:szCs w:val="36"/>
          <w:highlight w:val="none"/>
          <w:lang w:eastAsia="zh-CN"/>
        </w:rPr>
      </w:pPr>
      <w:r>
        <w:rPr>
          <w:rFonts w:hint="eastAsia" w:ascii="仿宋" w:hAnsi="仿宋" w:eastAsia="仿宋" w:cs="仿宋"/>
          <w:b/>
          <w:bCs w:val="0"/>
          <w:sz w:val="36"/>
          <w:szCs w:val="36"/>
          <w:highlight w:val="none"/>
          <w:lang w:eastAsia="zh-CN"/>
        </w:rPr>
        <w:t>曲阳县职教中心食堂改扩建及多功能厅建设项目</w:t>
      </w:r>
    </w:p>
    <w:p>
      <w:pPr>
        <w:spacing w:after="156" w:line="560" w:lineRule="exact"/>
        <w:ind w:left="-359" w:leftChars="-171" w:firstLine="361" w:firstLineChars="100"/>
        <w:jc w:val="center"/>
        <w:outlineLvl w:val="0"/>
        <w:rPr>
          <w:rFonts w:hint="eastAsia" w:ascii="仿宋" w:hAnsi="仿宋" w:eastAsia="仿宋" w:cs="仿宋"/>
          <w:sz w:val="32"/>
          <w:szCs w:val="32"/>
          <w:highlight w:val="none"/>
        </w:rPr>
      </w:pPr>
      <w:r>
        <w:rPr>
          <w:rFonts w:hint="eastAsia" w:ascii="仿宋" w:hAnsi="仿宋" w:eastAsia="仿宋" w:cs="仿宋"/>
          <w:b/>
          <w:bCs w:val="0"/>
          <w:sz w:val="36"/>
          <w:szCs w:val="36"/>
          <w:highlight w:val="none"/>
          <w:lang w:eastAsia="zh-CN"/>
        </w:rPr>
        <w:t>绩效评估报告</w:t>
      </w:r>
      <w:r>
        <w:rPr>
          <w:rFonts w:hint="eastAsia" w:ascii="仿宋" w:hAnsi="仿宋" w:eastAsia="仿宋" w:cs="仿宋"/>
          <w:b/>
          <w:sz w:val="24"/>
          <w:szCs w:val="24"/>
          <w:highlight w:val="none"/>
        </w:rPr>
        <w:t xml:space="preserve"> </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bookmarkStart w:id="0" w:name="_Toc83630317"/>
      <w:bookmarkStart w:id="1" w:name="_Toc8967"/>
      <w:bookmarkStart w:id="2" w:name="_Toc30480"/>
      <w:bookmarkStart w:id="3" w:name="_Toc83631027"/>
      <w:r>
        <w:rPr>
          <w:rFonts w:hint="eastAsia" w:ascii="仿宋" w:hAnsi="仿宋" w:eastAsia="仿宋" w:cs="仿宋"/>
          <w:kern w:val="2"/>
          <w:sz w:val="32"/>
          <w:szCs w:val="32"/>
          <w:highlight w:val="none"/>
          <w:u w:val="none"/>
          <w:shd w:val="clear" w:color="auto" w:fill="auto"/>
          <w:lang w:val="en-US" w:eastAsia="zh-CN" w:bidi="ar-SA"/>
        </w:rPr>
        <w:t>我局对2022年度</w:t>
      </w:r>
      <w:r>
        <w:rPr>
          <w:rFonts w:hint="eastAsia" w:ascii="仿宋" w:hAnsi="仿宋" w:eastAsia="仿宋" w:cs="仿宋"/>
          <w:sz w:val="30"/>
          <w:szCs w:val="30"/>
          <w:highlight w:val="none"/>
          <w:lang w:val="en-US" w:eastAsia="zh-CN"/>
        </w:rPr>
        <w:t>曲阳县职教中心食堂改扩建及多功能厅建设项目</w:t>
      </w:r>
      <w:r>
        <w:rPr>
          <w:rFonts w:hint="eastAsia" w:ascii="仿宋" w:hAnsi="仿宋" w:eastAsia="仿宋" w:cs="仿宋"/>
          <w:kern w:val="2"/>
          <w:sz w:val="32"/>
          <w:szCs w:val="32"/>
          <w:highlight w:val="none"/>
          <w:u w:val="none"/>
          <w:shd w:val="clear" w:color="auto" w:fill="auto"/>
          <w:lang w:val="en-US" w:eastAsia="zh-CN" w:bidi="ar-SA"/>
        </w:rPr>
        <w:t>专项债券资金进行了绩效评价，项目实施单位和相关单位提供与绩效评价有关的项目资料，并对其真实性、完整性、合法性负责。我局对该项目的项目决策、项目过程、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kern w:val="2"/>
          <w:sz w:val="32"/>
          <w:szCs w:val="32"/>
          <w:highlight w:val="none"/>
          <w:u w:val="none"/>
          <w:shd w:val="clear" w:color="auto" w:fill="auto"/>
          <w:lang w:val="en-US" w:eastAsia="zh-CN" w:bidi="ar-SA"/>
        </w:rPr>
        <w:t>我们的绩效评价工作是依据河北省政府债券资金绩效管理办法等相关规定进行的，对本年度债券项目进行全覆盖评价。在评价工作中，我们结合项目的实际情况制定了绩效评价指标体系，实施了包括资料查看、问询、现场检查、问卷调查等我们认为必要的评价手段。绩效评价工作现已完成，具体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default" w:ascii="仿宋" w:hAnsi="仿宋" w:eastAsia="仿宋" w:cs="仿宋"/>
          <w:sz w:val="30"/>
          <w:szCs w:val="30"/>
          <w:highlight w:val="none"/>
          <w:lang w:val="en-US" w:eastAsia="zh-CN"/>
        </w:rPr>
      </w:pPr>
      <w:r>
        <w:rPr>
          <w:rFonts w:hint="eastAsia" w:ascii="仿宋" w:hAnsi="仿宋" w:eastAsia="仿宋" w:cs="仿宋"/>
          <w:b/>
          <w:bCs/>
          <w:sz w:val="32"/>
          <w:szCs w:val="32"/>
          <w:highlight w:val="none"/>
          <w:lang w:val="en-US" w:eastAsia="zh-CN"/>
        </w:rPr>
        <w:t>一、</w:t>
      </w:r>
      <w:r>
        <w:rPr>
          <w:rFonts w:hint="eastAsia" w:ascii="仿宋" w:hAnsi="仿宋" w:eastAsia="仿宋" w:cs="仿宋"/>
          <w:b/>
          <w:bCs/>
          <w:sz w:val="32"/>
          <w:szCs w:val="32"/>
          <w:highlight w:val="none"/>
        </w:rPr>
        <w:t>项目</w:t>
      </w:r>
      <w:bookmarkEnd w:id="0"/>
      <w:bookmarkEnd w:id="1"/>
      <w:bookmarkEnd w:id="2"/>
      <w:bookmarkEnd w:id="3"/>
      <w:r>
        <w:rPr>
          <w:rFonts w:hint="eastAsia" w:ascii="仿宋" w:hAnsi="仿宋" w:eastAsia="仿宋" w:cs="仿宋"/>
          <w:b/>
          <w:bCs/>
          <w:sz w:val="32"/>
          <w:szCs w:val="32"/>
          <w:highlight w:val="none"/>
          <w:lang w:eastAsia="zh-CN"/>
        </w:rPr>
        <w:t>建设背景</w:t>
      </w:r>
      <w:bookmarkStart w:id="4" w:name="_Toc83631028"/>
      <w:bookmarkStart w:id="5" w:name="_Toc25381"/>
      <w:bookmarkStart w:id="6" w:name="_Toc19822"/>
      <w:bookmarkStart w:id="7" w:name="_Toc83630318"/>
      <w:bookmarkStart w:id="8" w:name="_Toc22022"/>
      <w:bookmarkStart w:id="9" w:name="_Toc22961"/>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国务院关于基础教育改革与发展的决定》中明确指出，基础教育是科教兴国的奠基工程，对提高中华民族素质、培养各级各类人才，促进社会主义现代化建设具有全局性、基础性和指导性作用。保持教育适度超前发展，必须把基础教育摆在优先地位并作为基础设施建设和教育事业发展的重点领域，切实予以保障。</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default" w:ascii="仿宋" w:hAnsi="仿宋" w:eastAsia="仿宋" w:cs="仿宋"/>
          <w:sz w:val="30"/>
          <w:szCs w:val="30"/>
          <w:highlight w:val="none"/>
          <w:lang w:val="en-US" w:eastAsia="zh-CN"/>
        </w:rPr>
        <w:t>学校是传播知识、培养人才的基地，学校食堂是在校学生就餐的主要场所。近几年来，随着加强教育的呼声日益高涨，我国政府也加大了对学校校舍及附属设施的建设力度，但是直接关系到学生身体健康和生命安全的食堂建设和管理却存在着许多不容忽视的死角。为了加强学校食堂卫生安全，为学生营造一个良好的学习生活环境，从而促进教育的稳步发展，学校食堂建设显得尤为重要。</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二、</w:t>
      </w:r>
      <w:r>
        <w:rPr>
          <w:rFonts w:hint="eastAsia" w:ascii="仿宋" w:hAnsi="仿宋" w:eastAsia="仿宋" w:cs="仿宋"/>
          <w:b/>
          <w:bCs/>
          <w:sz w:val="32"/>
          <w:szCs w:val="32"/>
          <w:highlight w:val="none"/>
        </w:rPr>
        <w:t>项目实施内容和范围</w:t>
      </w:r>
      <w:bookmarkEnd w:id="4"/>
      <w:bookmarkEnd w:id="5"/>
      <w:bookmarkEnd w:id="6"/>
      <w:bookmarkEnd w:id="7"/>
      <w:bookmarkEnd w:id="8"/>
      <w:bookmarkEnd w:id="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10" w:name="_Toc83630319"/>
      <w:bookmarkStart w:id="11" w:name="_Toc1525"/>
      <w:bookmarkStart w:id="12" w:name="_Toc17013"/>
      <w:bookmarkStart w:id="13" w:name="_Toc8527"/>
      <w:bookmarkStart w:id="14" w:name="_Toc24391"/>
      <w:bookmarkStart w:id="15" w:name="_Toc83631029"/>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项目承担部门：</w:t>
      </w:r>
      <w:r>
        <w:rPr>
          <w:rFonts w:hint="eastAsia" w:ascii="仿宋" w:hAnsi="仿宋" w:eastAsia="仿宋" w:cs="仿宋"/>
          <w:sz w:val="30"/>
          <w:szCs w:val="30"/>
          <w:highlight w:val="none"/>
          <w:lang w:eastAsia="zh-CN"/>
        </w:rPr>
        <w:t>曲阳县教育和体育局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二</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项目实施主体：曲阳县教育和体育局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三</w:t>
      </w:r>
      <w:r>
        <w:rPr>
          <w:rFonts w:hint="eastAsia" w:ascii="仿宋" w:hAnsi="仿宋" w:eastAsia="仿宋" w:cs="仿宋"/>
          <w:sz w:val="30"/>
          <w:szCs w:val="30"/>
          <w:highlight w:val="none"/>
          <w:lang w:eastAsia="zh-CN"/>
        </w:rPr>
        <w:t>）项目建设地点:</w:t>
      </w:r>
      <w:r>
        <w:rPr>
          <w:rFonts w:hint="eastAsia" w:ascii="仿宋" w:hAnsi="仿宋" w:eastAsia="仿宋" w:cs="仿宋"/>
          <w:sz w:val="30"/>
          <w:szCs w:val="30"/>
          <w:highlight w:val="none"/>
          <w:lang w:val="en-US" w:eastAsia="zh-CN"/>
        </w:rPr>
        <w:t>曲阳县职教中心校内。</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四</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建设内容及规模：该项目主要进行食堂改扩建及多功能厅建设，项目占地3,633.41平方米，总建筑面积11,637.52平方米，其中食堂建筑面积7,675.19平方米，多功能厅建筑面积3,962.33平方米，并进行电气工程、给排水工程等相关配套设施建设。购置食堂用相关设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（五）投资规模及资金来源:项目总投资 4,030万元，资金来源为申请上级资金2,900万元，县财政资金1,130万元。</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（六）项目计划</w:t>
      </w:r>
      <w:r>
        <w:rPr>
          <w:rFonts w:hint="default" w:ascii="仿宋" w:hAnsi="仿宋" w:eastAsia="仿宋" w:cs="仿宋"/>
          <w:sz w:val="30"/>
          <w:szCs w:val="30"/>
          <w:highlight w:val="none"/>
          <w:lang w:val="en-US" w:eastAsia="zh-CN"/>
        </w:rPr>
        <w:t>建设期限:</w:t>
      </w:r>
      <w:r>
        <w:rPr>
          <w:rFonts w:hint="eastAsia" w:ascii="仿宋" w:hAnsi="仿宋" w:eastAsia="仿宋" w:cs="仿宋"/>
          <w:sz w:val="30"/>
          <w:szCs w:val="30"/>
          <w:highlight w:val="none"/>
          <w:lang w:val="en-US" w:eastAsia="zh-CN"/>
        </w:rPr>
        <w:t>2022年6月23日签订的项目施工合同显示计划工期为2022年6月25日至2023年6月25日（365日历天）。</w:t>
      </w:r>
    </w:p>
    <w:p>
      <w:pPr>
        <w:pageBreakBefore w:val="0"/>
        <w:kinsoku/>
        <w:wordWrap/>
        <w:overflowPunct/>
        <w:topLinePunct w:val="0"/>
        <w:autoSpaceDE/>
        <w:autoSpaceDN/>
        <w:bidi w:val="0"/>
        <w:adjustRightInd/>
        <w:snapToGrid/>
        <w:spacing w:line="560" w:lineRule="exact"/>
        <w:ind w:firstLine="600" w:firstLineChars="200"/>
        <w:rPr>
          <w:rFonts w:hint="eastAsia"/>
          <w:highlight w:val="none"/>
          <w:lang w:val="en-US" w:eastAsia="zh-CN"/>
        </w:rPr>
      </w:pPr>
      <w:r>
        <w:rPr>
          <w:rFonts w:hint="eastAsia" w:ascii="仿宋" w:hAnsi="仿宋" w:eastAsia="仿宋" w:cs="仿宋"/>
          <w:sz w:val="30"/>
          <w:szCs w:val="30"/>
          <w:highlight w:val="none"/>
          <w:lang w:val="en-US" w:eastAsia="zh-CN"/>
        </w:rPr>
        <w:t>（七）项目绩效目标：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1、提升曲阳县的教育水平，提升基本公共服务能力。</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2、改善曲阳县职教中心办学条件，有利于人才培养。</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sz w:val="30"/>
          <w:szCs w:val="30"/>
          <w:highlight w:val="none"/>
          <w:lang w:val="en-US" w:eastAsia="zh-CN"/>
        </w:rPr>
      </w:pPr>
      <w:r>
        <w:rPr>
          <w:rFonts w:hint="eastAsia" w:ascii="仿宋" w:hAnsi="仿宋" w:eastAsia="仿宋" w:cs="仿宋"/>
          <w:b/>
          <w:bCs/>
          <w:sz w:val="32"/>
          <w:szCs w:val="32"/>
          <w:highlight w:val="none"/>
          <w:lang w:val="en-US" w:eastAsia="zh-CN"/>
        </w:rPr>
        <w:t>三、项目资金使用情况</w:t>
      </w:r>
      <w:bookmarkEnd w:id="10"/>
      <w:bookmarkEnd w:id="11"/>
      <w:bookmarkEnd w:id="12"/>
      <w:bookmarkEnd w:id="13"/>
      <w:bookmarkEnd w:id="14"/>
      <w:bookmarkEnd w:id="1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该项目2022年度共安排专项债券资金1,400.00万元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累计支出金额1,400.00万元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结余资金0.00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具体见下表：</w:t>
      </w:r>
    </w:p>
    <w:p>
      <w:pPr>
        <w:pageBreakBefore w:val="0"/>
        <w:kinsoku/>
        <w:wordWrap/>
        <w:overflowPunct/>
        <w:topLinePunct w:val="0"/>
        <w:autoSpaceDE/>
        <w:autoSpaceDN/>
        <w:bidi w:val="0"/>
        <w:adjustRightInd/>
        <w:snapToGrid/>
        <w:spacing w:line="560" w:lineRule="exact"/>
        <w:jc w:val="center"/>
        <w:rPr>
          <w:rFonts w:hint="eastAsia"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rPr>
        <w:t xml:space="preserve"> </w:t>
      </w:r>
      <w:r>
        <w:rPr>
          <w:rFonts w:hint="eastAsia" w:ascii="仿宋" w:hAnsi="仿宋" w:eastAsia="仿宋" w:cs="仿宋"/>
          <w:sz w:val="30"/>
          <w:szCs w:val="30"/>
          <w:highlight w:val="none"/>
          <w:lang w:val="en-US" w:eastAsia="zh-CN"/>
        </w:rPr>
        <w:t>曲阳县职教中心食堂改扩建及多功能厅建设项目支出明细表</w:t>
      </w:r>
      <w:r>
        <w:rPr>
          <w:rFonts w:hint="eastAsia" w:ascii="仿宋_GB2312" w:eastAsia="仿宋_GB2312" w:cs="Times New Roman"/>
          <w:b w:val="0"/>
          <w:bCs w:val="0"/>
          <w:color w:val="000000"/>
          <w:sz w:val="24"/>
          <w:szCs w:val="24"/>
          <w:highlight w:val="none"/>
        </w:rPr>
        <w:t xml:space="preserve">                                                     </w:t>
      </w:r>
    </w:p>
    <w:p>
      <w:pPr>
        <w:widowControl/>
        <w:spacing w:line="560" w:lineRule="exact"/>
        <w:jc w:val="center"/>
        <w:textAlignment w:val="center"/>
        <w:rPr>
          <w:rFonts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lang w:val="en-US" w:eastAsia="zh-CN"/>
        </w:rPr>
        <w:t xml:space="preserve">                                                                     </w:t>
      </w:r>
      <w:r>
        <w:rPr>
          <w:rFonts w:hint="eastAsia" w:ascii="仿宋_GB2312" w:eastAsia="仿宋_GB2312" w:cs="Times New Roman"/>
          <w:b w:val="0"/>
          <w:bCs w:val="0"/>
          <w:color w:val="000000"/>
          <w:sz w:val="24"/>
          <w:szCs w:val="24"/>
          <w:highlight w:val="none"/>
        </w:rPr>
        <w:t xml:space="preserve">  单位：万元</w:t>
      </w:r>
    </w:p>
    <w:tbl>
      <w:tblPr>
        <w:tblStyle w:val="18"/>
        <w:tblW w:w="9785" w:type="dxa"/>
        <w:tblInd w:w="60" w:type="dxa"/>
        <w:tblLayout w:type="fixed"/>
        <w:tblCellMar>
          <w:top w:w="0" w:type="dxa"/>
          <w:left w:w="108" w:type="dxa"/>
          <w:bottom w:w="0" w:type="dxa"/>
          <w:right w:w="108" w:type="dxa"/>
        </w:tblCellMar>
      </w:tblPr>
      <w:tblGrid>
        <w:gridCol w:w="800"/>
        <w:gridCol w:w="2375"/>
        <w:gridCol w:w="4265"/>
        <w:gridCol w:w="2345"/>
      </w:tblGrid>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序号</w:t>
            </w:r>
          </w:p>
        </w:tc>
        <w:tc>
          <w:tcPr>
            <w:tcW w:w="237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内容</w:t>
            </w:r>
          </w:p>
        </w:tc>
        <w:tc>
          <w:tcPr>
            <w:tcW w:w="426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公司名称</w:t>
            </w:r>
          </w:p>
        </w:tc>
        <w:tc>
          <w:tcPr>
            <w:tcW w:w="234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累计支付金额</w:t>
            </w:r>
          </w:p>
        </w:tc>
      </w:tr>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bCs/>
                <w:color w:val="000000"/>
                <w:sz w:val="24"/>
                <w:szCs w:val="24"/>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1</w:t>
            </w:r>
          </w:p>
        </w:tc>
        <w:tc>
          <w:tcPr>
            <w:tcW w:w="237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工程款</w:t>
            </w:r>
          </w:p>
        </w:tc>
        <w:tc>
          <w:tcPr>
            <w:tcW w:w="426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cs="宋体"/>
                <w:i w:val="0"/>
                <w:iCs w:val="0"/>
                <w:color w:val="000000"/>
                <w:kern w:val="0"/>
                <w:sz w:val="22"/>
                <w:szCs w:val="22"/>
                <w:highlight w:val="none"/>
                <w:u w:val="none"/>
                <w:lang w:val="en-US" w:eastAsia="zh-CN" w:bidi="ar"/>
              </w:rPr>
              <w:t>河北一帆建筑工程有限公司</w:t>
            </w:r>
          </w:p>
        </w:tc>
        <w:tc>
          <w:tcPr>
            <w:tcW w:w="234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cs="宋体"/>
                <w:i w:val="0"/>
                <w:iCs w:val="0"/>
                <w:color w:val="000000"/>
                <w:kern w:val="0"/>
                <w:sz w:val="22"/>
                <w:szCs w:val="22"/>
                <w:highlight w:val="none"/>
                <w:u w:val="none"/>
                <w:lang w:val="en-US" w:eastAsia="zh-CN" w:bidi="ar"/>
              </w:rPr>
              <w:t>1,400.00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rPr>
                <w:rFonts w:hint="eastAsia" w:ascii="仿宋_GB2312" w:eastAsia="仿宋_GB2312" w:cs="Times New Roman"/>
                <w:b w:val="0"/>
                <w:bCs w:val="0"/>
                <w:color w:val="000000"/>
                <w:sz w:val="24"/>
                <w:szCs w:val="24"/>
                <w:highlight w:val="none"/>
              </w:rPr>
            </w:pPr>
          </w:p>
        </w:tc>
        <w:tc>
          <w:tcPr>
            <w:tcW w:w="237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kern w:val="2"/>
                <w:sz w:val="24"/>
                <w:szCs w:val="24"/>
                <w:highlight w:val="none"/>
                <w:lang w:val="en-US" w:eastAsia="zh-CN" w:bidi="ar-SA"/>
              </w:rPr>
            </w:pPr>
            <w:r>
              <w:rPr>
                <w:rFonts w:hint="eastAsia" w:ascii="仿宋_GB2312" w:eastAsia="仿宋_GB2312" w:cs="Times New Roman"/>
                <w:b/>
                <w:bCs/>
                <w:color w:val="000000"/>
                <w:sz w:val="24"/>
                <w:szCs w:val="24"/>
                <w:highlight w:val="none"/>
                <w:lang w:val="en-US" w:eastAsia="zh-CN"/>
              </w:rPr>
              <w:t>合计</w:t>
            </w:r>
          </w:p>
        </w:tc>
        <w:tc>
          <w:tcPr>
            <w:tcW w:w="426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1,400.00</w:t>
            </w:r>
          </w:p>
        </w:tc>
      </w:tr>
    </w:tbl>
    <w:p>
      <w:pPr>
        <w:pStyle w:val="2"/>
        <w:rPr>
          <w:rFonts w:hint="eastAsia"/>
          <w:highlight w:val="none"/>
          <w:lang w:val="en-US" w:eastAsia="zh-CN"/>
        </w:rPr>
      </w:pP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曲阳县人民政府《关于2022年政府专项债券限额使用及项目安排的报告》〔2022〕曲府77号文件显示，安排曲阳县职教中心食堂改扩建及多功能厅建设项目专项债券资金1,400.00万元，预算下达到曲阳县教育和体育局，并由曲阳县教育和体育局进行集中支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2022年度，该项目共计收到专项债券资金1,400.00万元，实际支出1,400.00万元,全部为工程款支出。收支明细详见下表：</w:t>
      </w:r>
    </w:p>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专项债券资金收支明细表</w:t>
      </w:r>
    </w:p>
    <w:p>
      <w:pPr>
        <w:pStyle w:val="36"/>
        <w:tabs>
          <w:tab w:val="left" w:pos="312"/>
        </w:tabs>
        <w:spacing w:line="560" w:lineRule="exact"/>
        <w:ind w:left="120" w:firstLine="440"/>
        <w:jc w:val="right"/>
        <w:rPr>
          <w:rFonts w:hint="eastAsia" w:ascii="仿宋" w:hAnsi="仿宋" w:eastAsia="仿宋" w:cs="仿宋"/>
          <w:sz w:val="24"/>
          <w:szCs w:val="24"/>
          <w:highlight w:val="none"/>
        </w:rPr>
      </w:pPr>
      <w:r>
        <w:rPr>
          <w:rFonts w:hint="eastAsia" w:ascii="仿宋" w:hAnsi="仿宋" w:eastAsia="仿宋" w:cs="仿宋"/>
          <w:bCs/>
          <w:kern w:val="0"/>
          <w:sz w:val="24"/>
          <w:szCs w:val="24"/>
          <w:highlight w:val="none"/>
        </w:rPr>
        <w:t>单位：万元</w:t>
      </w:r>
    </w:p>
    <w:tbl>
      <w:tblPr>
        <w:tblStyle w:val="19"/>
        <w:tblW w:w="9757"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736"/>
        <w:gridCol w:w="1905"/>
        <w:gridCol w:w="1306"/>
        <w:gridCol w:w="1623"/>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5020"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收入</w:t>
            </w:r>
          </w:p>
        </w:tc>
        <w:tc>
          <w:tcPr>
            <w:tcW w:w="4737"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73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905"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c>
          <w:tcPr>
            <w:tcW w:w="130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Merge w:val="restart"/>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专项债券资金</w:t>
            </w:r>
          </w:p>
        </w:tc>
        <w:tc>
          <w:tcPr>
            <w:tcW w:w="1736"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2022.6.28</w:t>
            </w:r>
          </w:p>
        </w:tc>
        <w:tc>
          <w:tcPr>
            <w:tcW w:w="1905"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1,000.00</w:t>
            </w:r>
          </w:p>
        </w:tc>
        <w:tc>
          <w:tcPr>
            <w:tcW w:w="1306"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付工程款</w:t>
            </w:r>
          </w:p>
        </w:tc>
        <w:tc>
          <w:tcPr>
            <w:tcW w:w="1623"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2022.6.28</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lang w:val="en-US" w:eastAsia="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1736"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2022.8.25</w:t>
            </w:r>
          </w:p>
        </w:tc>
        <w:tc>
          <w:tcPr>
            <w:tcW w:w="1905"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400.00</w:t>
            </w:r>
          </w:p>
        </w:tc>
        <w:tc>
          <w:tcPr>
            <w:tcW w:w="1306"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1623"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2022.8.25</w:t>
            </w:r>
          </w:p>
        </w:tc>
        <w:tc>
          <w:tcPr>
            <w:tcW w:w="1808"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3115"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905"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1,400.00</w:t>
            </w:r>
          </w:p>
        </w:tc>
        <w:tc>
          <w:tcPr>
            <w:tcW w:w="2929"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808" w:type="dxa"/>
            <w:vAlign w:val="center"/>
          </w:tcPr>
          <w:p>
            <w:pPr>
              <w:keepNext w:val="0"/>
              <w:keepLines w:val="0"/>
              <w:widowControl/>
              <w:suppressLineNumbers w:val="0"/>
              <w:jc w:val="center"/>
              <w:textAlignment w:val="center"/>
              <w:rPr>
                <w:rFonts w:hint="default"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1,400.00</w:t>
            </w:r>
          </w:p>
        </w:tc>
      </w:tr>
    </w:tbl>
    <w:p>
      <w:pPr>
        <w:pStyle w:val="2"/>
        <w:ind w:left="0" w:leftChars="0" w:firstLine="0" w:firstLineChars="0"/>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562" w:leftChars="0"/>
        <w:jc w:val="left"/>
        <w:textAlignment w:val="auto"/>
        <w:rPr>
          <w:rFonts w:hint="eastAsia" w:ascii="仿宋" w:hAnsi="仿宋" w:eastAsia="仿宋" w:cs="仿宋"/>
          <w:b/>
          <w:bCs/>
          <w:sz w:val="30"/>
          <w:szCs w:val="30"/>
          <w:highlight w:val="none"/>
          <w:lang w:val="en-US" w:eastAsia="zh-CN"/>
        </w:rPr>
      </w:pPr>
      <w:bookmarkStart w:id="16" w:name="_Toc21403"/>
      <w:bookmarkStart w:id="17" w:name="_Toc14351"/>
      <w:bookmarkStart w:id="18" w:name="_Toc83630320"/>
      <w:bookmarkStart w:id="19" w:name="_Toc18734"/>
      <w:bookmarkStart w:id="20" w:name="_Toc83631030"/>
      <w:bookmarkStart w:id="21" w:name="_Toc21592"/>
      <w:r>
        <w:rPr>
          <w:rFonts w:hint="eastAsia" w:ascii="仿宋" w:hAnsi="仿宋" w:eastAsia="仿宋" w:cs="仿宋"/>
          <w:b/>
          <w:bCs/>
          <w:sz w:val="30"/>
          <w:szCs w:val="30"/>
          <w:highlight w:val="none"/>
          <w:lang w:val="en-US" w:eastAsia="zh-CN"/>
        </w:rPr>
        <w:t>四、绩效评估工作开展情况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（一）绩效评估目的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为了进一步强化部门支出责任，提高部门绩效意识，优化资源配置，控制节约成本，切实提供项目资金管理水平和使用效益，及时掌握项目在执行过程中产生的效果和存在的不足，特别是在资金使用方面，将评估结果与当年预算安排挂钩，作为预算合法有效执行的重要保障，并作为完善政策、分配资金、改善管理的重要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绩效评估设计过程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.收集资料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工作组在项目实施单位收集、整理被评估项目基础资料及相关信息，对项目情况进行初步了解。</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.绩效评估具体实施</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我们通过查看项目相关政策文件，项目</w:t>
      </w:r>
      <w:r>
        <w:rPr>
          <w:rFonts w:hint="eastAsia" w:ascii="仿宋" w:hAnsi="仿宋" w:eastAsia="仿宋" w:cs="仿宋"/>
          <w:sz w:val="30"/>
          <w:szCs w:val="30"/>
          <w:highlight w:val="none"/>
          <w:lang w:val="en-US" w:eastAsia="zh-CN"/>
        </w:rPr>
        <w:t>的相关管理制度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档案资料、</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收付明细账</w:t>
      </w:r>
      <w:r>
        <w:rPr>
          <w:rFonts w:hint="eastAsia" w:ascii="仿宋" w:hAnsi="仿宋" w:eastAsia="仿宋" w:cs="仿宋"/>
          <w:sz w:val="30"/>
          <w:szCs w:val="30"/>
          <w:highlight w:val="none"/>
          <w:lang w:eastAsia="zh-CN"/>
        </w:rPr>
        <w:t>等相关资料，评估项目实施的效果，并按照评估指标体系对相应事项进行分数评定。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3.撰写绩效报告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工作组根据现场核实、数据分析情况，撰写绩效评估报告</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lang w:eastAsia="zh-CN"/>
        </w:rPr>
        <w:t>经过内部讨论、与项目实施单位交换沟通，形成绩效评估项目报告初稿。</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（三）绩效评估框架</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1.绩效评估原则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（1）价值导向原则：财政支出绩效评估体系应能够反映财政支出的经济性、效益性、有效性原则，体现财政部门和项目主管部门的价值导向。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（2）重要性原则：根据指标在整个指标体系的地位和作用进行筛选，选择最具代表性、最能反映评估要求的指标。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（3）可比性原则：在相似项目之间有共同的指标，不同项目之间的衡量结果可以相互比较。</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（4）综合性原则：将定性指标和定量指标相结合，定性分析是定量分析的基础，定量分析是定性分析的深化，两者相结合系统反映财政支出所产生的社会效益。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（5）经济性原则：指标的选取要考虑现实条件及可操作性，数据的获得应符合成本效益原则，在合理成本的基础上收集信息。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2.绩效评估的评估方法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本次评估采取定量和定性评估相结合、综合评估相结合的方式，运用审查法和现场查勘法开展绩效评估工作。</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（1）审查法：通过审查被评估单位的项目档案、项目</w:t>
      </w:r>
      <w:r>
        <w:rPr>
          <w:rFonts w:hint="eastAsia" w:ascii="仿宋" w:hAnsi="仿宋" w:eastAsia="仿宋" w:cs="仿宋"/>
          <w:sz w:val="30"/>
          <w:szCs w:val="30"/>
          <w:highlight w:val="none"/>
          <w:lang w:val="en-US" w:eastAsia="zh-CN"/>
        </w:rPr>
        <w:t>管理制度</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支付凭证</w:t>
      </w:r>
      <w:r>
        <w:rPr>
          <w:rFonts w:hint="eastAsia" w:ascii="仿宋" w:hAnsi="仿宋" w:eastAsia="仿宋" w:cs="仿宋"/>
          <w:sz w:val="30"/>
          <w:szCs w:val="30"/>
          <w:highlight w:val="none"/>
          <w:lang w:eastAsia="zh-CN"/>
        </w:rPr>
        <w:t>、资金支付</w:t>
      </w:r>
      <w:r>
        <w:rPr>
          <w:rFonts w:hint="eastAsia" w:ascii="仿宋" w:hAnsi="仿宋" w:eastAsia="仿宋" w:cs="仿宋"/>
          <w:sz w:val="30"/>
          <w:szCs w:val="30"/>
          <w:highlight w:val="none"/>
          <w:lang w:val="en-US" w:eastAsia="zh-CN"/>
        </w:rPr>
        <w:t>明细账</w:t>
      </w:r>
      <w:r>
        <w:rPr>
          <w:rFonts w:hint="eastAsia" w:ascii="仿宋" w:hAnsi="仿宋" w:eastAsia="仿宋" w:cs="仿宋"/>
          <w:sz w:val="30"/>
          <w:szCs w:val="30"/>
          <w:highlight w:val="none"/>
          <w:lang w:eastAsia="zh-CN"/>
        </w:rPr>
        <w:t>等项目资料，分析资金支出的合理性和合规性。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（2）现场查勘法：通过对项目的现场查勘，了解目标的实施情况，进而评估项目绩效目标的完成情况。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3.绩效评估标准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绩效评估标准：是指衡量财政支出绩效目标完成程度的尺度，绩效评估标准。具体包括：</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（1）计划标准：是指以预先制定的目标、计划、预算、标准等数据作为评估的标准。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（2）行业标准：是指参照国家权威部门公布的行业指标数据制定的评估标准。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（3）历史标准：是指参照同类指标的历史数据制定的评估标准。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（4）其他标准：其他有参考价值的标准。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4.绩效评估依据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22" w:name="_Toc5980"/>
      <w:bookmarkStart w:id="23" w:name="_Toc12911"/>
      <w:bookmarkStart w:id="24" w:name="_Toc16243"/>
      <w:r>
        <w:rPr>
          <w:rFonts w:hint="eastAsia" w:ascii="仿宋" w:hAnsi="仿宋" w:eastAsia="仿宋" w:cs="仿宋"/>
          <w:sz w:val="30"/>
          <w:szCs w:val="30"/>
          <w:highlight w:val="none"/>
        </w:rPr>
        <w:t>（1）《中华人民共和国预算法》(主席令第21号)；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 xml:space="preserve">《中共中央国务院关于全面实施预算绩效管理的意见》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）《关于印发〈财政支出绩效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管理暂行办法〉的通知》（财预〔2011〕285号）；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《河北省财政支出绩效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）《关于印发&lt;预算绩效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 xml:space="preserve">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）《河北省项目支出绩效指标框架体系》（冀财预[2016]</w:t>
      </w:r>
      <w:r>
        <w:rPr>
          <w:rFonts w:hint="eastAsia" w:ascii="仿宋" w:hAnsi="仿宋" w:eastAsia="仿宋" w:cs="仿宋"/>
          <w:sz w:val="30"/>
          <w:szCs w:val="30"/>
          <w:highlight w:val="none"/>
          <w:lang w:eastAsia="zh-CN"/>
        </w:rPr>
        <w:t>94</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管理办法》(财预[2020]10号)；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曲阳县财政局关于印发2023年县级财政重点绩效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计划的通知</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曲财</w:t>
      </w:r>
      <w:r>
        <w:rPr>
          <w:rFonts w:hint="eastAsia" w:ascii="仿宋" w:hAnsi="仿宋" w:eastAsia="仿宋" w:cs="仿宋"/>
          <w:sz w:val="30"/>
          <w:szCs w:val="30"/>
          <w:highlight w:val="none"/>
        </w:rPr>
        <w:t>[20</w:t>
      </w:r>
      <w:r>
        <w:rPr>
          <w:rFonts w:hint="eastAsia" w:ascii="仿宋" w:hAnsi="仿宋" w:eastAsia="仿宋" w:cs="仿宋"/>
          <w:sz w:val="30"/>
          <w:szCs w:val="30"/>
          <w:highlight w:val="none"/>
          <w:lang w:val="en-US" w:eastAsia="zh-CN"/>
        </w:rPr>
        <w:t>23</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rPr>
      </w:pPr>
      <w:r>
        <w:rPr>
          <w:rFonts w:hint="eastAsia" w:ascii="仿宋" w:hAnsi="仿宋" w:eastAsia="仿宋" w:cs="仿宋"/>
          <w:sz w:val="30"/>
          <w:szCs w:val="30"/>
          <w:highlight w:val="none"/>
          <w:lang w:val="en-US" w:eastAsia="zh-CN"/>
        </w:rPr>
        <w:t>（9）相关预算指标文及其他文件依据。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绩效评估指标体系</w:t>
      </w:r>
      <w:bookmarkEnd w:id="22"/>
      <w:bookmarkEnd w:id="23"/>
      <w:bookmarkEnd w:id="2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）指标设定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绩效指标指用于测量公共支出效果的指数或指数体系。绩效指标可以是某一独立指标，也可以是由多项指标组成的体系。科学的绩效指标是实现公共管理科学化的前提。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评估指标体系是根据财政支出项目进行评估的目的、财政支出项目的绩效内容，以及财政支出指标体系的设计原则，采用适当的方法，确定财政支出项目的绩效评估指标，然后，运用适当的方法，确定各个指标相对于项目总体绩效的重要性，并用数量化的方法表示出来，即赋予每个指标一定的权重；确定各个评估指标的参照标准，即明确指标的标准值。</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）指标权重设定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该项目管理类指标占全部权重的</w:t>
      </w:r>
      <w:r>
        <w:rPr>
          <w:rFonts w:hint="eastAsia" w:ascii="仿宋" w:hAnsi="仿宋" w:eastAsia="仿宋" w:cs="仿宋"/>
          <w:sz w:val="30"/>
          <w:szCs w:val="30"/>
          <w:highlight w:val="none"/>
          <w:lang w:val="en-US" w:eastAsia="zh-CN"/>
        </w:rPr>
        <w:t>60</w:t>
      </w:r>
      <w:r>
        <w:rPr>
          <w:rFonts w:hint="eastAsia" w:ascii="仿宋" w:hAnsi="仿宋" w:eastAsia="仿宋" w:cs="仿宋"/>
          <w:sz w:val="30"/>
          <w:szCs w:val="30"/>
          <w:highlight w:val="none"/>
          <w:lang w:eastAsia="zh-CN"/>
        </w:rPr>
        <w:t>%，包括项目立项、项目过程管理；项目绩效类指标占全部权重的</w:t>
      </w:r>
      <w:r>
        <w:rPr>
          <w:rFonts w:hint="eastAsia" w:ascii="仿宋" w:hAnsi="仿宋" w:eastAsia="仿宋" w:cs="仿宋"/>
          <w:sz w:val="30"/>
          <w:szCs w:val="30"/>
          <w:highlight w:val="none"/>
          <w:lang w:val="en-US" w:eastAsia="zh-CN"/>
        </w:rPr>
        <w:t>40</w:t>
      </w:r>
      <w:r>
        <w:rPr>
          <w:rFonts w:hint="eastAsia" w:ascii="仿宋" w:hAnsi="仿宋" w:eastAsia="仿宋" w:cs="仿宋"/>
          <w:sz w:val="30"/>
          <w:szCs w:val="30"/>
          <w:highlight w:val="none"/>
          <w:lang w:eastAsia="zh-CN"/>
        </w:rPr>
        <w:t>%，其中项目产出类指标占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lang w:eastAsia="zh-CN"/>
        </w:rPr>
        <w:t>%，项目效果类指标占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 xml:space="preserve"> </w:t>
      </w:r>
      <w:bookmarkStart w:id="25" w:name="_Toc22342"/>
      <w:bookmarkStart w:id="26" w:name="_Toc6963"/>
      <w:bookmarkStart w:id="27" w:name="_Toc27907"/>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评分方法和评分等级</w:t>
      </w:r>
      <w:bookmarkEnd w:id="25"/>
      <w:bookmarkEnd w:id="26"/>
      <w:bookmarkEnd w:id="27"/>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）评分方法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①按照《财政支出绩效评估管理暂行办法》的相关要求和国务院、省、市、县出台</w:t>
      </w:r>
      <w:bookmarkStart w:id="90" w:name="_GoBack"/>
      <w:bookmarkEnd w:id="90"/>
      <w:r>
        <w:rPr>
          <w:rFonts w:hint="eastAsia" w:ascii="仿宋" w:hAnsi="仿宋" w:eastAsia="仿宋" w:cs="仿宋"/>
          <w:sz w:val="30"/>
          <w:szCs w:val="30"/>
          <w:highlight w:val="none"/>
          <w:lang w:eastAsia="zh-CN"/>
        </w:rPr>
        <w:t>的相关规定作为评估标准，采取定量和定性评估相结合的方法，对项目资料进行审核、分析。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②评估中做到重点突出</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在评估工作中，评估人员紧紧抓住评估工作的重点环节，严格按照相关文件和评估方案的要求，实事求是、客观公正地进行绩效评估工作，取得了详实、客观的评估资料。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③客观分析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首先，根据评估项目的实际情况与指标体系进行分析、比对，各项指标根据预期绩效目标值，评判实际达到的绩效目标，并给出适当得分。主要关注以下几方面：项目是否实现了年度绩效目标、项目是否在长期绩效目标上实现了预期进展、是否有助于政府战略目标和部门目标的实现等。然后，根据项目评估综合得分得出综合绩效评估等级，依据各项评估结果，综合各方面因素，填写项目绩效评估综合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）评估等级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指标体系设定满分为100分，绩效评估分值≥9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为优；80≤分值&lt;9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为良；60≤分值&lt;80为合格；60分以下为不合格。按照绩效评估指标对评估结果进行逐级、逐项分析，形成综合评估得分及等级。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28" w:name="_Toc5968"/>
      <w:bookmarkStart w:id="29" w:name="_Toc12583"/>
      <w:bookmarkStart w:id="30" w:name="_Toc31732"/>
      <w:bookmarkStart w:id="31" w:name="_Toc501368350"/>
      <w:r>
        <w:rPr>
          <w:rFonts w:hint="eastAsia" w:ascii="仿宋" w:hAnsi="仿宋" w:eastAsia="仿宋" w:cs="仿宋"/>
          <w:sz w:val="30"/>
          <w:szCs w:val="30"/>
          <w:highlight w:val="none"/>
          <w:lang w:val="en-US" w:eastAsia="zh-CN"/>
        </w:rPr>
        <w:t>（四）</w:t>
      </w:r>
      <w:bookmarkEnd w:id="28"/>
      <w:bookmarkEnd w:id="29"/>
      <w:bookmarkEnd w:id="30"/>
      <w:bookmarkEnd w:id="31"/>
      <w:r>
        <w:rPr>
          <w:rFonts w:hint="eastAsia" w:ascii="仿宋" w:hAnsi="仿宋" w:eastAsia="仿宋" w:cs="仿宋"/>
          <w:sz w:val="30"/>
          <w:szCs w:val="30"/>
          <w:highlight w:val="none"/>
          <w:lang w:val="en-US" w:eastAsia="zh-CN"/>
        </w:rPr>
        <w:t>证据收集方法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评估小组对项目资料进行收集、整理</w:t>
      </w:r>
      <w:r>
        <w:rPr>
          <w:rFonts w:hint="eastAsia" w:ascii="仿宋" w:hAnsi="仿宋" w:eastAsia="仿宋" w:cs="仿宋"/>
          <w:sz w:val="30"/>
          <w:szCs w:val="30"/>
          <w:highlight w:val="none"/>
          <w:lang w:eastAsia="zh-CN"/>
        </w:rPr>
        <w:t>，并进行分析，然后将获取的资料与从现场勘查中获得的资料汇集起来，对同一指标在不同文件资料中的证据进行对比、印证、核实和补充，经过验证和确定后得到了准确、可靠和有效的证据。最后，评估小组对证据进行了判断分析，形成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（五）绩效评估实施过程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前期准备阶段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主要是组建评估工作小组，了解评估项目基本情况，设计有关基础数据表格，下发项目执行单位需要准备的资料清单等。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信息采集复核阶段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执行单位进行初步准备后，评估小组先后深入项目执行单位以实地察看、面访、查阅相关资料、核查财务凭证及账簿等多种形式采集信息，复核基础数据和评估证据，并多次就相关资料的补充、完善进行沟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指标体系设计论证阶段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评估小组在收集各类基础数据，制作基础表格后，根据指定的评估方法，结合项目特点，开始设计项目产出和项目效益类指标。通过评估小组的集体商议，初步形成了既能体现评估意图又切合实际的系列指标。进一步修改完善指标体系，合理确定各指标权重，制定评分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数据分析和报告形成阶段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完成系列基础性、前置性工作后，评估小组开始集中精力进行数据分析及指标计算比较，按规范格式撰写绩效评估报告初稿，并送有关方面征求意见，进一步修改后出具正式报告。</w:t>
      </w:r>
    </w:p>
    <w:bookmarkEnd w:id="16"/>
    <w:bookmarkEnd w:id="17"/>
    <w:bookmarkEnd w:id="18"/>
    <w:bookmarkEnd w:id="19"/>
    <w:bookmarkEnd w:id="20"/>
    <w:bookmarkEnd w:id="21"/>
    <w:p>
      <w:pPr>
        <w:pStyle w:val="3"/>
        <w:spacing w:beforeAutospacing="0" w:afterAutospacing="0" w:line="360" w:lineRule="auto"/>
        <w:ind w:firstLine="602" w:firstLineChars="200"/>
        <w:rPr>
          <w:rFonts w:hint="eastAsia" w:ascii="仿宋" w:hAnsi="仿宋" w:eastAsia="仿宋" w:cs="仿宋"/>
          <w:b w:val="0"/>
          <w:kern w:val="2"/>
          <w:sz w:val="30"/>
          <w:szCs w:val="30"/>
          <w:highlight w:val="none"/>
          <w:lang w:val="en-US" w:eastAsia="zh-CN" w:bidi="ar-SA"/>
        </w:rPr>
      </w:pPr>
      <w:bookmarkStart w:id="32" w:name="_Toc8822"/>
      <w:bookmarkStart w:id="33" w:name="_Toc32473"/>
      <w:bookmarkStart w:id="34" w:name="_Toc28493"/>
      <w:bookmarkStart w:id="35" w:name="_Toc501368358"/>
      <w:bookmarkStart w:id="36" w:name="_Toc32445"/>
      <w:bookmarkStart w:id="37" w:name="_Toc83630330"/>
      <w:bookmarkStart w:id="38" w:name="_Toc12058"/>
      <w:bookmarkStart w:id="39" w:name="_Toc501368359"/>
      <w:bookmarkStart w:id="40" w:name="_Toc12908"/>
      <w:bookmarkStart w:id="41" w:name="_Toc83631040"/>
      <w:r>
        <w:rPr>
          <w:rFonts w:hint="eastAsia" w:ascii="仿宋" w:hAnsi="仿宋" w:eastAsia="仿宋" w:cs="仿宋"/>
          <w:b/>
          <w:bCs/>
          <w:kern w:val="2"/>
          <w:sz w:val="30"/>
          <w:szCs w:val="30"/>
          <w:highlight w:val="none"/>
          <w:lang w:val="en-US" w:eastAsia="zh-CN" w:bidi="ar-SA"/>
        </w:rPr>
        <w:t>五、项目执行及绩效实现情况</w:t>
      </w:r>
      <w:bookmarkEnd w:id="32"/>
      <w:bookmarkEnd w:id="33"/>
      <w:bookmarkEnd w:id="34"/>
      <w:bookmarkEnd w:id="35"/>
    </w:p>
    <w:p>
      <w:pPr>
        <w:spacing w:line="360" w:lineRule="auto"/>
        <w:ind w:firstLine="600" w:firstLineChars="200"/>
        <w:jc w:val="left"/>
        <w:rPr>
          <w:rFonts w:hint="eastAsia" w:ascii="仿宋" w:hAnsi="仿宋" w:eastAsia="仿宋" w:cs="仿宋"/>
          <w:b w:val="0"/>
          <w:kern w:val="2"/>
          <w:sz w:val="30"/>
          <w:szCs w:val="30"/>
          <w:highlight w:val="none"/>
          <w:lang w:val="en-US" w:eastAsia="zh-CN" w:bidi="ar-SA"/>
        </w:rPr>
      </w:pPr>
      <w:r>
        <w:rPr>
          <w:rFonts w:hint="eastAsia" w:ascii="仿宋" w:hAnsi="仿宋" w:eastAsia="仿宋" w:cs="仿宋"/>
          <w:b w:val="0"/>
          <w:kern w:val="2"/>
          <w:sz w:val="30"/>
          <w:szCs w:val="30"/>
          <w:highlight w:val="none"/>
          <w:lang w:val="en-US" w:eastAsia="zh-CN" w:bidi="ar-SA"/>
        </w:rPr>
        <w:t>通过对该单位提供的项目资料和现场实地检查，该项目综合得分91分，评估等级为“优”。各项得分情况明细如下：</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（一）项目立项（</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36"/>
      <w:bookmarkEnd w:id="37"/>
      <w:bookmarkEnd w:id="38"/>
      <w:bookmarkEnd w:id="39"/>
      <w:bookmarkEnd w:id="40"/>
      <w:bookmarkEnd w:id="4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8"/>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决策机制（</w:t>
            </w:r>
            <w:r>
              <w:rPr>
                <w:rFonts w:hint="eastAsia" w:ascii="仿宋" w:hAnsi="仿宋" w:eastAsia="仿宋" w:cs="仿宋"/>
                <w:color w:val="000000"/>
                <w:kern w:val="0"/>
                <w:sz w:val="24"/>
                <w:szCs w:val="24"/>
                <w:highlight w:val="none"/>
                <w:lang w:val="en-US" w:eastAsia="zh-CN"/>
              </w:rPr>
              <w:t>12</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rPr>
              <w:t>项目设立</w:t>
            </w:r>
            <w:r>
              <w:rPr>
                <w:rFonts w:hint="eastAsia" w:ascii="仿宋" w:hAnsi="仿宋" w:eastAsia="仿宋" w:cs="仿宋"/>
                <w:color w:val="000000"/>
                <w:kern w:val="0"/>
                <w:sz w:val="24"/>
                <w:szCs w:val="24"/>
                <w:highlight w:val="none"/>
                <w:lang w:val="en-US" w:eastAsia="zh-CN"/>
              </w:rPr>
              <w:t>规范性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绩效目标（</w:t>
            </w:r>
            <w:r>
              <w:rPr>
                <w:rFonts w:hint="eastAsia" w:ascii="仿宋" w:hAnsi="仿宋" w:eastAsia="仿宋" w:cs="仿宋"/>
                <w:color w:val="000000"/>
                <w:kern w:val="0"/>
                <w:sz w:val="24"/>
                <w:szCs w:val="24"/>
                <w:highlight w:val="none"/>
                <w:lang w:val="en-US" w:eastAsia="zh-CN"/>
              </w:rPr>
              <w:t>8</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4</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1.决策机制（</w:t>
      </w:r>
      <w:r>
        <w:rPr>
          <w:rFonts w:hint="eastAsia" w:ascii="仿宋" w:hAnsi="仿宋" w:eastAsia="仿宋" w:cs="仿宋"/>
          <w:sz w:val="30"/>
          <w:szCs w:val="30"/>
          <w:highlight w:val="none"/>
          <w:lang w:val="en-US" w:eastAsia="zh-CN"/>
        </w:rPr>
        <w:t>12</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项目立项是否符合国家法规、政策规定，符合社会经济发展战略规划；项目内容设置与国家及地方政策、规划、社会需求等相关内容相符程度，决策过程是否规范。</w:t>
      </w:r>
    </w:p>
    <w:p>
      <w:pPr>
        <w:pageBreakBefore w:val="0"/>
        <w:numPr>
          <w:ilvl w:val="0"/>
          <w:numId w:val="1"/>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项目设立</w:t>
      </w:r>
      <w:r>
        <w:rPr>
          <w:rFonts w:hint="eastAsia" w:ascii="仿宋" w:hAnsi="仿宋" w:eastAsia="仿宋" w:cs="仿宋"/>
          <w:sz w:val="30"/>
          <w:szCs w:val="30"/>
          <w:highlight w:val="none"/>
          <w:lang w:val="en-US" w:eastAsia="zh-CN"/>
        </w:rPr>
        <w:t>规范性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该项目立项是否符合国家法规、政策规定，符合社会经济发展战略规划</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bookmarkStart w:id="42" w:name="_Toc21059"/>
      <w:bookmarkStart w:id="43" w:name="_Toc83630331"/>
      <w:bookmarkStart w:id="44" w:name="_Toc25534"/>
      <w:bookmarkStart w:id="45" w:name="_Toc83631041"/>
      <w:bookmarkStart w:id="46" w:name="_Toc83630427"/>
      <w:r>
        <w:rPr>
          <w:rFonts w:hint="eastAsia" w:ascii="仿宋" w:hAnsi="仿宋" w:eastAsia="仿宋" w:cs="仿宋"/>
          <w:sz w:val="30"/>
          <w:szCs w:val="30"/>
          <w:highlight w:val="none"/>
        </w:rPr>
        <w:t>经检查，该项目设立的主要依据</w:t>
      </w:r>
      <w:r>
        <w:rPr>
          <w:rFonts w:hint="eastAsia" w:ascii="仿宋" w:hAnsi="仿宋" w:eastAsia="仿宋" w:cs="仿宋"/>
          <w:sz w:val="30"/>
          <w:szCs w:val="30"/>
          <w:highlight w:val="none"/>
          <w:lang w:val="en-US" w:eastAsia="zh-CN"/>
        </w:rPr>
        <w:t>有</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曲阳县职教中心食堂改扩建及多功能厅建设项目</w:t>
      </w:r>
      <w:r>
        <w:rPr>
          <w:rFonts w:hint="eastAsia" w:ascii="仿宋" w:hAnsi="仿宋" w:eastAsia="仿宋" w:cs="仿宋"/>
          <w:sz w:val="30"/>
          <w:szCs w:val="30"/>
          <w:highlight w:val="none"/>
          <w:lang w:val="en-US" w:eastAsia="zh-CN"/>
        </w:rPr>
        <w:t>建议书</w:t>
      </w:r>
      <w:r>
        <w:rPr>
          <w:rFonts w:hint="eastAsia" w:ascii="仿宋" w:hAnsi="仿宋" w:eastAsia="仿宋" w:cs="仿宋"/>
          <w:sz w:val="30"/>
          <w:szCs w:val="30"/>
          <w:highlight w:val="none"/>
        </w:rPr>
        <w:t>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2021</w:t>
      </w:r>
      <w:r>
        <w:rPr>
          <w:rFonts w:hint="eastAsia" w:ascii="仿宋" w:hAnsi="仿宋" w:eastAsia="仿宋" w:cs="仿宋"/>
          <w:sz w:val="30"/>
          <w:szCs w:val="30"/>
          <w:highlight w:val="none"/>
          <w:lang w:val="en-US" w:eastAsia="en-US"/>
        </w:rPr>
        <w:t xml:space="preserve">] </w:t>
      </w:r>
      <w:r>
        <w:rPr>
          <w:rFonts w:hint="eastAsia" w:ascii="仿宋" w:hAnsi="仿宋" w:eastAsia="仿宋" w:cs="仿宋"/>
          <w:sz w:val="30"/>
          <w:szCs w:val="30"/>
          <w:highlight w:val="none"/>
          <w:lang w:val="en-US" w:eastAsia="zh-CN"/>
        </w:rPr>
        <w:t>96</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曲阳县职教中心食堂改扩建及多功能厅建设项目</w:t>
      </w:r>
      <w:r>
        <w:rPr>
          <w:rFonts w:hint="eastAsia" w:ascii="仿宋" w:hAnsi="仿宋" w:eastAsia="仿宋" w:cs="仿宋"/>
          <w:sz w:val="30"/>
          <w:szCs w:val="30"/>
          <w:highlight w:val="none"/>
        </w:rPr>
        <w:t>可行性研究报告的批复》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2022</w:t>
      </w:r>
      <w:r>
        <w:rPr>
          <w:rFonts w:hint="eastAsia" w:ascii="仿宋" w:hAnsi="仿宋" w:eastAsia="仿宋" w:cs="仿宋"/>
          <w:sz w:val="30"/>
          <w:szCs w:val="30"/>
          <w:highlight w:val="none"/>
          <w:lang w:val="en-US" w:eastAsia="en-US"/>
        </w:rPr>
        <w:t xml:space="preserve">] </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bookmarkEnd w:id="42"/>
      <w:bookmarkEnd w:id="43"/>
      <w:bookmarkEnd w:id="44"/>
      <w:bookmarkEnd w:id="45"/>
      <w:bookmarkEnd w:id="46"/>
      <w:r>
        <w:rPr>
          <w:rFonts w:hint="eastAsia" w:ascii="仿宋" w:hAnsi="仿宋" w:eastAsia="仿宋" w:cs="仿宋"/>
          <w:sz w:val="30"/>
          <w:szCs w:val="30"/>
          <w:highlight w:val="none"/>
          <w:lang w:eastAsia="zh-CN"/>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我们认为该项目设定依据充分，</w:t>
      </w:r>
      <w:r>
        <w:rPr>
          <w:rFonts w:hint="eastAsia" w:ascii="仿宋" w:hAnsi="仿宋" w:eastAsia="仿宋" w:cs="仿宋"/>
          <w:sz w:val="30"/>
          <w:szCs w:val="30"/>
          <w:highlight w:val="none"/>
          <w:lang w:val="en-US" w:eastAsia="zh-CN"/>
        </w:rPr>
        <w:t>按照规定的程序申请设立，已经过必要的可行性研究、专家论证等。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（2）项目决策必要性（</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bookmarkStart w:id="47" w:name="_Toc83630332"/>
      <w:bookmarkStart w:id="48" w:name="_Toc83630428"/>
      <w:bookmarkStart w:id="49" w:name="_Toc32149"/>
      <w:bookmarkStart w:id="50" w:name="_Toc83631042"/>
      <w:bookmarkStart w:id="51" w:name="_Toc24207"/>
      <w:r>
        <w:rPr>
          <w:rFonts w:hint="eastAsia" w:ascii="仿宋" w:hAnsi="仿宋" w:eastAsia="仿宋" w:cs="仿宋"/>
          <w:sz w:val="30"/>
          <w:szCs w:val="30"/>
          <w:highlight w:val="none"/>
        </w:rPr>
        <w:t>加强职业教育基础设施建设，是推进职业教育发展，是贯彻落实《国务院关于基础教育改革与发展的决定》的重要举措。为从根本上解决优质教育资源不足与人们教育需求不断提高的矛盾，提高教育教学质量，真正实现教育为当地经济发展服务、为“三农”服务的目标。项目的实施是教育结构合理调整，优化教育资源，提高教育水平，实现教育的可持续发展</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随着曲阳县经济持续增长和产业结构、技术结构、城乡结构的变化，以及人民生活水平的不断提高，构成了对基础教育庞大的社会需求。人民群众在逐步实现小康生活的过程中，对学校教学质量、师资水平、校园环境等提出了更高的要求。</w:t>
      </w:r>
      <w:r>
        <w:rPr>
          <w:rFonts w:hint="eastAsia" w:ascii="仿宋" w:hAnsi="仿宋" w:eastAsia="仿宋" w:cs="仿宋"/>
          <w:sz w:val="30"/>
          <w:szCs w:val="30"/>
          <w:highlight w:val="none"/>
          <w:lang w:eastAsia="zh-CN"/>
        </w:rPr>
        <w:t>该项目</w:t>
      </w:r>
      <w:r>
        <w:rPr>
          <w:rFonts w:hint="eastAsia" w:ascii="仿宋" w:hAnsi="仿宋" w:eastAsia="仿宋" w:cs="仿宋"/>
          <w:sz w:val="30"/>
          <w:szCs w:val="30"/>
          <w:highlight w:val="none"/>
        </w:rPr>
        <w:t>的实施满足了广大群众对校园环境的要求，有效地完善了学校基础设施建设，为提高学校教育教学质量奠定了坚实基础。</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学生的健康成长，越来越受到社会各界的关注。现在的学生学习负担很重，如果住宿、吃饭问题解决不好，就会严重影响身体健。因此，建设学校食堂，解决学生就餐问题是关心中小学生身心健康的现实要求，解决学生就餐问题是提高教育教学质量的迫切需要。</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曲阳县职教中心学校现有教职169人，其中年青单身职工有87人，到2020年按照1：20教师比例，学校教师数300人预计新招聘教师将达到140人，每间宿舍按2人计算，预计需要80间教师宿舍。食堂现有建筑面积1,000平方米，距国家要求的人均建筑面积2平方米标，相差很远，学生很多只能在宿舍就餐。为了解决学生就餐问题，提出了对该项目的建设，以满足社会需求和学校教育教学需要，同时也达了到河北省中小学食堂建设标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项目建设从根本上改善了各学校的现状，完善基础设施建设，推动教学配套工作的顺利开展，从而提高教学质量。项目建设</w:t>
      </w:r>
      <w:r>
        <w:rPr>
          <w:rFonts w:hint="eastAsia" w:ascii="仿宋" w:hAnsi="仿宋" w:eastAsia="仿宋" w:cs="仿宋"/>
          <w:sz w:val="30"/>
          <w:szCs w:val="30"/>
          <w:highlight w:val="none"/>
        </w:rPr>
        <w:t>符合国家政策要求和国家教育事业发展方向</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经评估，该项目建设与国家及地方政策、规划、社会需求相符，决策过程较为规范。</w:t>
      </w:r>
    </w:p>
    <w:bookmarkEnd w:id="47"/>
    <w:bookmarkEnd w:id="48"/>
    <w:bookmarkEnd w:id="49"/>
    <w:bookmarkEnd w:id="50"/>
    <w:bookmarkEnd w:id="51"/>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2.绩效目标（</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该指标共包含2个三级指标，主要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（1）合理性（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项目绩效目标依据是否充分，与客观实际相符的情况。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eastAsia="zh-CN"/>
        </w:rPr>
        <w:t>该</w:t>
      </w:r>
      <w:r>
        <w:rPr>
          <w:rFonts w:hint="eastAsia" w:ascii="仿宋" w:hAnsi="仿宋" w:eastAsia="仿宋" w:cs="仿宋"/>
          <w:sz w:val="30"/>
          <w:szCs w:val="30"/>
          <w:highlight w:val="none"/>
        </w:rPr>
        <w:t>项目</w:t>
      </w:r>
      <w:r>
        <w:rPr>
          <w:rFonts w:hint="eastAsia" w:ascii="仿宋" w:hAnsi="仿宋" w:eastAsia="仿宋" w:cs="仿宋"/>
          <w:sz w:val="30"/>
          <w:szCs w:val="30"/>
          <w:highlight w:val="none"/>
          <w:lang w:val="en-US" w:eastAsia="zh-CN"/>
        </w:rPr>
        <w:t>的绩效目标：</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目标1：提升曲阳县的教育水平，提升基本公共服务能力</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目标2：改善曲阳县职教中心办学条件，有利于人才培养</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该项目绩效目标是依据</w:t>
      </w:r>
      <w:r>
        <w:rPr>
          <w:rFonts w:hint="eastAsia" w:ascii="仿宋" w:hAnsi="仿宋" w:eastAsia="仿宋" w:cs="仿宋"/>
          <w:sz w:val="30"/>
          <w:szCs w:val="30"/>
          <w:highlight w:val="none"/>
          <w:lang w:val="en-US" w:eastAsia="zh-CN"/>
        </w:rPr>
        <w:t>项目可行性研究报告及实施方案文件内容设定的，绩效目标设置</w:t>
      </w:r>
      <w:r>
        <w:rPr>
          <w:rFonts w:hint="eastAsia" w:ascii="仿宋" w:hAnsi="仿宋" w:eastAsia="仿宋" w:cs="仿宋"/>
          <w:sz w:val="30"/>
          <w:szCs w:val="30"/>
          <w:highlight w:val="none"/>
        </w:rPr>
        <w:t>依据</w:t>
      </w:r>
      <w:r>
        <w:rPr>
          <w:rFonts w:hint="eastAsia" w:ascii="仿宋" w:hAnsi="仿宋" w:eastAsia="仿宋" w:cs="仿宋"/>
          <w:sz w:val="30"/>
          <w:szCs w:val="30"/>
          <w:highlight w:val="none"/>
          <w:lang w:val="en-US" w:eastAsia="zh-CN"/>
        </w:rPr>
        <w:t>较为</w:t>
      </w:r>
      <w:r>
        <w:rPr>
          <w:rFonts w:hint="eastAsia" w:ascii="仿宋" w:hAnsi="仿宋" w:eastAsia="仿宋" w:cs="仿宋"/>
          <w:sz w:val="30"/>
          <w:szCs w:val="30"/>
          <w:highlight w:val="none"/>
        </w:rPr>
        <w:t>充分，与客观实际相符</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（2）明确性（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绩效目标</w:t>
      </w:r>
      <w:r>
        <w:rPr>
          <w:rFonts w:hint="eastAsia" w:ascii="仿宋" w:hAnsi="仿宋" w:eastAsia="仿宋" w:cs="仿宋"/>
          <w:sz w:val="30"/>
          <w:szCs w:val="30"/>
          <w:highlight w:val="none"/>
          <w:lang w:val="en-US" w:eastAsia="zh-CN"/>
        </w:rPr>
        <w:t>表中相关</w:t>
      </w:r>
      <w:r>
        <w:rPr>
          <w:rFonts w:hint="eastAsia" w:ascii="仿宋" w:hAnsi="仿宋" w:eastAsia="仿宋" w:cs="仿宋"/>
          <w:sz w:val="30"/>
          <w:szCs w:val="30"/>
          <w:highlight w:val="none"/>
        </w:rPr>
        <w:t>绩效指标</w:t>
      </w:r>
      <w:r>
        <w:rPr>
          <w:rFonts w:hint="eastAsia" w:ascii="仿宋" w:hAnsi="仿宋" w:eastAsia="仿宋" w:cs="仿宋"/>
          <w:sz w:val="30"/>
          <w:szCs w:val="30"/>
          <w:highlight w:val="none"/>
          <w:lang w:val="en-US" w:eastAsia="zh-CN"/>
        </w:rPr>
        <w:t>设定</w:t>
      </w:r>
      <w:r>
        <w:rPr>
          <w:rFonts w:hint="eastAsia" w:ascii="仿宋" w:hAnsi="仿宋" w:eastAsia="仿宋" w:cs="仿宋"/>
          <w:sz w:val="30"/>
          <w:szCs w:val="30"/>
          <w:highlight w:val="none"/>
        </w:rPr>
        <w:t>清晰、细化、量化、可衡量，</w:t>
      </w:r>
      <w:r>
        <w:rPr>
          <w:rFonts w:hint="eastAsia" w:ascii="仿宋" w:hAnsi="仿宋" w:eastAsia="仿宋" w:cs="仿宋"/>
          <w:sz w:val="30"/>
          <w:szCs w:val="30"/>
          <w:highlight w:val="none"/>
          <w:lang w:val="en-US" w:eastAsia="zh-CN"/>
        </w:rPr>
        <w:t>但未按年度细化匹配年度工作任务，不利于考核年度任务完成情况，扣2分。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bookmarkStart w:id="52" w:name="_Toc83631044"/>
      <w:bookmarkStart w:id="53" w:name="_Toc8907"/>
      <w:bookmarkStart w:id="54" w:name="_Toc27328"/>
      <w:bookmarkStart w:id="55" w:name="_Toc83630334"/>
      <w:bookmarkStart w:id="56" w:name="_Toc21302"/>
      <w:r>
        <w:rPr>
          <w:rFonts w:hint="eastAsia" w:ascii="仿宋" w:hAnsi="仿宋" w:eastAsia="仿宋" w:cs="仿宋"/>
          <w:b w:val="0"/>
          <w:bCs w:val="0"/>
          <w:sz w:val="30"/>
          <w:szCs w:val="30"/>
          <w:highlight w:val="none"/>
        </w:rPr>
        <w:t>（二）项目过程管理（</w:t>
      </w:r>
      <w:r>
        <w:rPr>
          <w:rFonts w:hint="eastAsia" w:ascii="仿宋" w:hAnsi="仿宋" w:eastAsia="仿宋" w:cs="仿宋"/>
          <w:b w:val="0"/>
          <w:bCs w:val="0"/>
          <w:sz w:val="30"/>
          <w:szCs w:val="30"/>
          <w:highlight w:val="none"/>
          <w:lang w:val="en-US" w:eastAsia="zh-CN"/>
        </w:rPr>
        <w:t>40</w:t>
      </w:r>
      <w:r>
        <w:rPr>
          <w:rFonts w:hint="eastAsia" w:ascii="仿宋" w:hAnsi="仿宋" w:eastAsia="仿宋" w:cs="仿宋"/>
          <w:b w:val="0"/>
          <w:bCs w:val="0"/>
          <w:sz w:val="30"/>
          <w:szCs w:val="30"/>
          <w:highlight w:val="none"/>
        </w:rPr>
        <w:t>分）</w:t>
      </w:r>
      <w:bookmarkEnd w:id="52"/>
      <w:bookmarkEnd w:id="53"/>
      <w:bookmarkEnd w:id="54"/>
      <w:bookmarkEnd w:id="55"/>
      <w:bookmarkEnd w:id="5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p>
      <w:pPr>
        <w:pStyle w:val="2"/>
        <w:rPr>
          <w:rFonts w:hint="eastAsia"/>
          <w:highlight w:val="none"/>
        </w:rPr>
      </w:pPr>
    </w:p>
    <w:tbl>
      <w:tblPr>
        <w:tblStyle w:val="18"/>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9"/>
        <w:gridCol w:w="1853"/>
        <w:gridCol w:w="2834"/>
        <w:gridCol w:w="1511"/>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2" w:hRule="exac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40</w:t>
            </w:r>
            <w:r>
              <w:rPr>
                <w:rFonts w:hint="eastAsia" w:ascii="仿宋" w:hAnsi="仿宋" w:eastAsia="仿宋" w:cs="仿宋"/>
                <w:color w:val="000000"/>
                <w:kern w:val="0"/>
                <w:sz w:val="24"/>
                <w:szCs w:val="24"/>
                <w:highlight w:val="none"/>
              </w:rPr>
              <w:t>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专项资金</w:t>
            </w:r>
            <w:r>
              <w:rPr>
                <w:rFonts w:hint="eastAsia" w:ascii="仿宋" w:hAnsi="仿宋" w:eastAsia="仿宋" w:cs="仿宋"/>
                <w:color w:val="000000"/>
                <w:kern w:val="0"/>
                <w:sz w:val="24"/>
                <w:szCs w:val="24"/>
                <w:highlight w:val="none"/>
              </w:rPr>
              <w:t>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1"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会计核算</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资金支出合规性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6"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管理制度是否健全</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5"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制度执行有效性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项目档案资料完整性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exact"/>
          <w:jc w:val="center"/>
        </w:trPr>
        <w:tc>
          <w:tcPr>
            <w:tcW w:w="3502"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40</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35</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1.项目财务管理（</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（1）</w:t>
      </w:r>
      <w:r>
        <w:rPr>
          <w:rFonts w:hint="eastAsia" w:ascii="仿宋" w:hAnsi="仿宋" w:eastAsia="仿宋" w:cs="仿宋"/>
          <w:sz w:val="30"/>
          <w:szCs w:val="30"/>
          <w:highlight w:val="none"/>
          <w:lang w:eastAsia="zh-CN"/>
        </w:rPr>
        <w:t>专项资金</w:t>
      </w:r>
      <w:r>
        <w:rPr>
          <w:rFonts w:hint="eastAsia" w:ascii="仿宋" w:hAnsi="仿宋" w:eastAsia="仿宋" w:cs="仿宋"/>
          <w:sz w:val="30"/>
          <w:szCs w:val="30"/>
          <w:highlight w:val="none"/>
        </w:rPr>
        <w:t>使用率（</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该项目2022年</w:t>
      </w:r>
      <w:r>
        <w:rPr>
          <w:rFonts w:hint="eastAsia" w:ascii="仿宋" w:hAnsi="仿宋" w:eastAsia="仿宋" w:cs="仿宋"/>
          <w:sz w:val="30"/>
          <w:szCs w:val="30"/>
          <w:highlight w:val="none"/>
          <w:lang w:eastAsia="zh-CN"/>
        </w:rPr>
        <w:t>度共安排</w:t>
      </w:r>
      <w:r>
        <w:rPr>
          <w:rFonts w:hint="eastAsia" w:ascii="仿宋" w:hAnsi="仿宋" w:eastAsia="仿宋" w:cs="仿宋"/>
          <w:sz w:val="30"/>
          <w:szCs w:val="30"/>
          <w:highlight w:val="none"/>
          <w:lang w:val="en-US" w:eastAsia="zh-CN"/>
        </w:rPr>
        <w:t>专项债券资金1,400.00</w:t>
      </w:r>
      <w:r>
        <w:rPr>
          <w:rFonts w:hint="eastAsia" w:ascii="仿宋" w:hAnsi="仿宋" w:eastAsia="仿宋" w:cs="仿宋"/>
          <w:sz w:val="30"/>
          <w:szCs w:val="30"/>
          <w:highlight w:val="none"/>
          <w:lang w:eastAsia="zh-CN"/>
        </w:rPr>
        <w:t>万元，2022年</w:t>
      </w:r>
      <w:r>
        <w:rPr>
          <w:rFonts w:hint="eastAsia" w:ascii="仿宋" w:hAnsi="仿宋" w:eastAsia="仿宋" w:cs="仿宋"/>
          <w:sz w:val="30"/>
          <w:szCs w:val="30"/>
          <w:highlight w:val="none"/>
        </w:rPr>
        <w:t>度</w:t>
      </w:r>
      <w:r>
        <w:rPr>
          <w:rFonts w:hint="eastAsia" w:ascii="仿宋" w:hAnsi="仿宋" w:eastAsia="仿宋" w:cs="仿宋"/>
          <w:sz w:val="30"/>
          <w:szCs w:val="30"/>
          <w:highlight w:val="none"/>
          <w:lang w:val="en-US" w:eastAsia="zh-CN"/>
        </w:rPr>
        <w:t>共使用专项债券资金1,400.00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资金数额占专项</w:t>
      </w:r>
      <w:r>
        <w:rPr>
          <w:rFonts w:hint="eastAsia" w:ascii="仿宋" w:hAnsi="仿宋" w:eastAsia="仿宋" w:cs="仿宋"/>
          <w:sz w:val="30"/>
          <w:szCs w:val="30"/>
          <w:highlight w:val="none"/>
          <w:lang w:val="en-US" w:eastAsia="zh-CN"/>
        </w:rPr>
        <w:t>债券</w:t>
      </w:r>
      <w:r>
        <w:rPr>
          <w:rFonts w:hint="eastAsia" w:ascii="仿宋" w:hAnsi="仿宋" w:eastAsia="仿宋" w:cs="仿宋"/>
          <w:sz w:val="30"/>
          <w:szCs w:val="30"/>
          <w:highlight w:val="none"/>
        </w:rPr>
        <w:t>资金拨付额的比例为</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7*100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（2）会计核算（</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会计核算是否严格遵守有关法规及制度规定，会计核算是否规范，专项资金支付申报、审批流程是否完善、支付依据是否合法。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经检查，该项目资金按照合同要求的付款进度进行支付；</w:t>
      </w:r>
      <w:r>
        <w:rPr>
          <w:rFonts w:hint="eastAsia" w:ascii="仿宋" w:hAnsi="仿宋" w:eastAsia="仿宋" w:cs="仿宋"/>
          <w:sz w:val="30"/>
          <w:szCs w:val="30"/>
          <w:highlight w:val="none"/>
          <w:lang w:val="en-US" w:eastAsia="zh-CN"/>
        </w:rPr>
        <w:t>曲阳县教育和体育局</w:t>
      </w:r>
      <w:r>
        <w:rPr>
          <w:rFonts w:hint="eastAsia" w:ascii="仿宋" w:hAnsi="仿宋" w:eastAsia="仿宋" w:cs="仿宋"/>
          <w:sz w:val="30"/>
          <w:szCs w:val="30"/>
          <w:highlight w:val="none"/>
          <w:lang w:eastAsia="zh-CN"/>
        </w:rPr>
        <w:t>会计核算严格遵守《政府会计制度》的相关规定，科目使用正确，核算规范，各项资金的支付申报、审批流程完善。</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但施工合同显示工程</w:t>
      </w:r>
      <w:r>
        <w:rPr>
          <w:rFonts w:hint="eastAsia" w:ascii="仿宋" w:hAnsi="仿宋" w:eastAsia="仿宋" w:cs="仿宋"/>
          <w:sz w:val="30"/>
          <w:szCs w:val="30"/>
          <w:highlight w:val="none"/>
          <w:lang w:val="en-US" w:eastAsia="zh-CN"/>
        </w:rPr>
        <w:t>预付款比例为30%，项目初步设计显示的工程费总额3856.21万元，计算得出预付款金额应为1156.86万元，2022年6月21日《曲阳县教育和体育局关于拨付曲阳县职教中心食堂改扩建及多功能厅建设项目地方专程债券资金的请示》申请项目预付款1400万，金额填写错误，财务资料复核工作有待加强，扣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（3）资金支出合规性（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经检查，该项目</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w:t>
      </w:r>
      <w:r>
        <w:rPr>
          <w:rFonts w:hint="eastAsia" w:ascii="仿宋" w:hAnsi="仿宋" w:eastAsia="仿宋" w:cs="仿宋"/>
          <w:sz w:val="30"/>
          <w:szCs w:val="30"/>
          <w:highlight w:val="none"/>
          <w:lang w:val="en-US" w:eastAsia="zh-CN"/>
        </w:rPr>
        <w:t>均用于项目工程款支付，</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val="en-US" w:eastAsia="zh-CN"/>
        </w:rPr>
        <w:t>资金通过国库集中支付，</w:t>
      </w:r>
      <w:r>
        <w:rPr>
          <w:rFonts w:hint="eastAsia" w:ascii="仿宋" w:hAnsi="仿宋" w:eastAsia="仿宋" w:cs="仿宋"/>
          <w:sz w:val="30"/>
          <w:szCs w:val="30"/>
          <w:highlight w:val="none"/>
        </w:rPr>
        <w:t>不存在截留、挤占、挪用等违规行为。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2.项目业务管理（</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57" w:name="_Toc83630335"/>
      <w:bookmarkStart w:id="58" w:name="_Toc21112"/>
      <w:bookmarkStart w:id="59" w:name="_Toc30993"/>
      <w:bookmarkStart w:id="60" w:name="_Toc83631045"/>
      <w:bookmarkStart w:id="61" w:name="_Toc6507"/>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管理制度是否健全</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项目制定的管理制度和措施是否全面、明确、合理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能否保障项目顺利实施</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《曲阳县职教中心食堂改扩建及多功能厅建设项目可行性研究报告》第九章 项目组织与管理中明确了项目过程管理要求，有效保障了项目的顺利实施；项目《实施方案》中明确了项目资金管理方案及保障措施，保障了</w:t>
      </w:r>
      <w:r>
        <w:rPr>
          <w:rFonts w:hint="eastAsia" w:ascii="仿宋" w:hAnsi="仿宋" w:eastAsia="仿宋" w:cs="仿宋"/>
          <w:sz w:val="30"/>
          <w:szCs w:val="30"/>
          <w:highlight w:val="none"/>
        </w:rPr>
        <w:t>债券资金</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合规使用，提高</w:t>
      </w:r>
      <w:r>
        <w:rPr>
          <w:rFonts w:hint="eastAsia" w:ascii="仿宋" w:hAnsi="仿宋" w:eastAsia="仿宋" w:cs="仿宋"/>
          <w:sz w:val="30"/>
          <w:szCs w:val="30"/>
          <w:highlight w:val="none"/>
          <w:lang w:eastAsia="zh-CN"/>
        </w:rPr>
        <w:t>了</w:t>
      </w:r>
      <w:r>
        <w:rPr>
          <w:rFonts w:hint="eastAsia" w:ascii="仿宋" w:hAnsi="仿宋" w:eastAsia="仿宋" w:cs="仿宋"/>
          <w:sz w:val="30"/>
          <w:szCs w:val="30"/>
          <w:highlight w:val="none"/>
        </w:rPr>
        <w:t>债券资金</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使用效率</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制度执行有效性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项目实施是否符合相关法律法规、业务管理制度的规定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val="en-US" w:eastAsia="zh-CN"/>
        </w:rPr>
        <w:t>评估</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项目实施</w:t>
      </w:r>
      <w:r>
        <w:rPr>
          <w:rFonts w:hint="eastAsia" w:ascii="仿宋" w:hAnsi="仿宋" w:eastAsia="仿宋" w:cs="仿宋"/>
          <w:sz w:val="30"/>
          <w:szCs w:val="30"/>
          <w:highlight w:val="none"/>
        </w:rPr>
        <w:t>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项目档案资料完整性（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项目档案资料是否齐全，保存是否完整。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经评估，项目</w:t>
      </w:r>
      <w:r>
        <w:rPr>
          <w:rFonts w:hint="eastAsia" w:ascii="仿宋" w:hAnsi="仿宋" w:eastAsia="仿宋" w:cs="仿宋"/>
          <w:sz w:val="30"/>
          <w:szCs w:val="30"/>
          <w:highlight w:val="none"/>
        </w:rPr>
        <w:t>档案资料</w:t>
      </w:r>
      <w:r>
        <w:rPr>
          <w:rFonts w:hint="eastAsia" w:ascii="仿宋" w:hAnsi="仿宋" w:eastAsia="仿宋" w:cs="仿宋"/>
          <w:sz w:val="30"/>
          <w:szCs w:val="30"/>
          <w:highlight w:val="none"/>
          <w:lang w:val="en-US" w:eastAsia="zh-CN"/>
        </w:rPr>
        <w:t>齐全，保存较为完整，但2022年度支付工程预付款及进度款共计1400万元，但项目开工令显示的项目开工日期为2023年3月8日，项目资料时间逻辑不符，扣3分</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（三）项目产出（</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57"/>
      <w:bookmarkEnd w:id="58"/>
      <w:bookmarkEnd w:id="59"/>
      <w:bookmarkEnd w:id="60"/>
      <w:bookmarkEnd w:id="61"/>
    </w:p>
    <w:p>
      <w:pPr>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该一级指标包含1个二级指标</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个三级指标，主要</w:t>
      </w:r>
      <w:r>
        <w:rPr>
          <w:rFonts w:hint="eastAsia" w:ascii="仿宋" w:hAnsi="仿宋" w:eastAsia="仿宋" w:cs="仿宋"/>
          <w:sz w:val="30"/>
          <w:szCs w:val="30"/>
          <w:highlight w:val="none"/>
          <w:lang w:val="en-US" w:eastAsia="zh-CN"/>
        </w:rPr>
        <w:t>从实际完成率、完成及时率、质量达标率</w:t>
      </w:r>
      <w:r>
        <w:rPr>
          <w:rFonts w:hint="eastAsia" w:ascii="仿宋" w:hAnsi="仿宋" w:eastAsia="仿宋" w:cs="仿宋"/>
          <w:sz w:val="30"/>
          <w:szCs w:val="30"/>
          <w:highlight w:val="none"/>
        </w:rPr>
        <w:t>是否达到预期</w:t>
      </w:r>
      <w:r>
        <w:rPr>
          <w:rFonts w:hint="eastAsia" w:ascii="仿宋" w:hAnsi="仿宋" w:eastAsia="仿宋" w:cs="仿宋"/>
          <w:sz w:val="30"/>
          <w:szCs w:val="30"/>
          <w:highlight w:val="none"/>
          <w:lang w:val="en-US" w:eastAsia="zh-CN"/>
        </w:rPr>
        <w:t>目标</w:t>
      </w:r>
      <w:r>
        <w:rPr>
          <w:rFonts w:hint="eastAsia" w:ascii="仿宋" w:hAnsi="仿宋" w:eastAsia="仿宋" w:cs="仿宋"/>
          <w:sz w:val="30"/>
          <w:szCs w:val="30"/>
          <w:highlight w:val="none"/>
        </w:rPr>
        <w:t>。</w:t>
      </w:r>
    </w:p>
    <w:tbl>
      <w:tblPr>
        <w:tblStyle w:val="18"/>
        <w:tblW w:w="4993" w:type="pct"/>
        <w:jc w:val="center"/>
        <w:tblLayout w:type="autofit"/>
        <w:tblCellMar>
          <w:top w:w="15" w:type="dxa"/>
          <w:left w:w="15" w:type="dxa"/>
          <w:bottom w:w="15" w:type="dxa"/>
          <w:right w:w="15" w:type="dxa"/>
        </w:tblCellMar>
      </w:tblPr>
      <w:tblGrid>
        <w:gridCol w:w="1667"/>
        <w:gridCol w:w="1448"/>
        <w:gridCol w:w="3992"/>
        <w:gridCol w:w="1462"/>
        <w:gridCol w:w="1085"/>
      </w:tblGrid>
      <w:tr>
        <w:tblPrEx>
          <w:tblCellMar>
            <w:top w:w="15" w:type="dxa"/>
            <w:left w:w="15" w:type="dxa"/>
            <w:bottom w:w="15" w:type="dxa"/>
            <w:right w:w="15" w:type="dxa"/>
          </w:tblCellMar>
        </w:tblPrEx>
        <w:trPr>
          <w:trHeight w:val="507" w:hRule="exact"/>
          <w:jc w:val="center"/>
        </w:trPr>
        <w:tc>
          <w:tcPr>
            <w:tcW w:w="863"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750"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066"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57"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562"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853" w:hRule="exact"/>
          <w:jc w:val="center"/>
        </w:trPr>
        <w:tc>
          <w:tcPr>
            <w:tcW w:w="863"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750"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w:t>
            </w:r>
            <w:r>
              <w:rPr>
                <w:rFonts w:hint="eastAsia" w:ascii="仿宋" w:hAnsi="仿宋" w:eastAsia="仿宋" w:cs="仿宋"/>
                <w:color w:val="000000"/>
                <w:kern w:val="0"/>
                <w:sz w:val="24"/>
                <w:szCs w:val="24"/>
                <w:highlight w:val="none"/>
                <w:lang w:val="en-US" w:eastAsia="zh-CN"/>
              </w:rPr>
              <w:t>产出</w:t>
            </w:r>
          </w:p>
        </w:tc>
        <w:tc>
          <w:tcPr>
            <w:tcW w:w="206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实际完成率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08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50"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完成及时率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08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50" w:type="pct"/>
            <w:vMerge w:val="continue"/>
            <w:tcBorders>
              <w:top w:val="single" w:color="auto"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6" w:type="pct"/>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验收合格率</w:t>
            </w:r>
          </w:p>
        </w:tc>
        <w:tc>
          <w:tcPr>
            <w:tcW w:w="757" w:type="pct"/>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085" w:type="dxa"/>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609" w:hRule="exac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62" w:name="_Toc83630336"/>
      <w:bookmarkStart w:id="63" w:name="_Toc1929"/>
      <w:bookmarkStart w:id="64" w:name="_Toc83631046"/>
      <w:bookmarkStart w:id="65" w:name="_Toc833"/>
      <w:bookmarkStart w:id="66" w:name="_Toc16415"/>
      <w:r>
        <w:rPr>
          <w:rFonts w:hint="eastAsia" w:ascii="仿宋" w:hAnsi="仿宋" w:eastAsia="仿宋" w:cs="仿宋"/>
          <w:sz w:val="30"/>
          <w:szCs w:val="30"/>
          <w:highlight w:val="none"/>
          <w:lang w:val="en-US" w:eastAsia="zh-CN"/>
        </w:rPr>
        <w:t>1.实际完成率（7分）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该指标主要评估项目实施的实际产出数与计划产出数的比率，用以反映和考核项目产出数量目标的实现程度。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经评估，项目施工合同显示的计划工期为2022年6月25日至2023年6月25日，截至评估日，项目正在建设过程中，无法评估实际完成率情况。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该项指标实际得分7分。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2.完成及时率（7分）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该指标主要评估项目实际提前完成时间与计划完成时间的比率，用以反映和考核项目产出时效目标的实现程度。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经评估，该项目施工合同显示的计划工期为2022年6月25日至2023年6月25日，项目开工令显示的开工日期为2023年3月8日，截至评估日项目未完工，受疫情影响，项目开展时间较为滞后，扣2分。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3.质量达标率（6分）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该指标主要评估项目完成的质量达标产出数与实际产出数的比率，用以反映和考核项目产出质量目标的实现程度。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经检查，截至评估日，项目未完成工程建设，无法评估质量达标情况。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该项指标实际得分6分。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（四）项目效果（</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62"/>
      <w:bookmarkEnd w:id="63"/>
      <w:bookmarkEnd w:id="64"/>
      <w:bookmarkEnd w:id="65"/>
      <w:bookmarkEnd w:id="6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一级指标包含项目效益1个二级指标和2个三级指标，分别是社会效益、可持续影响力。主要评估项目实施后所产生的各种效益，包括项目实施对社会发展所带来的直接或间接影响情况、项目实施的可持续影响程度等。</w:t>
      </w:r>
    </w:p>
    <w:tbl>
      <w:tblPr>
        <w:tblStyle w:val="18"/>
        <w:tblW w:w="0" w:type="auto"/>
        <w:jc w:val="center"/>
        <w:tblLayout w:type="fixed"/>
        <w:tblCellMar>
          <w:top w:w="15" w:type="dxa"/>
          <w:left w:w="15" w:type="dxa"/>
          <w:bottom w:w="15" w:type="dxa"/>
          <w:right w:w="15" w:type="dxa"/>
        </w:tblCellMar>
      </w:tblPr>
      <w:tblGrid>
        <w:gridCol w:w="1591"/>
        <w:gridCol w:w="1489"/>
        <w:gridCol w:w="2588"/>
        <w:gridCol w:w="1434"/>
        <w:gridCol w:w="1490"/>
      </w:tblGrid>
      <w:tr>
        <w:tblPrEx>
          <w:tblCellMar>
            <w:top w:w="15" w:type="dxa"/>
            <w:left w:w="15" w:type="dxa"/>
            <w:bottom w:w="15" w:type="dxa"/>
            <w:right w:w="15" w:type="dxa"/>
          </w:tblCellMar>
        </w:tblPrEx>
        <w:trPr>
          <w:trHeight w:val="454" w:hRule="exact"/>
          <w:jc w:val="center"/>
        </w:trPr>
        <w:tc>
          <w:tcPr>
            <w:tcW w:w="15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一级指标</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二级指标</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三级指标</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分数权重</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得分</w:t>
            </w:r>
          </w:p>
        </w:tc>
      </w:tr>
      <w:tr>
        <w:tblPrEx>
          <w:tblCellMar>
            <w:top w:w="15" w:type="dxa"/>
            <w:left w:w="15" w:type="dxa"/>
            <w:bottom w:w="15" w:type="dxa"/>
            <w:right w:w="15" w:type="dxa"/>
          </w:tblCellMar>
        </w:tblPrEx>
        <w:trPr>
          <w:trHeight w:val="746" w:hRule="exact"/>
          <w:jc w:val="center"/>
        </w:trPr>
        <w:tc>
          <w:tcPr>
            <w:tcW w:w="159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项目效果</w:t>
            </w:r>
          </w:p>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r>
              <w:rPr>
                <w:rFonts w:hint="eastAsia" w:ascii="仿宋" w:hAnsi="仿宋" w:eastAsia="仿宋" w:cs="仿宋"/>
                <w:color w:val="000000"/>
                <w:kern w:val="0"/>
                <w:sz w:val="24"/>
                <w:szCs w:val="24"/>
                <w:highlight w:val="none"/>
                <w:lang w:val="en-US" w:eastAsia="zh-CN" w:bidi="ar"/>
              </w:rPr>
              <w:t>0</w:t>
            </w:r>
            <w:r>
              <w:rPr>
                <w:rFonts w:hint="eastAsia" w:ascii="仿宋" w:hAnsi="仿宋" w:eastAsia="仿宋" w:cs="仿宋"/>
                <w:color w:val="000000"/>
                <w:kern w:val="0"/>
                <w:sz w:val="24"/>
                <w:szCs w:val="24"/>
                <w:highlight w:val="none"/>
                <w:lang w:bidi="ar"/>
              </w:rPr>
              <w:t>分）</w:t>
            </w:r>
          </w:p>
        </w:tc>
        <w:tc>
          <w:tcPr>
            <w:tcW w:w="148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项目效益</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社会效益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694" w:hRule="exact"/>
          <w:jc w:val="center"/>
        </w:trPr>
        <w:tc>
          <w:tcPr>
            <w:tcW w:w="15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148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可持续影响力</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596" w:hRule="exact"/>
          <w:jc w:val="center"/>
        </w:trPr>
        <w:tc>
          <w:tcPr>
            <w:tcW w:w="566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合  计</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1.社会效益（10分）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该指标主要评估该项目实施对社会发展所带来的直接或间接影响情况。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的实施是一项落实科学发展观的德政工程，一项民心工程，一项关系教育乃至社会事业发展的基础工程；是合理配置教学资源，完善扩大教学规模的重要举措，不仅有利于该校完善办学规模和教育设施，更有利于促进当地经济建设和社会发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该项目通过对学生食堂的建设，能够解决学生用餐问题，完善基础设施简陋的尴尬局面，有利于提高教学质量和职业教育阶段的教学水平，预期社会效益较好。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ageBreakBefore w:val="0"/>
        <w:numPr>
          <w:ilvl w:val="0"/>
          <w:numId w:val="0"/>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2.可持续影响力（10分）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w:t>
      </w:r>
      <w:r>
        <w:rPr>
          <w:rFonts w:hint="default" w:ascii="仿宋" w:hAnsi="仿宋" w:eastAsia="仿宋" w:cs="仿宋"/>
          <w:sz w:val="30"/>
          <w:szCs w:val="30"/>
          <w:highlight w:val="none"/>
          <w:lang w:val="en-US" w:eastAsia="zh-CN"/>
        </w:rPr>
        <w:t>项目后续运行及成效发挥的可持续影响情况。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项目的建成能够提升教育水平，为保定市曲阳县提供了一个良好的教学环境，从而进一步推动地区发展。项目建成后可为学校师生改善就餐条件，有利于社会稳定，同时也会促进物质文明、精神文明和政治文明建设，预期可持续效果较好。</w:t>
      </w:r>
    </w:p>
    <w:p>
      <w:pPr>
        <w:pageBreakBefore w:val="0"/>
        <w:kinsoku/>
        <w:wordWrap/>
        <w:overflowPunct/>
        <w:topLinePunct w:val="0"/>
        <w:autoSpaceDE/>
        <w:autoSpaceDN/>
        <w:bidi w:val="0"/>
        <w:adjustRightInd/>
        <w:snapToGrid/>
        <w:spacing w:line="560" w:lineRule="exact"/>
        <w:ind w:firstLine="600" w:firstLineChars="200"/>
        <w:jc w:val="left"/>
        <w:rPr>
          <w:rFonts w:hint="default"/>
          <w:highlight w:val="none"/>
          <w:lang w:val="en-US" w:eastAsia="zh-CN"/>
        </w:rPr>
      </w:pPr>
      <w:r>
        <w:rPr>
          <w:rFonts w:hint="eastAsia" w:ascii="仿宋" w:hAnsi="仿宋" w:eastAsia="仿宋" w:cs="仿宋"/>
          <w:sz w:val="30"/>
          <w:szCs w:val="30"/>
          <w:highlight w:val="none"/>
          <w:lang w:val="en-US" w:eastAsia="zh-CN"/>
        </w:rPr>
        <w:t>该项指标实际得分10分。</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highlight w:val="none"/>
        </w:rPr>
      </w:pPr>
      <w:bookmarkStart w:id="67" w:name="_Toc6602"/>
      <w:bookmarkStart w:id="68" w:name="_Toc501368363"/>
      <w:bookmarkStart w:id="69" w:name="_Toc83631048"/>
      <w:bookmarkStart w:id="70" w:name="_Toc83630434"/>
      <w:bookmarkStart w:id="71" w:name="_Toc2211"/>
      <w:bookmarkStart w:id="72" w:name="_Toc24878"/>
      <w:bookmarkStart w:id="73" w:name="_Toc10985"/>
      <w:bookmarkStart w:id="74" w:name="_Toc12802"/>
      <w:r>
        <w:rPr>
          <w:rFonts w:hint="eastAsia" w:ascii="仿宋" w:hAnsi="仿宋" w:eastAsia="仿宋" w:cs="仿宋"/>
          <w:sz w:val="32"/>
          <w:szCs w:val="32"/>
          <w:highlight w:val="none"/>
          <w:lang w:val="en-US" w:eastAsia="zh-CN"/>
        </w:rPr>
        <w:t>六</w:t>
      </w:r>
      <w:r>
        <w:rPr>
          <w:rFonts w:hint="eastAsia" w:ascii="仿宋" w:hAnsi="仿宋" w:eastAsia="仿宋" w:cs="仿宋"/>
          <w:sz w:val="32"/>
          <w:szCs w:val="32"/>
          <w:highlight w:val="none"/>
        </w:rPr>
        <w:t>、项目综合</w:t>
      </w:r>
      <w:bookmarkEnd w:id="67"/>
      <w:bookmarkEnd w:id="68"/>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结论和</w:t>
      </w: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等级</w:t>
      </w:r>
      <w:bookmarkEnd w:id="69"/>
      <w:bookmarkEnd w:id="70"/>
      <w:bookmarkEnd w:id="71"/>
      <w:bookmarkEnd w:id="72"/>
      <w:bookmarkEnd w:id="73"/>
      <w:bookmarkEnd w:id="7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75" w:name="_Toc501368364"/>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确定</w:t>
      </w:r>
      <w:bookmarkEnd w:id="75"/>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lang w:val="en-US" w:eastAsia="zh-CN"/>
        </w:rPr>
        <w:t>分值：91分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等级</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3.项目综合</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结论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76" w:name="_Toc28969"/>
      <w:bookmarkStart w:id="77" w:name="_Toc83631049"/>
      <w:bookmarkStart w:id="78" w:name="_Toc83630435"/>
      <w:bookmarkStart w:id="79" w:name="_Toc25027"/>
      <w:r>
        <w:rPr>
          <w:rFonts w:hint="eastAsia" w:ascii="仿宋" w:hAnsi="仿宋" w:eastAsia="仿宋" w:cs="仿宋"/>
          <w:sz w:val="30"/>
          <w:szCs w:val="30"/>
          <w:highlight w:val="none"/>
        </w:rPr>
        <w:t>该项目严格</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资金使用管理，</w:t>
      </w:r>
      <w:bookmarkEnd w:id="76"/>
      <w:bookmarkEnd w:id="77"/>
      <w:bookmarkEnd w:id="78"/>
      <w:bookmarkEnd w:id="79"/>
      <w:r>
        <w:rPr>
          <w:rFonts w:hint="eastAsia" w:ascii="仿宋" w:hAnsi="仿宋" w:eastAsia="仿宋" w:cs="仿宋"/>
          <w:sz w:val="30"/>
          <w:szCs w:val="30"/>
          <w:highlight w:val="none"/>
          <w:lang w:val="en-US" w:eastAsia="zh-CN"/>
        </w:rPr>
        <w:t>专项债券资金于2022年度完成支付，全部为工程款支出，</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无结余资金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截至评估日，正在进行项目建设。通过项目实施，预计将提升教育水平，为保定市曲阳县提供了一个良好的教学环境，进一步推动地区发展。项目建成后可为学校师生改善就餐条件，有利于社会稳定，同时也会促进物质文明、精神文明和政治文明建设。预期社会效益和可持续影响效果较好</w:t>
      </w:r>
      <w:r>
        <w:rPr>
          <w:rFonts w:hint="eastAsia" w:ascii="仿宋" w:hAnsi="仿宋" w:eastAsia="仿宋" w:cs="仿宋"/>
          <w:sz w:val="30"/>
          <w:szCs w:val="30"/>
          <w:highlight w:val="none"/>
        </w:rPr>
        <w:t>。</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rPr>
      </w:pPr>
      <w:bookmarkStart w:id="80" w:name="_Toc27278"/>
      <w:bookmarkStart w:id="81" w:name="_Toc83631050"/>
      <w:bookmarkStart w:id="82" w:name="_Toc22941"/>
      <w:bookmarkStart w:id="83" w:name="_Toc7207"/>
      <w:bookmarkStart w:id="84" w:name="_Toc83630436"/>
      <w:bookmarkStart w:id="85" w:name="_Toc30518"/>
      <w:r>
        <w:rPr>
          <w:rFonts w:hint="eastAsia" w:ascii="仿宋" w:hAnsi="仿宋" w:eastAsia="仿宋" w:cs="仿宋"/>
          <w:bCs/>
          <w:sz w:val="32"/>
          <w:szCs w:val="32"/>
          <w:highlight w:val="none"/>
          <w:lang w:val="en-US" w:eastAsia="zh-CN"/>
        </w:rPr>
        <w:t>七</w:t>
      </w:r>
      <w:r>
        <w:rPr>
          <w:rFonts w:hint="eastAsia" w:ascii="仿宋" w:hAnsi="仿宋" w:eastAsia="仿宋" w:cs="仿宋"/>
          <w:bCs/>
          <w:sz w:val="32"/>
          <w:szCs w:val="32"/>
          <w:highlight w:val="none"/>
        </w:rPr>
        <w:t>、存在的问题</w:t>
      </w:r>
      <w:bookmarkEnd w:id="80"/>
      <w:bookmarkEnd w:id="81"/>
      <w:bookmarkEnd w:id="82"/>
      <w:bookmarkEnd w:id="83"/>
      <w:bookmarkEnd w:id="84"/>
      <w:bookmarkEnd w:id="8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该项目取得的成绩是肯定的，但在实现绩效目标过程中也存在一些不足之处，具体归纳为：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bookmarkStart w:id="86" w:name="_Toc6530"/>
      <w:bookmarkStart w:id="87" w:name="_Toc83631051"/>
      <w:bookmarkStart w:id="88" w:name="_Toc83630437"/>
      <w:bookmarkStart w:id="89" w:name="_Toc23781"/>
      <w:r>
        <w:rPr>
          <w:rFonts w:hint="eastAsia" w:ascii="仿宋" w:hAnsi="仿宋" w:eastAsia="仿宋" w:cs="仿宋"/>
          <w:sz w:val="30"/>
          <w:szCs w:val="30"/>
          <w:highlight w:val="none"/>
          <w:lang w:eastAsia="zh-CN"/>
        </w:rPr>
        <w:t>（一）绩效指标设定</w:t>
      </w:r>
      <w:r>
        <w:rPr>
          <w:rFonts w:hint="eastAsia" w:ascii="仿宋" w:hAnsi="仿宋" w:eastAsia="仿宋" w:cs="仿宋"/>
          <w:sz w:val="30"/>
          <w:szCs w:val="30"/>
          <w:highlight w:val="none"/>
          <w:lang w:val="en-US" w:eastAsia="zh-CN"/>
        </w:rPr>
        <w:t>方面</w:t>
      </w:r>
    </w:p>
    <w:p>
      <w:pPr>
        <w:pageBreakBefore w:val="0"/>
        <w:kinsoku/>
        <w:wordWrap/>
        <w:overflowPunct/>
        <w:topLinePunct w:val="0"/>
        <w:autoSpaceDE/>
        <w:autoSpaceDN/>
        <w:bidi w:val="0"/>
        <w:adjustRightInd/>
        <w:snapToGrid/>
        <w:spacing w:line="560" w:lineRule="exact"/>
        <w:ind w:firstLine="600" w:firstLineChars="200"/>
        <w:jc w:val="left"/>
        <w:rPr>
          <w:rFonts w:hint="eastAsia"/>
          <w:highlight w:val="none"/>
          <w:lang w:eastAsia="zh-CN"/>
        </w:rPr>
      </w:pPr>
      <w:r>
        <w:rPr>
          <w:rFonts w:hint="eastAsia" w:ascii="仿宋" w:hAnsi="仿宋" w:eastAsia="仿宋" w:cs="仿宋"/>
          <w:sz w:val="30"/>
          <w:szCs w:val="30"/>
          <w:highlight w:val="none"/>
          <w:lang w:val="en-US" w:eastAsia="zh-CN"/>
        </w:rPr>
        <w:t>项目绩效自评表中绩效指标的明确性有待加强，</w:t>
      </w:r>
      <w:r>
        <w:rPr>
          <w:rFonts w:hint="eastAsia" w:ascii="仿宋" w:hAnsi="仿宋" w:eastAsia="仿宋" w:cs="仿宋"/>
          <w:sz w:val="30"/>
          <w:szCs w:val="30"/>
          <w:highlight w:val="none"/>
          <w:lang w:eastAsia="zh-CN"/>
        </w:rPr>
        <w:t>产出指标估计不足，指标</w:t>
      </w:r>
      <w:r>
        <w:rPr>
          <w:rFonts w:hint="eastAsia" w:ascii="仿宋" w:hAnsi="仿宋" w:eastAsia="仿宋" w:cs="仿宋"/>
          <w:sz w:val="30"/>
          <w:szCs w:val="30"/>
          <w:highlight w:val="none"/>
          <w:lang w:val="en-US" w:eastAsia="zh-CN"/>
        </w:rPr>
        <w:t>设置</w:t>
      </w:r>
      <w:r>
        <w:rPr>
          <w:rFonts w:hint="eastAsia" w:ascii="仿宋" w:hAnsi="仿宋" w:eastAsia="仿宋" w:cs="仿宋"/>
          <w:sz w:val="30"/>
          <w:szCs w:val="30"/>
          <w:highlight w:val="none"/>
          <w:lang w:eastAsia="zh-CN"/>
        </w:rPr>
        <w:t>不够细化，指标值</w:t>
      </w:r>
      <w:r>
        <w:rPr>
          <w:rFonts w:hint="eastAsia" w:ascii="仿宋" w:hAnsi="仿宋" w:eastAsia="仿宋" w:cs="仿宋"/>
          <w:sz w:val="30"/>
          <w:szCs w:val="30"/>
          <w:highlight w:val="none"/>
          <w:lang w:val="en-US" w:eastAsia="zh-CN"/>
        </w:rPr>
        <w:t>未能与年度工作任务相匹配，不利于考核年度任务完成情况</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（二）会计核算规范性方面</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项目资金支出材料附件内容存在错误，财务审核工作有待加强。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（三）项目档案保管情况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该项目2022年度支付工程预付款及进度款共计1400万元，但项目开工令显示的项目开工日期为2023年3月8日，时间逻辑不符。</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（四）项目实施进度方面</w:t>
      </w:r>
    </w:p>
    <w:p>
      <w:pPr>
        <w:pStyle w:val="24"/>
        <w:ind w:firstLine="600" w:firstLineChars="200"/>
        <w:rPr>
          <w:rFonts w:hint="eastAsia"/>
          <w:highlight w:val="none"/>
          <w:lang w:eastAsia="zh-CN"/>
        </w:rPr>
      </w:pPr>
      <w:r>
        <w:rPr>
          <w:rFonts w:hint="eastAsia" w:ascii="仿宋" w:hAnsi="仿宋" w:eastAsia="仿宋" w:cs="仿宋"/>
          <w:sz w:val="30"/>
          <w:szCs w:val="30"/>
          <w:highlight w:val="none"/>
          <w:lang w:val="en-US" w:eastAsia="zh-CN"/>
        </w:rPr>
        <w:t>该项目施工合同显示的计划工期为2022年6月25日至2023年6月25日，项目开工令显示的开工日期为2023年3月8日，截至评估日项目未完工，项目开展时间较为滞后。</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lang w:val="en-US" w:eastAsia="zh-CN"/>
        </w:rPr>
        <w:t>八、建议及改进措施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（一）针对项目绩效指标未能与年度工作任务相匹配方面问题，建议项目实施单位细化绩效指标设置，对跨年度实施的项目，明确年度工作任务，制定合理的年度目标任务，从而更好的考核项目完成进度情况。</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（二）针对会计核算规范性方面问题，建议项目实施单位进一步加强财务管理，规范财务会计行为。</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（三） 针对项目档案管理方面，建议项目实施单位加强档案管理审核工作，增强档案资料的完整度。    </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（四）针对</w:t>
      </w:r>
      <w:r>
        <w:rPr>
          <w:rFonts w:hint="eastAsia" w:ascii="仿宋" w:hAnsi="仿宋" w:eastAsia="仿宋" w:cs="仿宋"/>
          <w:b w:val="0"/>
          <w:bCs w:val="0"/>
          <w:sz w:val="30"/>
          <w:szCs w:val="30"/>
          <w:highlight w:val="none"/>
          <w:lang w:val="en-US" w:eastAsia="zh-CN"/>
        </w:rPr>
        <w:t>项目实施进度方面问题，</w:t>
      </w:r>
      <w:r>
        <w:rPr>
          <w:rFonts w:hint="eastAsia" w:ascii="仿宋" w:hAnsi="仿宋" w:eastAsia="仿宋" w:cs="仿宋"/>
          <w:sz w:val="30"/>
          <w:szCs w:val="30"/>
          <w:highlight w:val="none"/>
          <w:lang w:val="en-US" w:eastAsia="zh-CN"/>
        </w:rPr>
        <w:t>建议项目实施单位加强项目过程控制，保证实施进度。</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 </w:t>
      </w:r>
    </w:p>
    <w:p>
      <w:pPr>
        <w:pStyle w:val="2"/>
        <w:rPr>
          <w:rFonts w:hint="eastAsia" w:ascii="仿宋" w:hAnsi="仿宋" w:eastAsia="仿宋" w:cs="仿宋"/>
          <w:sz w:val="30"/>
          <w:szCs w:val="30"/>
          <w:highlight w:val="none"/>
          <w:lang w:val="en-US" w:eastAsia="zh-CN"/>
        </w:rPr>
      </w:pPr>
    </w:p>
    <w:p>
      <w:pPr>
        <w:rPr>
          <w:rFonts w:hint="eastAsia"/>
          <w:lang w:val="en-US" w:eastAsia="zh-CN"/>
        </w:rPr>
      </w:pPr>
    </w:p>
    <w:bookmarkEnd w:id="86"/>
    <w:bookmarkEnd w:id="87"/>
    <w:bookmarkEnd w:id="88"/>
    <w:bookmarkEnd w:id="89"/>
    <w:p>
      <w:pPr>
        <w:ind w:firstLine="7200" w:firstLineChars="2400"/>
        <w:rPr>
          <w:rFonts w:hint="eastAsia"/>
          <w:lang w:val="en-US" w:eastAsia="zh-CN"/>
        </w:rPr>
      </w:pPr>
      <w:r>
        <w:rPr>
          <w:rFonts w:hint="eastAsia" w:ascii="仿宋" w:hAnsi="仿宋" w:eastAsia="仿宋" w:cs="仿宋"/>
          <w:sz w:val="30"/>
          <w:szCs w:val="30"/>
          <w:highlight w:val="none"/>
          <w:lang w:val="en-US" w:eastAsia="zh-CN"/>
        </w:rPr>
        <w:t>曲阳县财政局</w:t>
      </w:r>
    </w:p>
    <w:p>
      <w:pPr>
        <w:pageBreakBefore w:val="0"/>
        <w:kinsoku/>
        <w:wordWrap/>
        <w:overflowPunct/>
        <w:topLinePunct w:val="0"/>
        <w:autoSpaceDE/>
        <w:autoSpaceDN/>
        <w:bidi w:val="0"/>
        <w:adjustRightInd/>
        <w:snapToGrid/>
        <w:spacing w:line="560" w:lineRule="exact"/>
        <w:ind w:firstLine="7200" w:firstLineChars="24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2023年</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月</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日</w:t>
      </w: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highlight w:val="none"/>
          <w:lang w:eastAsia="zh-CN"/>
        </w:rPr>
      </w:pPr>
    </w:p>
    <w:sectPr>
      <w:pgSz w:w="11906" w:h="16838"/>
      <w:pgMar w:top="964" w:right="1134" w:bottom="964" w:left="1134" w:header="1134" w:footer="680"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yYWFlYmY1MDgzZjVkMTIyZDNjNGU3MzRhOTU3MzY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062EEC"/>
    <w:rsid w:val="01441BB9"/>
    <w:rsid w:val="02E80AFB"/>
    <w:rsid w:val="035F522A"/>
    <w:rsid w:val="03F11C32"/>
    <w:rsid w:val="04141B96"/>
    <w:rsid w:val="048E56D2"/>
    <w:rsid w:val="057B5C57"/>
    <w:rsid w:val="05E57574"/>
    <w:rsid w:val="061A5470"/>
    <w:rsid w:val="06523AF2"/>
    <w:rsid w:val="098E39B9"/>
    <w:rsid w:val="0ADA152D"/>
    <w:rsid w:val="0AE4604C"/>
    <w:rsid w:val="0D9E1C0C"/>
    <w:rsid w:val="0E4B143D"/>
    <w:rsid w:val="0EF02E72"/>
    <w:rsid w:val="0F481A23"/>
    <w:rsid w:val="10814158"/>
    <w:rsid w:val="112F3D99"/>
    <w:rsid w:val="12616BF9"/>
    <w:rsid w:val="12844DC1"/>
    <w:rsid w:val="13082AF4"/>
    <w:rsid w:val="142E56E9"/>
    <w:rsid w:val="170D692B"/>
    <w:rsid w:val="1791130A"/>
    <w:rsid w:val="1823357E"/>
    <w:rsid w:val="187036B2"/>
    <w:rsid w:val="1A815666"/>
    <w:rsid w:val="1B1A3889"/>
    <w:rsid w:val="1C850D11"/>
    <w:rsid w:val="1E145C1F"/>
    <w:rsid w:val="1F94354A"/>
    <w:rsid w:val="21460153"/>
    <w:rsid w:val="21DA3F9D"/>
    <w:rsid w:val="223D0F22"/>
    <w:rsid w:val="23563407"/>
    <w:rsid w:val="238B1303"/>
    <w:rsid w:val="23922691"/>
    <w:rsid w:val="23FA42D0"/>
    <w:rsid w:val="245E07C6"/>
    <w:rsid w:val="24743B37"/>
    <w:rsid w:val="25470B20"/>
    <w:rsid w:val="287E1436"/>
    <w:rsid w:val="29483C47"/>
    <w:rsid w:val="2A8314C1"/>
    <w:rsid w:val="2A8F3BCE"/>
    <w:rsid w:val="2B872E60"/>
    <w:rsid w:val="2BCE0FAE"/>
    <w:rsid w:val="2CAF4831"/>
    <w:rsid w:val="2D6F57F1"/>
    <w:rsid w:val="2DFC5A4D"/>
    <w:rsid w:val="2F1D0509"/>
    <w:rsid w:val="314174A5"/>
    <w:rsid w:val="3161561E"/>
    <w:rsid w:val="31AA78D1"/>
    <w:rsid w:val="321B7CF6"/>
    <w:rsid w:val="35DC59EE"/>
    <w:rsid w:val="38963FA8"/>
    <w:rsid w:val="3A186A29"/>
    <w:rsid w:val="3A6D130B"/>
    <w:rsid w:val="3E1321C9"/>
    <w:rsid w:val="3E792B8A"/>
    <w:rsid w:val="3EA177D5"/>
    <w:rsid w:val="40721429"/>
    <w:rsid w:val="40AD6A67"/>
    <w:rsid w:val="436D3360"/>
    <w:rsid w:val="43E50164"/>
    <w:rsid w:val="45361007"/>
    <w:rsid w:val="45795008"/>
    <w:rsid w:val="468123C6"/>
    <w:rsid w:val="48A44F3A"/>
    <w:rsid w:val="494A68AB"/>
    <w:rsid w:val="4AE01685"/>
    <w:rsid w:val="4D03459A"/>
    <w:rsid w:val="4E2540DD"/>
    <w:rsid w:val="4F0928DF"/>
    <w:rsid w:val="52381F73"/>
    <w:rsid w:val="53387659"/>
    <w:rsid w:val="55104550"/>
    <w:rsid w:val="57F3068C"/>
    <w:rsid w:val="580B5F93"/>
    <w:rsid w:val="58D20590"/>
    <w:rsid w:val="5B084A0C"/>
    <w:rsid w:val="5C090A3C"/>
    <w:rsid w:val="5D410D65"/>
    <w:rsid w:val="5E5B23C1"/>
    <w:rsid w:val="5E660CC1"/>
    <w:rsid w:val="5E6C52B2"/>
    <w:rsid w:val="5E8C78A8"/>
    <w:rsid w:val="5F6F6A11"/>
    <w:rsid w:val="60AB3B64"/>
    <w:rsid w:val="632A16BD"/>
    <w:rsid w:val="657965BE"/>
    <w:rsid w:val="661D5A78"/>
    <w:rsid w:val="663566D9"/>
    <w:rsid w:val="663B1AE6"/>
    <w:rsid w:val="67696938"/>
    <w:rsid w:val="67713939"/>
    <w:rsid w:val="67B21F12"/>
    <w:rsid w:val="67D461F9"/>
    <w:rsid w:val="6B300AA0"/>
    <w:rsid w:val="6B9306BB"/>
    <w:rsid w:val="6C0C1E82"/>
    <w:rsid w:val="6E2053BF"/>
    <w:rsid w:val="6E3D39F9"/>
    <w:rsid w:val="6ECA1DC7"/>
    <w:rsid w:val="6F860363"/>
    <w:rsid w:val="6FA81A09"/>
    <w:rsid w:val="70350492"/>
    <w:rsid w:val="706C20E6"/>
    <w:rsid w:val="71D44901"/>
    <w:rsid w:val="71FD397A"/>
    <w:rsid w:val="720924FA"/>
    <w:rsid w:val="725F0F5E"/>
    <w:rsid w:val="73007C27"/>
    <w:rsid w:val="74B13A97"/>
    <w:rsid w:val="74DE6D70"/>
    <w:rsid w:val="75435570"/>
    <w:rsid w:val="76171091"/>
    <w:rsid w:val="790C5BF2"/>
    <w:rsid w:val="7A1A6C48"/>
    <w:rsid w:val="7AFE135D"/>
    <w:rsid w:val="7B9003DA"/>
    <w:rsid w:val="7CEF1D89"/>
    <w:rsid w:val="7E494DA3"/>
    <w:rsid w:val="7EEA6053"/>
    <w:rsid w:val="7EEB6032"/>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5">
    <w:name w:val="Body Text"/>
    <w:basedOn w:val="1"/>
    <w:next w:val="6"/>
    <w:unhideWhenUsed/>
    <w:qFormat/>
    <w:uiPriority w:val="1"/>
    <w:pPr>
      <w:spacing w:before="41"/>
      <w:ind w:left="121"/>
      <w:jc w:val="left"/>
    </w:pPr>
    <w:rPr>
      <w:rFonts w:ascii="仿宋" w:hAnsi="仿宋" w:eastAsia="仿宋"/>
      <w:kern w:val="0"/>
      <w:sz w:val="28"/>
      <w:szCs w:val="28"/>
      <w:lang w:eastAsia="en-US"/>
    </w:rPr>
  </w:style>
  <w:style w:type="paragraph" w:customStyle="1" w:styleId="6">
    <w:name w:val="_Style 2"/>
    <w:basedOn w:val="1"/>
    <w:qFormat/>
    <w:uiPriority w:val="0"/>
    <w:pPr>
      <w:ind w:firstLine="420" w:firstLineChars="200"/>
    </w:pPr>
  </w:style>
  <w:style w:type="paragraph" w:styleId="7">
    <w:name w:val="Body Text Indent"/>
    <w:basedOn w:val="1"/>
    <w:next w:val="1"/>
    <w:qFormat/>
    <w:uiPriority w:val="0"/>
    <w:pPr>
      <w:spacing w:line="380" w:lineRule="exact"/>
      <w:ind w:firstLine="480" w:firstLineChars="200"/>
    </w:pPr>
    <w:rPr>
      <w:rFonts w:ascii="宋体" w:hAnsi="宋体"/>
      <w:sz w:val="24"/>
    </w:rPr>
  </w:style>
  <w:style w:type="paragraph" w:styleId="8">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rPr>
      <w:rFonts w:ascii="宋体" w:hAnsi="宋体"/>
      <w:sz w:val="24"/>
    </w:rPr>
  </w:style>
  <w:style w:type="paragraph" w:styleId="11">
    <w:name w:val="Balloon Text"/>
    <w:basedOn w:val="1"/>
    <w:link w:val="28"/>
    <w:qFormat/>
    <w:uiPriority w:val="0"/>
    <w:rPr>
      <w:sz w:val="18"/>
      <w:szCs w:val="18"/>
    </w:rPr>
  </w:style>
  <w:style w:type="paragraph" w:styleId="12">
    <w:name w:val="footer"/>
    <w:basedOn w:val="1"/>
    <w:link w:val="27"/>
    <w:qFormat/>
    <w:uiPriority w:val="99"/>
    <w:pPr>
      <w:tabs>
        <w:tab w:val="center" w:pos="4153"/>
        <w:tab w:val="right" w:pos="8306"/>
      </w:tabs>
      <w:snapToGrid w:val="0"/>
      <w:jc w:val="left"/>
    </w:pPr>
    <w:rPr>
      <w:sz w:val="18"/>
      <w:szCs w:val="18"/>
    </w:rPr>
  </w:style>
  <w:style w:type="paragraph" w:styleId="13">
    <w:name w:val="header"/>
    <w:basedOn w:val="1"/>
    <w:link w:val="29"/>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footnote text"/>
    <w:basedOn w:val="1"/>
    <w:link w:val="30"/>
    <w:qFormat/>
    <w:uiPriority w:val="0"/>
    <w:pPr>
      <w:snapToGrid w:val="0"/>
      <w:jc w:val="left"/>
    </w:pPr>
    <w:rPr>
      <w:sz w:val="18"/>
      <w:szCs w:val="18"/>
    </w:r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7"/>
    <w:next w:val="1"/>
    <w:unhideWhenUsed/>
    <w:qFormat/>
    <w:uiPriority w:val="99"/>
    <w:pPr>
      <w:widowControl/>
      <w:spacing w:after="0" w:line="440" w:lineRule="exact"/>
      <w:ind w:left="0" w:leftChars="0" w:firstLine="420" w:firstLineChars="200"/>
      <w:jc w:val="left"/>
    </w:pPr>
    <w:rPr>
      <w:rFonts w:ascii="Times New Roman" w:hAnsi="Times New Roman" w:eastAsia="宋体" w:cs="Times New Roman"/>
      <w:color w:val="FF0000"/>
      <w:kern w:val="0"/>
      <w:sz w:val="28"/>
      <w:szCs w:val="24"/>
      <w:lang w:val="en-US" w:eastAsia="zh-CN" w:bidi="ar-SA"/>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basedOn w:val="20"/>
    <w:unhideWhenUsed/>
    <w:qFormat/>
    <w:uiPriority w:val="99"/>
    <w:rPr>
      <w:color w:val="0000FF" w:themeColor="hyperlink"/>
      <w:u w:val="single"/>
      <w14:textFill>
        <w14:solidFill>
          <w14:schemeClr w14:val="hlink"/>
        </w14:solidFill>
      </w14:textFill>
    </w:rPr>
  </w:style>
  <w:style w:type="character" w:styleId="23">
    <w:name w:val="footnote reference"/>
    <w:basedOn w:val="20"/>
    <w:qFormat/>
    <w:uiPriority w:val="0"/>
    <w:rPr>
      <w:vertAlign w:val="superscript"/>
    </w:rPr>
  </w:style>
  <w:style w:type="paragraph" w:customStyle="1" w:styleId="24">
    <w:name w:val="Default"/>
    <w:basedOn w:val="1"/>
    <w:qFormat/>
    <w:uiPriority w:val="0"/>
    <w:pPr>
      <w:autoSpaceDE w:val="0"/>
      <w:autoSpaceDN w:val="0"/>
      <w:adjustRightInd w:val="0"/>
      <w:spacing w:line="240" w:lineRule="auto"/>
      <w:ind w:firstLine="0" w:firstLineChars="0"/>
      <w:jc w:val="left"/>
    </w:pPr>
    <w:rPr>
      <w:rFonts w:ascii="宋体" w:hAnsi="宋体" w:cs="宋体"/>
      <w:kern w:val="0"/>
    </w:rPr>
  </w:style>
  <w:style w:type="character" w:customStyle="1" w:styleId="25">
    <w:name w:val="无间隔 Char"/>
    <w:basedOn w:val="20"/>
    <w:link w:val="26"/>
    <w:qFormat/>
    <w:uiPriority w:val="1"/>
    <w:rPr>
      <w:rFonts w:ascii="Calibri" w:hAnsi="Calibri"/>
      <w:sz w:val="22"/>
      <w:szCs w:val="22"/>
      <w:lang w:val="en-US" w:eastAsia="zh-CN" w:bidi="ar-SA"/>
    </w:rPr>
  </w:style>
  <w:style w:type="paragraph" w:styleId="26">
    <w:name w:val="No Spacing"/>
    <w:link w:val="25"/>
    <w:qFormat/>
    <w:uiPriority w:val="1"/>
    <w:rPr>
      <w:rFonts w:ascii="Calibri" w:hAnsi="Calibri" w:eastAsia="宋体" w:cs="Times New Roman"/>
      <w:sz w:val="22"/>
      <w:szCs w:val="22"/>
      <w:lang w:val="en-US" w:eastAsia="zh-CN" w:bidi="ar-SA"/>
    </w:rPr>
  </w:style>
  <w:style w:type="character" w:customStyle="1" w:styleId="27">
    <w:name w:val="页脚 Char"/>
    <w:basedOn w:val="20"/>
    <w:link w:val="12"/>
    <w:qFormat/>
    <w:uiPriority w:val="99"/>
    <w:rPr>
      <w:kern w:val="2"/>
      <w:sz w:val="18"/>
      <w:szCs w:val="18"/>
    </w:rPr>
  </w:style>
  <w:style w:type="character" w:customStyle="1" w:styleId="28">
    <w:name w:val="批注框文本 Char"/>
    <w:basedOn w:val="20"/>
    <w:link w:val="11"/>
    <w:qFormat/>
    <w:uiPriority w:val="0"/>
    <w:rPr>
      <w:kern w:val="2"/>
      <w:sz w:val="18"/>
      <w:szCs w:val="18"/>
    </w:rPr>
  </w:style>
  <w:style w:type="character" w:customStyle="1" w:styleId="29">
    <w:name w:val="页眉 Char"/>
    <w:basedOn w:val="20"/>
    <w:link w:val="13"/>
    <w:qFormat/>
    <w:uiPriority w:val="99"/>
    <w:rPr>
      <w:kern w:val="2"/>
      <w:sz w:val="18"/>
      <w:szCs w:val="18"/>
    </w:rPr>
  </w:style>
  <w:style w:type="character" w:customStyle="1" w:styleId="30">
    <w:name w:val="脚注文本 Char"/>
    <w:basedOn w:val="20"/>
    <w:link w:val="15"/>
    <w:qFormat/>
    <w:uiPriority w:val="0"/>
    <w:rPr>
      <w:kern w:val="2"/>
      <w:sz w:val="18"/>
      <w:szCs w:val="18"/>
    </w:rPr>
  </w:style>
  <w:style w:type="paragraph" w:customStyle="1" w:styleId="31">
    <w:name w:val="Other|2"/>
    <w:basedOn w:val="1"/>
    <w:qFormat/>
    <w:uiPriority w:val="0"/>
    <w:pPr>
      <w:jc w:val="center"/>
    </w:pPr>
    <w:rPr>
      <w:rFonts w:ascii="宋体" w:hAnsi="宋体" w:cs="宋体"/>
      <w:sz w:val="20"/>
      <w:lang w:val="zh-TW" w:eastAsia="zh-TW" w:bidi="zh-TW"/>
    </w:rPr>
  </w:style>
  <w:style w:type="paragraph" w:customStyle="1" w:styleId="32">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3">
    <w:name w:val="Header or footer|2"/>
    <w:basedOn w:val="1"/>
    <w:qFormat/>
    <w:uiPriority w:val="0"/>
    <w:rPr>
      <w:sz w:val="20"/>
      <w:lang w:val="zh-TW" w:eastAsia="zh-TW" w:bidi="zh-TW"/>
    </w:rPr>
  </w:style>
  <w:style w:type="paragraph" w:customStyle="1" w:styleId="34">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76092" w:themeColor="accent1" w:themeShade="BF"/>
      <w:kern w:val="0"/>
      <w:sz w:val="28"/>
      <w:szCs w:val="28"/>
    </w:rPr>
  </w:style>
  <w:style w:type="paragraph" w:customStyle="1" w:styleId="35">
    <w:name w:val="WPSOffice手动目录 1"/>
    <w:qFormat/>
    <w:uiPriority w:val="0"/>
    <w:pPr>
      <w:ind w:leftChars="0"/>
    </w:pPr>
    <w:rPr>
      <w:rFonts w:asciiTheme="minorHAnsi" w:hAnsiTheme="minorHAnsi" w:eastAsiaTheme="minorEastAsia" w:cstheme="minorBidi"/>
      <w:sz w:val="20"/>
      <w:szCs w:val="20"/>
    </w:rPr>
  </w:style>
  <w:style w:type="paragraph" w:styleId="36">
    <w:name w:val="List Paragraph"/>
    <w:basedOn w:val="1"/>
    <w:qFormat/>
    <w:uiPriority w:val="34"/>
    <w:pPr>
      <w:ind w:firstLine="420" w:firstLineChars="200"/>
    </w:pPr>
  </w:style>
  <w:style w:type="paragraph" w:customStyle="1" w:styleId="37">
    <w:name w:val="Body text|1"/>
    <w:basedOn w:val="1"/>
    <w:qFormat/>
    <w:uiPriority w:val="0"/>
    <w:pPr>
      <w:widowControl w:val="0"/>
      <w:shd w:val="clear" w:color="auto" w:fill="auto"/>
      <w:spacing w:line="329"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19</Pages>
  <Words>8919</Words>
  <Characters>9371</Characters>
  <Lines>90</Lines>
  <Paragraphs>25</Paragraphs>
  <TotalTime>0</TotalTime>
  <ScaleCrop>false</ScaleCrop>
  <LinksUpToDate>false</LinksUpToDate>
  <CharactersWithSpaces>9658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晨曦</cp:lastModifiedBy>
  <cp:lastPrinted>2022-10-28T01:18:00Z</cp:lastPrinted>
  <dcterms:modified xsi:type="dcterms:W3CDTF">2023-11-07T08:31:01Z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C9FF855BF5FE487A8C60D686B7D23C54_13</vt:lpwstr>
  </property>
</Properties>
</file>