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sz w:val="24"/>
          <w:szCs w:val="24"/>
          <w:highlight w:val="none"/>
        </w:rPr>
      </w:pPr>
    </w:p>
    <w:p>
      <w:pPr>
        <w:rPr>
          <w:rFonts w:ascii="宋体" w:hAnsi="宋体"/>
          <w:sz w:val="36"/>
          <w:szCs w:val="36"/>
          <w:highlight w:val="none"/>
        </w:rPr>
      </w:pPr>
    </w:p>
    <w:p>
      <w:pPr>
        <w:jc w:val="center"/>
        <w:rPr>
          <w:rFonts w:ascii="宋体" w:hAnsi="宋体"/>
          <w:szCs w:val="21"/>
          <w:highlight w:val="none"/>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宋体" w:hAnsi="宋体" w:cs="宋体"/>
          <w:b/>
          <w:bCs w:val="0"/>
          <w:sz w:val="44"/>
          <w:szCs w:val="44"/>
          <w:highlight w:val="none"/>
          <w:lang w:val="en-US" w:eastAsia="zh-CN"/>
        </w:rPr>
      </w:pPr>
      <w:r>
        <w:rPr>
          <w:rFonts w:hint="eastAsia" w:ascii="宋体" w:hAnsi="宋体" w:cs="宋体"/>
          <w:b/>
          <w:bCs w:val="0"/>
          <w:sz w:val="44"/>
          <w:szCs w:val="44"/>
          <w:highlight w:val="none"/>
          <w:lang w:val="en-US" w:eastAsia="zh-CN"/>
        </w:rPr>
        <w:t>曲阳县恒山路强弱电入地工程</w:t>
      </w:r>
    </w:p>
    <w:p>
      <w:pPr>
        <w:pStyle w:val="16"/>
        <w:rPr>
          <w:highlight w:val="none"/>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宋体" w:hAnsi="宋体" w:eastAsia="宋体" w:cs="宋体"/>
          <w:b/>
          <w:bCs w:val="0"/>
          <w:sz w:val="44"/>
          <w:szCs w:val="44"/>
          <w:highlight w:val="none"/>
          <w:lang w:val="en-US" w:eastAsia="zh-CN"/>
        </w:rPr>
      </w:pPr>
      <w:r>
        <w:rPr>
          <w:rFonts w:hint="eastAsia" w:ascii="宋体" w:hAnsi="宋体" w:cs="宋体"/>
          <w:b/>
          <w:bCs w:val="0"/>
          <w:sz w:val="44"/>
          <w:szCs w:val="44"/>
          <w:highlight w:val="none"/>
          <w:lang w:val="en-US" w:eastAsia="zh-CN"/>
        </w:rPr>
        <w:t>绩效评价报告</w:t>
      </w:r>
    </w:p>
    <w:p>
      <w:pPr>
        <w:pStyle w:val="16"/>
        <w:ind w:left="0" w:leftChars="0" w:firstLine="0" w:firstLineChars="0"/>
        <w:rPr>
          <w:highlight w:val="none"/>
        </w:rPr>
      </w:pPr>
    </w:p>
    <w:p>
      <w:pPr>
        <w:pStyle w:val="16"/>
        <w:rPr>
          <w:highlight w:val="none"/>
        </w:rPr>
      </w:pPr>
    </w:p>
    <w:p>
      <w:pPr>
        <w:rPr>
          <w:highlight w:val="none"/>
        </w:rPr>
      </w:pPr>
    </w:p>
    <w:p>
      <w:pPr>
        <w:pStyle w:val="16"/>
        <w:rPr>
          <w:highlight w:val="none"/>
        </w:rPr>
      </w:pPr>
    </w:p>
    <w:p/>
    <w:p>
      <w:pPr>
        <w:pStyle w:val="16"/>
        <w:rPr>
          <w:highlight w:val="none"/>
        </w:rPr>
      </w:pPr>
    </w:p>
    <w:p>
      <w:pPr>
        <w:rPr>
          <w:highlight w:val="none"/>
        </w:rPr>
      </w:pPr>
    </w:p>
    <w:p>
      <w:pPr>
        <w:spacing w:line="900" w:lineRule="exact"/>
        <w:ind w:firstLine="1280" w:firstLineChars="400"/>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单位：</w:t>
      </w:r>
      <w:r>
        <w:rPr>
          <w:rFonts w:hint="eastAsia" w:ascii="仿宋" w:hAnsi="仿宋" w:eastAsia="仿宋" w:cs="仿宋"/>
          <w:sz w:val="32"/>
          <w:szCs w:val="32"/>
          <w:highlight w:val="none"/>
          <w:lang w:eastAsia="zh-CN"/>
        </w:rPr>
        <w:t>曲阳县财政局</w:t>
      </w:r>
    </w:p>
    <w:p>
      <w:pPr>
        <w:spacing w:line="900" w:lineRule="exact"/>
        <w:ind w:firstLine="1280" w:firstLineChars="400"/>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项目名称：</w:t>
      </w:r>
      <w:r>
        <w:rPr>
          <w:rFonts w:hint="eastAsia" w:ascii="仿宋" w:hAnsi="仿宋" w:eastAsia="仿宋" w:cs="仿宋"/>
          <w:sz w:val="32"/>
          <w:szCs w:val="32"/>
          <w:highlight w:val="none"/>
          <w:lang w:eastAsia="zh-CN"/>
        </w:rPr>
        <w:t>曲阳县恒山路强弱电入地工程</w:t>
      </w:r>
    </w:p>
    <w:p>
      <w:pPr>
        <w:spacing w:line="900" w:lineRule="exact"/>
        <w:ind w:firstLine="1280" w:firstLineChars="4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项目实施主体：曲阳县住房和城乡建设局</w:t>
      </w:r>
    </w:p>
    <w:p>
      <w:pPr>
        <w:spacing w:line="900" w:lineRule="exact"/>
        <w:ind w:firstLine="1280" w:firstLineChars="4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评 估 日 期：</w:t>
      </w:r>
      <w:r>
        <w:rPr>
          <w:rFonts w:hint="eastAsia" w:ascii="仿宋" w:hAnsi="仿宋" w:eastAsia="仿宋" w:cs="仿宋"/>
          <w:sz w:val="32"/>
          <w:szCs w:val="32"/>
          <w:highlight w:val="none"/>
          <w:lang w:eastAsia="zh-CN"/>
        </w:rPr>
        <w:t>2023年</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lang w:eastAsia="zh-CN"/>
        </w:rPr>
        <w:t>日</w:t>
      </w:r>
    </w:p>
    <w:p>
      <w:pPr>
        <w:spacing w:line="900" w:lineRule="exact"/>
        <w:ind w:firstLine="1280" w:firstLineChars="400"/>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报 告 日 期：</w:t>
      </w:r>
      <w:r>
        <w:rPr>
          <w:rFonts w:hint="eastAsia" w:ascii="仿宋" w:hAnsi="仿宋" w:eastAsia="仿宋" w:cs="仿宋"/>
          <w:sz w:val="32"/>
          <w:szCs w:val="32"/>
          <w:highlight w:val="none"/>
          <w:lang w:eastAsia="zh-CN"/>
        </w:rPr>
        <w:t>2023年</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日</w:t>
      </w:r>
    </w:p>
    <w:p>
      <w:pPr>
        <w:spacing w:before="0" w:beforeLines="0" w:after="0" w:afterLines="0" w:line="240" w:lineRule="auto"/>
        <w:ind w:left="0" w:leftChars="0" w:right="0" w:rightChars="0" w:firstLine="0" w:firstLineChars="0"/>
        <w:jc w:val="both"/>
        <w:rPr>
          <w:rFonts w:hint="eastAsia" w:ascii="仿宋" w:hAnsi="仿宋" w:eastAsia="仿宋" w:cs="仿宋"/>
          <w:sz w:val="30"/>
          <w:szCs w:val="30"/>
          <w:highlight w:val="none"/>
        </w:rPr>
      </w:pPr>
    </w:p>
    <w:p>
      <w:pPr>
        <w:pStyle w:val="16"/>
        <w:rPr>
          <w:rFonts w:hint="eastAsia"/>
          <w:highlight w:val="none"/>
        </w:rPr>
      </w:pPr>
    </w:p>
    <w:p>
      <w:pPr>
        <w:rPr>
          <w:rFonts w:hint="eastAsia"/>
          <w:highlight w:val="none"/>
        </w:rPr>
      </w:pPr>
    </w:p>
    <w:p>
      <w:pPr>
        <w:pStyle w:val="16"/>
        <w:rPr>
          <w:rFonts w:hint="eastAsia"/>
          <w:highlight w:val="none"/>
        </w:rPr>
      </w:pPr>
    </w:p>
    <w:p>
      <w:pPr>
        <w:rPr>
          <w:rFonts w:hint="eastAsia"/>
          <w:highlight w:val="none"/>
        </w:rPr>
      </w:pPr>
    </w:p>
    <w:p>
      <w:pPr>
        <w:pStyle w:val="16"/>
        <w:rPr>
          <w:rFonts w:hint="eastAsia"/>
          <w:highlight w:val="none"/>
        </w:rPr>
      </w:pPr>
    </w:p>
    <w:p>
      <w:pPr>
        <w:rPr>
          <w:rFonts w:hint="eastAsia"/>
          <w:highlight w:val="none"/>
        </w:rPr>
      </w:pPr>
    </w:p>
    <w:p>
      <w:pPr>
        <w:pStyle w:val="16"/>
        <w:rPr>
          <w:rFonts w:hint="eastAsia"/>
          <w:highlight w:val="none"/>
        </w:rPr>
      </w:pPr>
    </w:p>
    <w:p>
      <w:pPr>
        <w:rPr>
          <w:rFonts w:hint="eastAsia"/>
          <w:highlight w:val="none"/>
        </w:rPr>
      </w:pPr>
    </w:p>
    <w:p>
      <w:pPr>
        <w:pStyle w:val="16"/>
        <w:rPr>
          <w:rFonts w:hint="eastAsia"/>
        </w:rPr>
      </w:pPr>
    </w:p>
    <w:p>
      <w:pPr>
        <w:pStyle w:val="16"/>
        <w:rPr>
          <w:highlight w:val="none"/>
        </w:rPr>
      </w:pPr>
    </w:p>
    <w:p>
      <w:pPr>
        <w:spacing w:line="560" w:lineRule="exact"/>
        <w:jc w:val="center"/>
        <w:outlineLvl w:val="0"/>
        <w:rPr>
          <w:rFonts w:hint="eastAsia" w:ascii="仿宋" w:hAnsi="仿宋" w:eastAsia="仿宋" w:cs="仿宋"/>
          <w:b/>
          <w:bCs w:val="0"/>
          <w:sz w:val="36"/>
          <w:szCs w:val="36"/>
          <w:highlight w:val="none"/>
          <w:lang w:eastAsia="zh-CN"/>
        </w:rPr>
      </w:pPr>
      <w:r>
        <w:rPr>
          <w:rFonts w:hint="eastAsia" w:ascii="仿宋" w:hAnsi="仿宋" w:eastAsia="仿宋" w:cs="仿宋"/>
          <w:b/>
          <w:bCs w:val="0"/>
          <w:sz w:val="36"/>
          <w:szCs w:val="36"/>
          <w:highlight w:val="none"/>
          <w:lang w:eastAsia="zh-CN"/>
        </w:rPr>
        <w:t>曲阳县恒山路强弱电入地工程</w:t>
      </w:r>
    </w:p>
    <w:p>
      <w:pPr>
        <w:spacing w:after="156" w:line="560" w:lineRule="exact"/>
        <w:ind w:left="-359" w:leftChars="-171" w:firstLine="361" w:firstLineChars="100"/>
        <w:jc w:val="center"/>
        <w:outlineLvl w:val="0"/>
        <w:rPr>
          <w:rFonts w:hint="eastAsia" w:ascii="仿宋" w:hAnsi="仿宋" w:eastAsia="仿宋" w:cs="仿宋"/>
          <w:sz w:val="24"/>
          <w:szCs w:val="24"/>
          <w:highlight w:val="none"/>
        </w:rPr>
      </w:pPr>
      <w:r>
        <w:rPr>
          <w:rFonts w:hint="eastAsia" w:ascii="仿宋" w:hAnsi="仿宋" w:eastAsia="仿宋" w:cs="仿宋"/>
          <w:b/>
          <w:bCs w:val="0"/>
          <w:sz w:val="36"/>
          <w:szCs w:val="36"/>
          <w:highlight w:val="none"/>
          <w:lang w:eastAsia="zh-CN"/>
        </w:rPr>
        <w:t>绩效评估报告</w:t>
      </w:r>
      <w:r>
        <w:rPr>
          <w:rFonts w:hint="eastAsia"/>
          <w:highlight w:val="none"/>
        </w:rPr>
        <w:t xml:space="preserve">                  </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r>
        <w:rPr>
          <w:rFonts w:hint="eastAsia" w:ascii="仿宋" w:hAnsi="仿宋" w:eastAsia="仿宋" w:cs="仿宋"/>
          <w:kern w:val="2"/>
          <w:sz w:val="32"/>
          <w:szCs w:val="32"/>
          <w:highlight w:val="none"/>
          <w:u w:val="none"/>
          <w:shd w:val="clear" w:color="auto" w:fill="auto"/>
          <w:lang w:val="en-US" w:eastAsia="zh-CN" w:bidi="ar-SA"/>
        </w:rPr>
        <w:t>我局对曲阳县2022年度恒山路强弱电入地项目专项债券资金进行了绩效评价，项目实施单位和相关单位提供与绩效评价有关的项目资料，并对其真实性、完整性、合法性负责。我局对该项目的项目决策、项目过程、项目产出、项目效益四个方面和执行国家法律、法规的情况发表评价意见。</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color w:val="000000"/>
          <w:sz w:val="30"/>
          <w:szCs w:val="30"/>
          <w:highlight w:val="none"/>
        </w:rPr>
      </w:pPr>
      <w:r>
        <w:rPr>
          <w:rFonts w:hint="eastAsia" w:ascii="仿宋" w:hAnsi="仿宋" w:eastAsia="仿宋" w:cs="仿宋"/>
          <w:kern w:val="2"/>
          <w:sz w:val="32"/>
          <w:szCs w:val="32"/>
          <w:highlight w:val="none"/>
          <w:u w:val="none"/>
          <w:shd w:val="clear" w:color="auto" w:fill="auto"/>
          <w:lang w:val="en-US" w:eastAsia="zh-CN" w:bidi="ar-SA"/>
        </w:rPr>
        <w:t>我们的绩效评价工作是依据河北省政府债券资金绩效管理办法等相关规定进行的，对本年度债券项目进行全覆盖评价。在评价工作中，我们结合项目的实际情况制定了绩效评价指标体系，实施了包括资料查看、问询、现场检查、问卷调查等我们认为必要的评价手段。绩效评价工作现已完成，具体评价情况汇总如下：</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highlight w:val="none"/>
          <w:lang w:eastAsia="zh-CN"/>
        </w:rPr>
      </w:pPr>
      <w:bookmarkStart w:id="0" w:name="_Toc83631027"/>
      <w:bookmarkStart w:id="1" w:name="_Toc30480"/>
      <w:bookmarkStart w:id="2" w:name="_Toc8967"/>
      <w:bookmarkStart w:id="3" w:name="_Toc83630317"/>
      <w:r>
        <w:rPr>
          <w:rFonts w:hint="eastAsia" w:ascii="仿宋" w:hAnsi="仿宋" w:eastAsia="仿宋" w:cs="仿宋"/>
          <w:b/>
          <w:bCs/>
          <w:sz w:val="32"/>
          <w:szCs w:val="32"/>
          <w:highlight w:val="none"/>
          <w:lang w:val="en-US" w:eastAsia="zh-CN"/>
        </w:rPr>
        <w:t>一、</w:t>
      </w:r>
      <w:r>
        <w:rPr>
          <w:rFonts w:hint="eastAsia" w:ascii="仿宋" w:hAnsi="仿宋" w:eastAsia="仿宋" w:cs="仿宋"/>
          <w:b/>
          <w:bCs/>
          <w:sz w:val="32"/>
          <w:szCs w:val="32"/>
          <w:highlight w:val="none"/>
        </w:rPr>
        <w:t>项目</w:t>
      </w:r>
      <w:bookmarkEnd w:id="0"/>
      <w:bookmarkEnd w:id="1"/>
      <w:bookmarkEnd w:id="2"/>
      <w:bookmarkEnd w:id="3"/>
      <w:r>
        <w:rPr>
          <w:rFonts w:hint="eastAsia" w:ascii="仿宋" w:hAnsi="仿宋" w:eastAsia="仿宋" w:cs="仿宋"/>
          <w:b/>
          <w:bCs/>
          <w:sz w:val="32"/>
          <w:szCs w:val="32"/>
          <w:highlight w:val="none"/>
          <w:lang w:eastAsia="zh-CN"/>
        </w:rPr>
        <w:t>建设背景</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4" w:name="_Toc19822"/>
      <w:bookmarkStart w:id="5" w:name="_Toc22022"/>
      <w:bookmarkStart w:id="6" w:name="_Toc25381"/>
      <w:bookmarkStart w:id="7" w:name="_Toc83630318"/>
      <w:bookmarkStart w:id="8" w:name="_Toc22961"/>
      <w:bookmarkStart w:id="9" w:name="_Toc83631028"/>
      <w:r>
        <w:rPr>
          <w:rFonts w:hint="eastAsia" w:ascii="仿宋" w:hAnsi="仿宋" w:eastAsia="仿宋" w:cs="仿宋"/>
          <w:sz w:val="30"/>
          <w:szCs w:val="30"/>
          <w:highlight w:val="none"/>
          <w:lang w:val="en-US" w:eastAsia="zh-CN"/>
        </w:rPr>
        <w:t>改革开放以来，中国城市化进程加快，智能电网得到推广和普及，在一定程度上提高了人们的生活水平和质量，改善了人们的生活条件。但因先前建设城市基础设施时，没有考虑全面，缺少相关经验，导致现在城市“弊端丛生”，各种设施和服务跟不上城市发展速度，亟待全面整改。</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随着市民对生活质量、生存环境的要求提高，原来道路两侧或横穿马路、密密麻麻交织在一起的弱电线路形成的“蜘蛛网”，不再是城市的现代“标志”，反而有碍城市观瞻形象，还伴生着诸多安全隐患。市民急盼政府能够将裸露在外的电线进行整理，将之入地敷设，既能保护电缆，又能减少事故的发生，电缆入地必将是日后城市发展的方向，对建设现代化城市具有重要意义。</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这些“空中蜘蛛网”，不仅影响市容，还是交通安全与断电事故隐患。城市中裸露的金属导线，极易受到大气中酸碱气体和水气的腐蚀，使得架空线存在比较多的危险隐患。由于城市中大量杆塔暴露在道路边缘，发生撞杆的交通事故也就难以避免，并会时常发生吊车碰线、风筝挂线等意外事故，更可能在风暴、大雪等灾害性天气时造成供电和通讯网络的严重损坏，造成无法挽回的人员伤亡和财产损失。</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露天电线带来的危害使得电缆入地备受关注，得到了大多数国家的认可和支持，尤其是城市化进程较快的国家更是钟情于电缆入地，既能美化城市景观，提高城市知名度，又能降低电线受外部侵害几率，减少意外损失，可谓一举两得。</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因此，</w:t>
      </w:r>
      <w:r>
        <w:rPr>
          <w:rFonts w:hint="eastAsia" w:ascii="仿宋" w:hAnsi="仿宋" w:eastAsia="仿宋" w:cs="仿宋"/>
          <w:sz w:val="30"/>
          <w:szCs w:val="30"/>
          <w:highlight w:val="none"/>
          <w:lang w:eastAsia="zh-CN"/>
        </w:rPr>
        <w:t>曲阳县住房和城乡建设局计划开展曲阳县恒山路强弱电入地工程。</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二、</w:t>
      </w:r>
      <w:r>
        <w:rPr>
          <w:rFonts w:hint="eastAsia" w:ascii="仿宋" w:hAnsi="仿宋" w:eastAsia="仿宋" w:cs="仿宋"/>
          <w:b/>
          <w:bCs/>
          <w:sz w:val="32"/>
          <w:szCs w:val="32"/>
          <w:highlight w:val="none"/>
        </w:rPr>
        <w:t>项目实施内容和范围</w:t>
      </w:r>
      <w:bookmarkEnd w:id="4"/>
      <w:bookmarkEnd w:id="5"/>
      <w:bookmarkEnd w:id="6"/>
      <w:bookmarkEnd w:id="7"/>
      <w:bookmarkEnd w:id="8"/>
      <w:bookmarkEnd w:id="9"/>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bookmarkStart w:id="10" w:name="_Toc24391"/>
      <w:bookmarkStart w:id="11" w:name="_Toc17013"/>
      <w:bookmarkStart w:id="12" w:name="_Toc83630319"/>
      <w:bookmarkStart w:id="13" w:name="_Toc8527"/>
      <w:bookmarkStart w:id="14" w:name="_Toc1525"/>
      <w:bookmarkStart w:id="15" w:name="_Toc83631029"/>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项目承担部门：</w:t>
      </w:r>
      <w:r>
        <w:rPr>
          <w:rFonts w:hint="eastAsia" w:ascii="仿宋" w:hAnsi="仿宋" w:eastAsia="仿宋" w:cs="仿宋"/>
          <w:sz w:val="30"/>
          <w:szCs w:val="30"/>
          <w:highlight w:val="none"/>
          <w:lang w:eastAsia="zh-CN"/>
        </w:rPr>
        <w:t>曲阳县住房和城乡建设局</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二</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项目实施主体：曲阳县住房和城乡建设局</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三</w:t>
      </w:r>
      <w:r>
        <w:rPr>
          <w:rFonts w:hint="eastAsia" w:ascii="仿宋" w:hAnsi="仿宋" w:eastAsia="仿宋" w:cs="仿宋"/>
          <w:sz w:val="30"/>
          <w:szCs w:val="30"/>
          <w:highlight w:val="none"/>
          <w:lang w:eastAsia="zh-CN"/>
        </w:rPr>
        <w:t>）项目建设地点:</w:t>
      </w:r>
      <w:r>
        <w:rPr>
          <w:rFonts w:hint="eastAsia" w:ascii="仿宋" w:hAnsi="仿宋" w:eastAsia="仿宋" w:cs="仿宋"/>
          <w:sz w:val="30"/>
          <w:szCs w:val="30"/>
          <w:highlight w:val="none"/>
          <w:lang w:val="en-US" w:eastAsia="zh-CN"/>
        </w:rPr>
        <w:t>曲阳县恒州路。</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四</w:t>
      </w:r>
      <w:r>
        <w:rPr>
          <w:rFonts w:hint="eastAsia" w:ascii="仿宋" w:hAnsi="仿宋" w:eastAsia="仿宋" w:cs="仿宋"/>
          <w:sz w:val="30"/>
          <w:szCs w:val="30"/>
          <w:highlight w:val="none"/>
          <w:lang w:eastAsia="zh-CN"/>
        </w:rPr>
        <w:t>）主要</w:t>
      </w:r>
      <w:r>
        <w:rPr>
          <w:rFonts w:hint="eastAsia" w:ascii="仿宋" w:hAnsi="仿宋" w:eastAsia="仿宋" w:cs="仿宋"/>
          <w:sz w:val="30"/>
          <w:szCs w:val="30"/>
          <w:highlight w:val="none"/>
          <w:lang w:val="en-US" w:eastAsia="zh-CN"/>
        </w:rPr>
        <w:t>建设内容及规模：县城区恒山路强弱电管线进入恒山路地下管廊，其中强电入地为恒山路电力线路进入地下电力管廊，共需新建10KV线路4回19500米，新建低压电缆线路约13900米；弱电入地部分为联通电信移动广电等部门弱电线路进入地下弱电排管约245000米。</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（五）投资规模:可研批复文件显示的项目估算总投资为5955.00万元，资金来源为县财政资金和政府专项债券。</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（六）项目计划</w:t>
      </w:r>
      <w:r>
        <w:rPr>
          <w:rFonts w:hint="default" w:ascii="仿宋" w:hAnsi="仿宋" w:eastAsia="仿宋" w:cs="仿宋"/>
          <w:sz w:val="30"/>
          <w:szCs w:val="30"/>
          <w:highlight w:val="none"/>
          <w:lang w:val="en-US" w:eastAsia="zh-CN"/>
        </w:rPr>
        <w:t>建设期限:</w:t>
      </w:r>
      <w:r>
        <w:rPr>
          <w:rFonts w:hint="eastAsia" w:ascii="仿宋" w:hAnsi="仿宋" w:eastAsia="仿宋" w:cs="仿宋"/>
          <w:sz w:val="30"/>
          <w:szCs w:val="30"/>
          <w:highlight w:val="none"/>
          <w:lang w:val="en-US" w:eastAsia="zh-CN"/>
        </w:rPr>
        <w:t>2022年6月20日签订的项目总承包合同显示计划工期为2022年6月20日至2023年5月30日（344日历天）。</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（七）项目绩效目标：</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1、美化环境。</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2、减少隐患。</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sz w:val="30"/>
          <w:szCs w:val="30"/>
          <w:highlight w:val="none"/>
          <w:lang w:val="en-US" w:eastAsia="zh-CN"/>
        </w:rPr>
      </w:pPr>
      <w:r>
        <w:rPr>
          <w:rFonts w:hint="eastAsia" w:ascii="仿宋" w:hAnsi="仿宋" w:eastAsia="仿宋" w:cs="仿宋"/>
          <w:b/>
          <w:bCs/>
          <w:sz w:val="32"/>
          <w:szCs w:val="32"/>
          <w:highlight w:val="none"/>
          <w:lang w:val="en-US" w:eastAsia="zh-CN"/>
        </w:rPr>
        <w:t>三、项目资金使用情况</w:t>
      </w:r>
      <w:bookmarkEnd w:id="10"/>
      <w:bookmarkEnd w:id="11"/>
      <w:bookmarkEnd w:id="12"/>
      <w:bookmarkEnd w:id="13"/>
      <w:bookmarkEnd w:id="14"/>
      <w:bookmarkEnd w:id="15"/>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该项目2022年度共安排专项债券资金2800.00万元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累计支出金额2800.00万元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结余资金0.00</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lang w:val="en-US" w:eastAsia="zh-CN"/>
        </w:rPr>
        <w:t>。</w:t>
      </w:r>
      <w:r>
        <w:rPr>
          <w:rFonts w:hint="eastAsia" w:ascii="仿宋" w:hAnsi="仿宋" w:eastAsia="仿宋" w:cs="仿宋"/>
          <w:b w:val="0"/>
          <w:bCs w:val="0"/>
          <w:sz w:val="30"/>
          <w:szCs w:val="30"/>
          <w:highlight w:val="none"/>
          <w:lang w:val="en-US" w:eastAsia="zh-CN"/>
        </w:rPr>
        <w:t>具体见下表：</w:t>
      </w:r>
    </w:p>
    <w:p>
      <w:pPr>
        <w:pageBreakBefore w:val="0"/>
        <w:kinsoku/>
        <w:wordWrap/>
        <w:overflowPunct/>
        <w:topLinePunct w:val="0"/>
        <w:autoSpaceDE/>
        <w:autoSpaceDN/>
        <w:bidi w:val="0"/>
        <w:adjustRightInd/>
        <w:snapToGrid/>
        <w:spacing w:line="560" w:lineRule="exact"/>
        <w:jc w:val="center"/>
        <w:rPr>
          <w:rFonts w:hint="eastAsia" w:ascii="仿宋_GB2312" w:eastAsia="仿宋_GB2312" w:cs="Times New Roman"/>
          <w:b w:val="0"/>
          <w:bCs w:val="0"/>
          <w:color w:val="000000"/>
          <w:sz w:val="24"/>
          <w:szCs w:val="24"/>
          <w:highlight w:val="none"/>
        </w:rPr>
      </w:pPr>
      <w:r>
        <w:rPr>
          <w:rFonts w:hint="eastAsia" w:ascii="仿宋_GB2312" w:eastAsia="仿宋_GB2312" w:cs="Times New Roman"/>
          <w:b w:val="0"/>
          <w:bCs w:val="0"/>
          <w:color w:val="000000"/>
          <w:sz w:val="24"/>
          <w:szCs w:val="24"/>
          <w:highlight w:val="none"/>
        </w:rPr>
        <w:t xml:space="preserve"> </w:t>
      </w:r>
      <w:r>
        <w:rPr>
          <w:rFonts w:hint="eastAsia" w:ascii="仿宋" w:hAnsi="仿宋" w:eastAsia="仿宋" w:cs="仿宋"/>
          <w:sz w:val="30"/>
          <w:szCs w:val="30"/>
          <w:highlight w:val="none"/>
          <w:lang w:val="en-US" w:eastAsia="zh-CN"/>
        </w:rPr>
        <w:t>曲阳县住房和城乡建设局孟良河治理项目支出明细表</w:t>
      </w:r>
      <w:r>
        <w:rPr>
          <w:rFonts w:hint="eastAsia" w:ascii="仿宋_GB2312" w:eastAsia="仿宋_GB2312" w:cs="Times New Roman"/>
          <w:b w:val="0"/>
          <w:bCs w:val="0"/>
          <w:color w:val="000000"/>
          <w:sz w:val="24"/>
          <w:szCs w:val="24"/>
          <w:highlight w:val="none"/>
        </w:rPr>
        <w:t xml:space="preserve">                                                     </w:t>
      </w:r>
    </w:p>
    <w:p>
      <w:pPr>
        <w:widowControl/>
        <w:spacing w:line="560" w:lineRule="exact"/>
        <w:jc w:val="center"/>
        <w:textAlignment w:val="center"/>
        <w:rPr>
          <w:rFonts w:ascii="仿宋_GB2312" w:eastAsia="仿宋_GB2312" w:cs="Times New Roman"/>
          <w:b w:val="0"/>
          <w:bCs w:val="0"/>
          <w:color w:val="000000"/>
          <w:sz w:val="24"/>
          <w:szCs w:val="24"/>
          <w:highlight w:val="none"/>
        </w:rPr>
      </w:pPr>
      <w:r>
        <w:rPr>
          <w:rFonts w:hint="eastAsia" w:ascii="仿宋_GB2312" w:eastAsia="仿宋_GB2312" w:cs="Times New Roman"/>
          <w:b w:val="0"/>
          <w:bCs w:val="0"/>
          <w:color w:val="000000"/>
          <w:sz w:val="24"/>
          <w:szCs w:val="24"/>
          <w:highlight w:val="none"/>
          <w:lang w:val="en-US" w:eastAsia="zh-CN"/>
        </w:rPr>
        <w:t xml:space="preserve">                                                                     </w:t>
      </w:r>
      <w:r>
        <w:rPr>
          <w:rFonts w:hint="eastAsia" w:ascii="仿宋_GB2312" w:eastAsia="仿宋_GB2312" w:cs="Times New Roman"/>
          <w:b w:val="0"/>
          <w:bCs w:val="0"/>
          <w:color w:val="000000"/>
          <w:sz w:val="24"/>
          <w:szCs w:val="24"/>
          <w:highlight w:val="none"/>
        </w:rPr>
        <w:t xml:space="preserve">  单位：万元</w:t>
      </w:r>
    </w:p>
    <w:tbl>
      <w:tblPr>
        <w:tblStyle w:val="19"/>
        <w:tblW w:w="9785" w:type="dxa"/>
        <w:tblInd w:w="60" w:type="dxa"/>
        <w:tblLayout w:type="fixed"/>
        <w:tblCellMar>
          <w:top w:w="0" w:type="dxa"/>
          <w:left w:w="108" w:type="dxa"/>
          <w:bottom w:w="0" w:type="dxa"/>
          <w:right w:w="108" w:type="dxa"/>
        </w:tblCellMar>
      </w:tblPr>
      <w:tblGrid>
        <w:gridCol w:w="800"/>
        <w:gridCol w:w="1617"/>
        <w:gridCol w:w="5023"/>
        <w:gridCol w:w="2345"/>
      </w:tblGrid>
      <w:tr>
        <w:tblPrEx>
          <w:tblCellMar>
            <w:top w:w="0" w:type="dxa"/>
            <w:left w:w="108" w:type="dxa"/>
            <w:bottom w:w="0" w:type="dxa"/>
            <w:right w:w="108" w:type="dxa"/>
          </w:tblCellMar>
        </w:tblPrEx>
        <w:trPr>
          <w:trHeight w:val="632"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序号</w:t>
            </w:r>
          </w:p>
        </w:tc>
        <w:tc>
          <w:tcPr>
            <w:tcW w:w="1617"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内容</w:t>
            </w:r>
          </w:p>
        </w:tc>
        <w:tc>
          <w:tcPr>
            <w:tcW w:w="5023"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公司名称</w:t>
            </w:r>
          </w:p>
        </w:tc>
        <w:tc>
          <w:tcPr>
            <w:tcW w:w="234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累计支付金额</w:t>
            </w:r>
          </w:p>
        </w:tc>
      </w:tr>
      <w:tr>
        <w:tblPrEx>
          <w:tblCellMar>
            <w:top w:w="0" w:type="dxa"/>
            <w:left w:w="108" w:type="dxa"/>
            <w:bottom w:w="0" w:type="dxa"/>
            <w:right w:w="108" w:type="dxa"/>
          </w:tblCellMar>
        </w:tblPrEx>
        <w:trPr>
          <w:trHeight w:val="632"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1</w:t>
            </w:r>
          </w:p>
        </w:tc>
        <w:tc>
          <w:tcPr>
            <w:tcW w:w="1617" w:type="dxa"/>
            <w:vMerge w:val="restart"/>
            <w:tcBorders>
              <w:top w:val="single" w:color="auto" w:sz="4" w:space="0"/>
              <w:left w:val="nil"/>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val="0"/>
                <w:bCs w:val="0"/>
                <w:color w:val="000000"/>
                <w:sz w:val="24"/>
                <w:szCs w:val="24"/>
                <w:highlight w:val="none"/>
                <w:lang w:val="en-US" w:eastAsia="zh-CN"/>
              </w:rPr>
            </w:pPr>
          </w:p>
          <w:p>
            <w:pPr>
              <w:keepNext w:val="0"/>
              <w:keepLines w:val="0"/>
              <w:widowControl/>
              <w:suppressLineNumbers w:val="0"/>
              <w:jc w:val="center"/>
              <w:textAlignment w:val="center"/>
              <w:rPr>
                <w:rFonts w:hint="eastAsia"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工程款</w:t>
            </w:r>
          </w:p>
          <w:p>
            <w:pPr>
              <w:keepNext w:val="0"/>
              <w:keepLines w:val="0"/>
              <w:widowControl/>
              <w:suppressLineNumbers w:val="0"/>
              <w:jc w:val="center"/>
              <w:textAlignment w:val="center"/>
              <w:rPr>
                <w:rFonts w:hint="eastAsia" w:ascii="仿宋_GB2312" w:eastAsia="仿宋_GB2312" w:cs="Times New Roman"/>
                <w:b w:val="0"/>
                <w:bCs w:val="0"/>
                <w:color w:val="000000"/>
                <w:sz w:val="24"/>
                <w:szCs w:val="24"/>
                <w:highlight w:val="none"/>
                <w:lang w:val="en-US" w:eastAsia="zh-CN"/>
              </w:rPr>
            </w:pPr>
          </w:p>
        </w:tc>
        <w:tc>
          <w:tcPr>
            <w:tcW w:w="5023"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河北海明建设集团有限公司</w:t>
            </w:r>
          </w:p>
        </w:tc>
        <w:tc>
          <w:tcPr>
            <w:tcW w:w="234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u w:val="none"/>
                <w:lang w:val="en-US" w:eastAsia="zh-CN" w:bidi="ar"/>
              </w:rPr>
              <w:t>2588.85632</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2</w:t>
            </w:r>
          </w:p>
        </w:tc>
        <w:tc>
          <w:tcPr>
            <w:tcW w:w="1617" w:type="dxa"/>
            <w:vMerge w:val="continue"/>
            <w:tcBorders>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eastAsia="仿宋_GB2312" w:cs="Times New Roman"/>
                <w:b w:val="0"/>
                <w:bCs w:val="0"/>
                <w:color w:val="000000"/>
                <w:sz w:val="24"/>
                <w:szCs w:val="24"/>
                <w:highlight w:val="none"/>
                <w:lang w:val="en-US" w:eastAsia="zh-CN"/>
              </w:rPr>
            </w:pPr>
          </w:p>
        </w:tc>
        <w:tc>
          <w:tcPr>
            <w:tcW w:w="5023"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仿宋_GB2312" w:eastAsia="仿宋_GB2312" w:cs="Times New Roman"/>
                <w:b w:val="0"/>
                <w:bCs w:val="0"/>
                <w:color w:val="000000"/>
                <w:sz w:val="24"/>
                <w:szCs w:val="24"/>
                <w:highlight w:val="none"/>
                <w:lang w:val="en-US" w:eastAsia="zh-CN"/>
              </w:rPr>
              <w:t>卓信通信股份有限公司</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u w:val="none"/>
                <w:lang w:val="en-US" w:eastAsia="zh-CN" w:bidi="ar"/>
              </w:rPr>
              <w:t>211.14368</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2"/>
                <w:szCs w:val="22"/>
                <w:highlight w:val="none"/>
                <w:u w:val="none"/>
                <w:lang w:val="en-US" w:eastAsia="zh-CN" w:bidi="ar"/>
              </w:rPr>
            </w:pPr>
          </w:p>
        </w:tc>
        <w:tc>
          <w:tcPr>
            <w:tcW w:w="6640"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eastAsia="仿宋_GB2312" w:cs="Times New Roman"/>
                <w:b/>
                <w:bCs/>
                <w:color w:val="000000"/>
                <w:sz w:val="24"/>
                <w:szCs w:val="24"/>
                <w:highlight w:val="none"/>
                <w:lang w:val="en-US" w:eastAsia="zh-CN"/>
              </w:rPr>
              <w:t>合计</w:t>
            </w: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2,800.00</w:t>
            </w:r>
          </w:p>
        </w:tc>
      </w:tr>
    </w:tbl>
    <w:p>
      <w:pPr>
        <w:pStyle w:val="16"/>
        <w:rPr>
          <w:rFonts w:hint="eastAsia"/>
          <w:highlight w:val="none"/>
          <w:lang w:val="en-US" w:eastAsia="zh-CN"/>
        </w:rPr>
      </w:pP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曲阳县人民政府《关于2022年政府专项债券限额使用及项目安排的报告》曲府〔2022〕77号文件显示，安排曲阳县恒山路强弱电入地工程专项债券资金2800.00万元，预算下达到曲阳县住房和城乡建设局，并由曲阳县住房和城乡建设局进行集中支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2022年度，该项目共计收到专项债券资金2800.00万元，实际支出2800.00万元,全部为工程款支出。收支明细详见下表：</w:t>
      </w:r>
    </w:p>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专项债券资金收支明细表</w:t>
      </w:r>
    </w:p>
    <w:p>
      <w:pPr>
        <w:pStyle w:val="36"/>
        <w:tabs>
          <w:tab w:val="left" w:pos="312"/>
        </w:tabs>
        <w:spacing w:line="560" w:lineRule="exact"/>
        <w:ind w:left="120" w:firstLine="440"/>
        <w:jc w:val="right"/>
        <w:rPr>
          <w:rFonts w:hint="eastAsia" w:ascii="仿宋" w:hAnsi="仿宋" w:eastAsia="仿宋" w:cs="仿宋"/>
          <w:sz w:val="24"/>
          <w:szCs w:val="24"/>
          <w:highlight w:val="none"/>
        </w:rPr>
      </w:pPr>
      <w:r>
        <w:rPr>
          <w:rFonts w:hint="eastAsia" w:ascii="仿宋" w:hAnsi="仿宋" w:eastAsia="仿宋" w:cs="仿宋"/>
          <w:bCs/>
          <w:kern w:val="0"/>
          <w:sz w:val="24"/>
          <w:szCs w:val="24"/>
          <w:highlight w:val="none"/>
        </w:rPr>
        <w:t>单位：万元</w:t>
      </w:r>
    </w:p>
    <w:tbl>
      <w:tblPr>
        <w:tblStyle w:val="20"/>
        <w:tblW w:w="9757"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1736"/>
        <w:gridCol w:w="1905"/>
        <w:gridCol w:w="1306"/>
        <w:gridCol w:w="1623"/>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5020" w:type="dxa"/>
            <w:gridSpan w:val="3"/>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b/>
                <w:bCs/>
                <w:i w:val="0"/>
                <w:iCs w:val="0"/>
                <w:color w:val="000000"/>
                <w:kern w:val="0"/>
                <w:sz w:val="22"/>
                <w:szCs w:val="22"/>
                <w:highlight w:val="none"/>
                <w:u w:val="none"/>
                <w:lang w:val="en-US" w:eastAsia="zh-CN" w:bidi="ar"/>
              </w:rPr>
              <w:t>收入</w:t>
            </w:r>
          </w:p>
        </w:tc>
        <w:tc>
          <w:tcPr>
            <w:tcW w:w="4737" w:type="dxa"/>
            <w:gridSpan w:val="3"/>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b/>
                <w:bCs/>
                <w:i w:val="0"/>
                <w:iCs w:val="0"/>
                <w:color w:val="000000"/>
                <w:kern w:val="0"/>
                <w:sz w:val="22"/>
                <w:szCs w:val="22"/>
                <w:highlight w:val="none"/>
                <w:u w:val="none"/>
                <w:lang w:val="en-US" w:eastAsia="zh-CN" w:bidi="ar"/>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379"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名称</w:t>
            </w:r>
          </w:p>
        </w:tc>
        <w:tc>
          <w:tcPr>
            <w:tcW w:w="1736"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日期</w:t>
            </w:r>
          </w:p>
        </w:tc>
        <w:tc>
          <w:tcPr>
            <w:tcW w:w="1905"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金额</w:t>
            </w:r>
          </w:p>
        </w:tc>
        <w:tc>
          <w:tcPr>
            <w:tcW w:w="1306"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名称</w:t>
            </w:r>
          </w:p>
        </w:tc>
        <w:tc>
          <w:tcPr>
            <w:tcW w:w="1623"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日期</w:t>
            </w:r>
          </w:p>
        </w:tc>
        <w:tc>
          <w:tcPr>
            <w:tcW w:w="1808"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379" w:type="dxa"/>
            <w:vMerge w:val="restart"/>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专项债券资金</w:t>
            </w:r>
          </w:p>
        </w:tc>
        <w:tc>
          <w:tcPr>
            <w:tcW w:w="1736" w:type="dxa"/>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2022.6.30</w:t>
            </w:r>
          </w:p>
        </w:tc>
        <w:tc>
          <w:tcPr>
            <w:tcW w:w="1905" w:type="dxa"/>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1,600.32</w:t>
            </w:r>
          </w:p>
        </w:tc>
        <w:tc>
          <w:tcPr>
            <w:tcW w:w="1306"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工程预付款</w:t>
            </w:r>
          </w:p>
        </w:tc>
        <w:tc>
          <w:tcPr>
            <w:tcW w:w="1623"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2022.6.30</w:t>
            </w:r>
          </w:p>
        </w:tc>
        <w:tc>
          <w:tcPr>
            <w:tcW w:w="1808"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1,600.32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379" w:type="dxa"/>
            <w:vMerge w:val="continue"/>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1736"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2022.8.25</w:t>
            </w:r>
          </w:p>
        </w:tc>
        <w:tc>
          <w:tcPr>
            <w:tcW w:w="1905"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1,199.68</w:t>
            </w:r>
          </w:p>
        </w:tc>
        <w:tc>
          <w:tcPr>
            <w:tcW w:w="1306"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工程进度款</w:t>
            </w:r>
          </w:p>
        </w:tc>
        <w:tc>
          <w:tcPr>
            <w:tcW w:w="1623"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2022.8.25</w:t>
            </w:r>
          </w:p>
        </w:tc>
        <w:tc>
          <w:tcPr>
            <w:tcW w:w="1808"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1,199.68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3115" w:type="dxa"/>
            <w:gridSpan w:val="2"/>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合计</w:t>
            </w:r>
          </w:p>
        </w:tc>
        <w:tc>
          <w:tcPr>
            <w:tcW w:w="1905" w:type="dxa"/>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 xml:space="preserve"> </w:t>
            </w:r>
            <w:r>
              <w:rPr>
                <w:rFonts w:hint="eastAsia" w:ascii="仿宋_GB2312" w:eastAsia="仿宋_GB2312" w:cs="Times New Roman"/>
                <w:b/>
                <w:bCs/>
                <w:color w:val="000000"/>
                <w:sz w:val="24"/>
                <w:szCs w:val="24"/>
                <w:highlight w:val="none"/>
                <w:lang w:val="en-US" w:eastAsia="zh-CN"/>
              </w:rPr>
              <w:t>2,800.00</w:t>
            </w:r>
          </w:p>
        </w:tc>
        <w:tc>
          <w:tcPr>
            <w:tcW w:w="2929" w:type="dxa"/>
            <w:gridSpan w:val="2"/>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合计</w:t>
            </w:r>
          </w:p>
        </w:tc>
        <w:tc>
          <w:tcPr>
            <w:tcW w:w="1808" w:type="dxa"/>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 xml:space="preserve"> </w:t>
            </w:r>
            <w:r>
              <w:rPr>
                <w:rFonts w:hint="eastAsia" w:ascii="仿宋_GB2312" w:eastAsia="仿宋_GB2312" w:cs="Times New Roman"/>
                <w:b/>
                <w:bCs/>
                <w:color w:val="000000"/>
                <w:sz w:val="24"/>
                <w:szCs w:val="24"/>
                <w:highlight w:val="none"/>
                <w:lang w:val="en-US" w:eastAsia="zh-CN"/>
              </w:rPr>
              <w:t>2,800.00</w:t>
            </w:r>
          </w:p>
        </w:tc>
      </w:tr>
    </w:tbl>
    <w:p>
      <w:pPr>
        <w:pStyle w:val="16"/>
        <w:ind w:left="0" w:leftChars="0" w:firstLine="0" w:firstLineChars="0"/>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562" w:leftChars="0"/>
        <w:jc w:val="left"/>
        <w:textAlignment w:val="auto"/>
        <w:rPr>
          <w:rFonts w:hint="eastAsia" w:ascii="仿宋" w:hAnsi="仿宋" w:eastAsia="仿宋" w:cs="仿宋"/>
          <w:b/>
          <w:bCs/>
          <w:sz w:val="30"/>
          <w:szCs w:val="30"/>
          <w:highlight w:val="none"/>
          <w:lang w:val="en-US" w:eastAsia="zh-CN"/>
        </w:rPr>
      </w:pPr>
      <w:bookmarkStart w:id="16" w:name="_Toc83631030"/>
      <w:bookmarkStart w:id="17" w:name="_Toc21403"/>
      <w:bookmarkStart w:id="18" w:name="_Toc83630320"/>
      <w:bookmarkStart w:id="19" w:name="_Toc14351"/>
      <w:bookmarkStart w:id="20" w:name="_Toc21592"/>
      <w:bookmarkStart w:id="21" w:name="_Toc18734"/>
      <w:r>
        <w:rPr>
          <w:rFonts w:hint="eastAsia" w:ascii="仿宋" w:hAnsi="仿宋" w:eastAsia="仿宋" w:cs="仿宋"/>
          <w:b/>
          <w:bCs/>
          <w:sz w:val="30"/>
          <w:szCs w:val="30"/>
          <w:highlight w:val="none"/>
          <w:lang w:val="en-US" w:eastAsia="zh-CN"/>
        </w:rPr>
        <w:t>四、绩效评估工作开展情况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（一）绩效评估目的</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为了进一步强化部门支出责任，提高部门绩效意识，优化资源配置，控制节约成本，切实提供项目资金管理水平和使用效益，及时掌握项目在执行过程中产生的效果和存在的不足，特别是在资金使用方面，将评估结果与当年预算安排挂钩，作为预算合法有效执行的重要保障，并作为完善政策、分配资金、改善管理的重要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绩效评估设计过程</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.收集资料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工作组在项目实施单位收集、整理被评估项目基础资料及相关信息，对项目情况进行初步了解。</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.绩效评估具体实施</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我们通过查看项目相关政策文件，项目</w:t>
      </w:r>
      <w:r>
        <w:rPr>
          <w:rFonts w:hint="eastAsia" w:ascii="仿宋" w:hAnsi="仿宋" w:eastAsia="仿宋" w:cs="仿宋"/>
          <w:sz w:val="30"/>
          <w:szCs w:val="30"/>
          <w:highlight w:val="none"/>
          <w:lang w:val="en-US" w:eastAsia="zh-CN"/>
        </w:rPr>
        <w:t>的相关管理制度</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档案资料、</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lang w:val="en-US" w:eastAsia="zh-CN"/>
        </w:rPr>
        <w:t>收付明细账</w:t>
      </w:r>
      <w:r>
        <w:rPr>
          <w:rFonts w:hint="eastAsia" w:ascii="仿宋" w:hAnsi="仿宋" w:eastAsia="仿宋" w:cs="仿宋"/>
          <w:sz w:val="30"/>
          <w:szCs w:val="30"/>
          <w:highlight w:val="none"/>
          <w:lang w:eastAsia="zh-CN"/>
        </w:rPr>
        <w:t>等相关资料，评估项目实施的效果，并按照评估指标体系对相应事项进行分数评定。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3.撰写绩效报告</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工作组根据现场核实、数据分析情况，撰写绩效评估报告</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lang w:eastAsia="zh-CN"/>
        </w:rPr>
        <w:t>经过内部讨论、与项目实施单位交换沟通，形成绩效评估项目报告初稿。</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（三）绩效评估框架</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1.绩效评估原则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（1）价值导向原则：财政支出绩效评估体系应能够反映财政支出的经济性、效益性、有效性原则，体现财政部门和项目主管部门的价值导向。</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（2）重要性原则：根据指标在整个指标体系的地位和作用进行筛选，选择最具代表性、最能反映评估要求的指标。</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（3）可比性原则：在相似项目之间有共同的指标，不同项目之间的衡量结果可以相互比较。</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（4）综合性原则：将定性指标和定量指标相结合，定性分析是定量分析的基础，定量分析是定性分析的深化，两者相结合系统反映财政支出所产生的社会效益。</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（5）经济性原则：指标的选取要考虑现实条件及可操作性，数据的获得应符合成本效益原则，在合理成本的基础上收集信息。</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2.绩效评估的评估方法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本次评估采取定量和定性评估相结合、综合评估相结合的方式，运用审查法和现场查勘法开展绩效评估工作。</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（1）审查法：通过审查被评估单位的项目档案、项目</w:t>
      </w:r>
      <w:r>
        <w:rPr>
          <w:rFonts w:hint="eastAsia" w:ascii="仿宋" w:hAnsi="仿宋" w:eastAsia="仿宋" w:cs="仿宋"/>
          <w:sz w:val="30"/>
          <w:szCs w:val="30"/>
          <w:highlight w:val="none"/>
          <w:lang w:val="en-US" w:eastAsia="zh-CN"/>
        </w:rPr>
        <w:t>管理制度</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lang w:val="en-US" w:eastAsia="zh-CN"/>
        </w:rPr>
        <w:t>支付凭证</w:t>
      </w:r>
      <w:r>
        <w:rPr>
          <w:rFonts w:hint="eastAsia" w:ascii="仿宋" w:hAnsi="仿宋" w:eastAsia="仿宋" w:cs="仿宋"/>
          <w:sz w:val="30"/>
          <w:szCs w:val="30"/>
          <w:highlight w:val="none"/>
          <w:lang w:eastAsia="zh-CN"/>
        </w:rPr>
        <w:t>、资金支付</w:t>
      </w:r>
      <w:r>
        <w:rPr>
          <w:rFonts w:hint="eastAsia" w:ascii="仿宋" w:hAnsi="仿宋" w:eastAsia="仿宋" w:cs="仿宋"/>
          <w:sz w:val="30"/>
          <w:szCs w:val="30"/>
          <w:highlight w:val="none"/>
          <w:lang w:val="en-US" w:eastAsia="zh-CN"/>
        </w:rPr>
        <w:t>明细账</w:t>
      </w:r>
      <w:r>
        <w:rPr>
          <w:rFonts w:hint="eastAsia" w:ascii="仿宋" w:hAnsi="仿宋" w:eastAsia="仿宋" w:cs="仿宋"/>
          <w:sz w:val="30"/>
          <w:szCs w:val="30"/>
          <w:highlight w:val="none"/>
          <w:lang w:eastAsia="zh-CN"/>
        </w:rPr>
        <w:t>等项目资料，分析资金支出的合理性和合规性。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（2）现场查勘法：通过对项目的现场查勘，了解目标的实施情况，进而评估项目绩效目标的完成情况。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3.绩效评估标准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绩效评估标准：是指衡量财政支出绩效目标完成程度的尺度，绩效评估标准。具体包括：</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（1）计划标准：是指以预先制定的目标、计划、预算、标准等数据作为评估的标准。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（2）行业标准：是指参照国家权威部门公布的行业指标数据制定的评估标准。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（3）历史标准：是指参照同类指标的历史数据制定的评估标准。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（4）其他标准：其他有参考价值的标准。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4.绩效评估依据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bookmarkStart w:id="22" w:name="_Toc5980"/>
      <w:bookmarkStart w:id="23" w:name="_Toc16243"/>
      <w:bookmarkStart w:id="24" w:name="_Toc12911"/>
      <w:r>
        <w:rPr>
          <w:rFonts w:hint="eastAsia" w:ascii="仿宋" w:hAnsi="仿宋" w:eastAsia="仿宋" w:cs="仿宋"/>
          <w:sz w:val="30"/>
          <w:szCs w:val="30"/>
          <w:highlight w:val="none"/>
        </w:rPr>
        <w:t>（1）《中华人民共和国预算法》(主席令第21号)；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val="en-US" w:eastAsia="zh-CN"/>
        </w:rPr>
        <w:t xml:space="preserve">《中共中央国务院关于全面实施预算绩效管理的意见》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）《关于印发〈财政支出绩效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管理暂行办法〉的通知》（财预〔2011〕285号）；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《河北省财政支出绩效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管理办法》（冀财预〔2011〕68号）；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）《关于印发&lt;预算绩效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 xml:space="preserve">共性指标体系框架&gt;的通知》（财预〔2013〕53号）；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）《河北省项目支出绩效指标框架体系》（冀财预[2016]</w:t>
      </w:r>
      <w:r>
        <w:rPr>
          <w:rFonts w:hint="eastAsia" w:ascii="仿宋" w:hAnsi="仿宋" w:eastAsia="仿宋" w:cs="仿宋"/>
          <w:sz w:val="30"/>
          <w:szCs w:val="30"/>
          <w:highlight w:val="none"/>
          <w:lang w:eastAsia="zh-CN"/>
        </w:rPr>
        <w:t>94</w:t>
      </w:r>
      <w:r>
        <w:rPr>
          <w:rFonts w:hint="eastAsia" w:ascii="仿宋" w:hAnsi="仿宋" w:eastAsia="仿宋" w:cs="仿宋"/>
          <w:sz w:val="30"/>
          <w:szCs w:val="30"/>
          <w:highlight w:val="none"/>
        </w:rPr>
        <w:t>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《项目支出绩效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lang w:val="en-US" w:eastAsia="zh-CN"/>
        </w:rPr>
        <w:t>管理办法》(财预[2020]10号)；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曲阳县财政局关于印发2023年县级财政重点绩效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lang w:val="en-US" w:eastAsia="zh-CN"/>
        </w:rPr>
        <w:t>计划的通知</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曲财</w:t>
      </w:r>
      <w:r>
        <w:rPr>
          <w:rFonts w:hint="eastAsia" w:ascii="仿宋" w:hAnsi="仿宋" w:eastAsia="仿宋" w:cs="仿宋"/>
          <w:sz w:val="30"/>
          <w:szCs w:val="30"/>
          <w:highlight w:val="none"/>
        </w:rPr>
        <w:t>[20</w:t>
      </w:r>
      <w:r>
        <w:rPr>
          <w:rFonts w:hint="eastAsia" w:ascii="仿宋" w:hAnsi="仿宋" w:eastAsia="仿宋" w:cs="仿宋"/>
          <w:sz w:val="30"/>
          <w:szCs w:val="30"/>
          <w:highlight w:val="none"/>
          <w:lang w:val="en-US" w:eastAsia="zh-CN"/>
        </w:rPr>
        <w:t>23</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15</w:t>
      </w:r>
      <w:r>
        <w:rPr>
          <w:rFonts w:hint="eastAsia" w:ascii="仿宋" w:hAnsi="仿宋" w:eastAsia="仿宋" w:cs="仿宋"/>
          <w:sz w:val="30"/>
          <w:szCs w:val="30"/>
          <w:highlight w:val="none"/>
        </w:rPr>
        <w:t>号）；</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rPr>
      </w:pPr>
      <w:r>
        <w:rPr>
          <w:rFonts w:hint="eastAsia" w:ascii="仿宋" w:hAnsi="仿宋" w:eastAsia="仿宋" w:cs="仿宋"/>
          <w:sz w:val="30"/>
          <w:szCs w:val="30"/>
          <w:highlight w:val="none"/>
          <w:lang w:val="en-US" w:eastAsia="zh-CN"/>
        </w:rPr>
        <w:t>（9）相关预算指标文及其他文件依据。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lang w:eastAsia="zh-CN"/>
        </w:rPr>
        <w:t>绩效评估指标体系</w:t>
      </w:r>
      <w:bookmarkEnd w:id="22"/>
      <w:bookmarkEnd w:id="23"/>
      <w:bookmarkEnd w:id="24"/>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）指标设定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绩效指标指用于测量公共支出效果的指数或指数体系。绩效指标可以是某一独立指标，也可以是由多项指标组成的体系。科学的绩效指标是实现公共管理科学化的前提。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评估指标体系是根据财政支出项目进行评估的目的、财政支出项目的绩效内容，以及财政支出指标体系的设计原则，采用适当的方法，确定财政支出项目的绩效评估指标，然后，运用适当的方法，确定各个指标相对于项目总体绩效的重要性，并用数量化的方法表示出来，即赋予每个指标一定的权重；确定各个评估指标的参照标准，即明确指标的标准值。</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）指标权重设定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该项目管理类指标占全部权重的</w:t>
      </w:r>
      <w:r>
        <w:rPr>
          <w:rFonts w:hint="eastAsia" w:ascii="仿宋" w:hAnsi="仿宋" w:eastAsia="仿宋" w:cs="仿宋"/>
          <w:sz w:val="30"/>
          <w:szCs w:val="30"/>
          <w:highlight w:val="none"/>
          <w:lang w:val="en-US" w:eastAsia="zh-CN"/>
        </w:rPr>
        <w:t>60</w:t>
      </w:r>
      <w:r>
        <w:rPr>
          <w:rFonts w:hint="eastAsia" w:ascii="仿宋" w:hAnsi="仿宋" w:eastAsia="仿宋" w:cs="仿宋"/>
          <w:sz w:val="30"/>
          <w:szCs w:val="30"/>
          <w:highlight w:val="none"/>
          <w:lang w:eastAsia="zh-CN"/>
        </w:rPr>
        <w:t>%，包括项目立项、项目过程管理；项目绩效类指标占全部权重的</w:t>
      </w:r>
      <w:r>
        <w:rPr>
          <w:rFonts w:hint="eastAsia" w:ascii="仿宋" w:hAnsi="仿宋" w:eastAsia="仿宋" w:cs="仿宋"/>
          <w:sz w:val="30"/>
          <w:szCs w:val="30"/>
          <w:highlight w:val="none"/>
          <w:lang w:val="en-US" w:eastAsia="zh-CN"/>
        </w:rPr>
        <w:t>40</w:t>
      </w:r>
      <w:r>
        <w:rPr>
          <w:rFonts w:hint="eastAsia" w:ascii="仿宋" w:hAnsi="仿宋" w:eastAsia="仿宋" w:cs="仿宋"/>
          <w:sz w:val="30"/>
          <w:szCs w:val="30"/>
          <w:highlight w:val="none"/>
          <w:lang w:eastAsia="zh-CN"/>
        </w:rPr>
        <w:t>%，其中项目产出类指标占</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lang w:eastAsia="zh-CN"/>
        </w:rPr>
        <w:t>%，项目效果类指标占</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 xml:space="preserve"> </w:t>
      </w:r>
      <w:bookmarkStart w:id="25" w:name="_Toc22342"/>
      <w:bookmarkStart w:id="26" w:name="_Toc27907"/>
      <w:bookmarkStart w:id="27" w:name="_Toc6963"/>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lang w:eastAsia="zh-CN"/>
        </w:rPr>
        <w:t>评分方法和评分等级</w:t>
      </w:r>
      <w:bookmarkEnd w:id="25"/>
      <w:bookmarkEnd w:id="26"/>
      <w:bookmarkEnd w:id="27"/>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）评分方法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①按照《财政支出绩效评估管理暂行办法》的相关要求和国务院、省、市、县出台</w:t>
      </w:r>
      <w:bookmarkStart w:id="90" w:name="_GoBack"/>
      <w:bookmarkEnd w:id="90"/>
      <w:r>
        <w:rPr>
          <w:rFonts w:hint="eastAsia" w:ascii="仿宋" w:hAnsi="仿宋" w:eastAsia="仿宋" w:cs="仿宋"/>
          <w:sz w:val="30"/>
          <w:szCs w:val="30"/>
          <w:highlight w:val="none"/>
          <w:lang w:eastAsia="zh-CN"/>
        </w:rPr>
        <w:t>的相关规定作为评估标准，采取定量和定性评估相结合的方法，对项目资料进行审核、分析。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②评估中做到重点突出</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在评估工作中，评估人员紧紧抓住评估工作的重点环节，严格按照相关文件和评估方案的要求，实事求是、客观公正地进行绩效评估工作，取得了详实、客观的评估资料。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③客观分析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首先，根据评估项目的实际情况与指标体系进行分析、比对，各项指标根据预期绩效目标值，评判实际达到的绩效目标，并给出适当得分。主要关注以下几方面：项目是否实现了年度绩效目标、项目是否在长期绩效目标上实现了预期进展、是否有助于政府战略目标和部门目标的实现等。然后，根据项目评估综合得分得出综合绩效评估等级，依据各项评估结果，综合各方面因素，填写项目绩效评估综合意见。</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）评估等级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指标体系设定满分为100分，绩效评估分值≥9</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lang w:eastAsia="zh-CN"/>
        </w:rPr>
        <w:t>为优；80≤分值&lt;9</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lang w:eastAsia="zh-CN"/>
        </w:rPr>
        <w:t>为良；60≤分值&lt;80为合格；60分以下为不合格。按照绩效评估指标对评估结果进行逐级、逐项分析，形成综合评估得分及等级。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28" w:name="_Toc501368350"/>
      <w:bookmarkStart w:id="29" w:name="_Toc31732"/>
      <w:bookmarkStart w:id="30" w:name="_Toc5968"/>
      <w:bookmarkStart w:id="31" w:name="_Toc12583"/>
      <w:r>
        <w:rPr>
          <w:rFonts w:hint="eastAsia" w:ascii="仿宋" w:hAnsi="仿宋" w:eastAsia="仿宋" w:cs="仿宋"/>
          <w:sz w:val="30"/>
          <w:szCs w:val="30"/>
          <w:highlight w:val="none"/>
          <w:lang w:val="en-US" w:eastAsia="zh-CN"/>
        </w:rPr>
        <w:t>（四）</w:t>
      </w:r>
      <w:bookmarkEnd w:id="28"/>
      <w:bookmarkEnd w:id="29"/>
      <w:bookmarkEnd w:id="30"/>
      <w:bookmarkEnd w:id="31"/>
      <w:r>
        <w:rPr>
          <w:rFonts w:hint="eastAsia" w:ascii="仿宋" w:hAnsi="仿宋" w:eastAsia="仿宋" w:cs="仿宋"/>
          <w:sz w:val="30"/>
          <w:szCs w:val="30"/>
          <w:highlight w:val="none"/>
          <w:lang w:val="en-US" w:eastAsia="zh-CN"/>
        </w:rPr>
        <w:t>证据收集方法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评估小组对项目资料进行收集、整理</w:t>
      </w:r>
      <w:r>
        <w:rPr>
          <w:rFonts w:hint="eastAsia" w:ascii="仿宋" w:hAnsi="仿宋" w:eastAsia="仿宋" w:cs="仿宋"/>
          <w:sz w:val="30"/>
          <w:szCs w:val="30"/>
          <w:highlight w:val="none"/>
          <w:lang w:eastAsia="zh-CN"/>
        </w:rPr>
        <w:t>，并进行分析，然后将获取的资料与从现场勘查中获得的资料汇集起来，对同一指标在不同文件资料中的证据进行对比、印证、核实和补充，经过验证和确定后得到了准确、可靠和有效的证据。最后，评估小组对证据进行了判断分析，形成评估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（五）绩效评估实施过程</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前期准备阶段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主要是组建评估工作小组，了解评估项目基本情况，设计有关基础数据表格，下发项目执行单位需要准备的资料清单等。</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信息采集复核阶段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执行单位进行初步准备后，评估小组先后深入项目执行单位以实地察看、面访、查阅相关资料、核查财务凭证及账簿等多种形式采集信息，复核基础数据和评估证据，并多次就相关资料的补充、完善进行沟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指标体系设计论证阶段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评估小组在收集各类基础数据，制作基础表格后，根据指定的评估方法，结合项目特点，开始设计项目产出和项目效益类指标。通过评估小组的集体商议，初步形成了既能体现评估意图又切合实际的系列指标。进一步修改完善指标体系，合理确定各指标权重，制定评分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数据分析和报告形成阶段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完成系列基础性、前置性工作后，评估小组开始集中精力进行数据分析及指标计算比较，按规范格式撰写绩效评估报告初稿，并送有关方面征求意见，进一步修改后出具正式报告。</w:t>
      </w:r>
    </w:p>
    <w:bookmarkEnd w:id="16"/>
    <w:bookmarkEnd w:id="17"/>
    <w:bookmarkEnd w:id="18"/>
    <w:bookmarkEnd w:id="19"/>
    <w:bookmarkEnd w:id="20"/>
    <w:bookmarkEnd w:id="21"/>
    <w:p>
      <w:pPr>
        <w:pStyle w:val="3"/>
        <w:spacing w:beforeAutospacing="0" w:afterAutospacing="0" w:line="360" w:lineRule="auto"/>
        <w:ind w:firstLine="602" w:firstLineChars="200"/>
        <w:rPr>
          <w:rFonts w:hint="eastAsia" w:ascii="仿宋" w:hAnsi="仿宋" w:eastAsia="仿宋" w:cs="仿宋"/>
          <w:b w:val="0"/>
          <w:kern w:val="2"/>
          <w:sz w:val="30"/>
          <w:szCs w:val="30"/>
          <w:highlight w:val="none"/>
          <w:lang w:val="en-US" w:eastAsia="zh-CN" w:bidi="ar-SA"/>
        </w:rPr>
      </w:pPr>
      <w:bookmarkStart w:id="32" w:name="_Toc8822"/>
      <w:bookmarkStart w:id="33" w:name="_Toc501368358"/>
      <w:bookmarkStart w:id="34" w:name="_Toc28493"/>
      <w:bookmarkStart w:id="35" w:name="_Toc32473"/>
      <w:bookmarkStart w:id="36" w:name="_Toc501368359"/>
      <w:bookmarkStart w:id="37" w:name="_Toc12058"/>
      <w:bookmarkStart w:id="38" w:name="_Toc32445"/>
      <w:bookmarkStart w:id="39" w:name="_Toc83630330"/>
      <w:bookmarkStart w:id="40" w:name="_Toc12908"/>
      <w:bookmarkStart w:id="41" w:name="_Toc83631040"/>
      <w:r>
        <w:rPr>
          <w:rFonts w:hint="eastAsia" w:ascii="仿宋" w:hAnsi="仿宋" w:eastAsia="仿宋" w:cs="仿宋"/>
          <w:b/>
          <w:bCs/>
          <w:kern w:val="2"/>
          <w:sz w:val="30"/>
          <w:szCs w:val="30"/>
          <w:highlight w:val="none"/>
          <w:lang w:val="en-US" w:eastAsia="zh-CN" w:bidi="ar-SA"/>
        </w:rPr>
        <w:t>五、项目执行及绩效实现情况</w:t>
      </w:r>
      <w:bookmarkEnd w:id="32"/>
      <w:bookmarkEnd w:id="33"/>
      <w:bookmarkEnd w:id="34"/>
      <w:bookmarkEnd w:id="35"/>
    </w:p>
    <w:p>
      <w:pPr>
        <w:spacing w:line="360" w:lineRule="auto"/>
        <w:ind w:firstLine="600" w:firstLineChars="200"/>
        <w:jc w:val="left"/>
        <w:rPr>
          <w:rFonts w:hint="eastAsia" w:ascii="仿宋" w:hAnsi="仿宋" w:eastAsia="仿宋" w:cs="仿宋"/>
          <w:b w:val="0"/>
          <w:kern w:val="2"/>
          <w:sz w:val="30"/>
          <w:szCs w:val="30"/>
          <w:highlight w:val="none"/>
          <w:lang w:val="en-US" w:eastAsia="zh-CN" w:bidi="ar-SA"/>
        </w:rPr>
      </w:pPr>
      <w:r>
        <w:rPr>
          <w:rFonts w:hint="eastAsia" w:ascii="仿宋" w:hAnsi="仿宋" w:eastAsia="仿宋" w:cs="仿宋"/>
          <w:b w:val="0"/>
          <w:kern w:val="2"/>
          <w:sz w:val="30"/>
          <w:szCs w:val="30"/>
          <w:highlight w:val="none"/>
          <w:lang w:val="en-US" w:eastAsia="zh-CN" w:bidi="ar-SA"/>
        </w:rPr>
        <w:t>通过对该单位提供的项目资料和现场实地检查，该项目综合得分96分，评估等级为“优”。各项得分情况明细如下：</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（一）项目立项（</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36"/>
      <w:bookmarkEnd w:id="37"/>
      <w:bookmarkEnd w:id="38"/>
      <w:bookmarkEnd w:id="39"/>
      <w:bookmarkEnd w:id="40"/>
      <w:bookmarkEnd w:id="41"/>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主要反映项目立项是否符合国家法规、政策规定，符合社会经济发展战略规划，项目决策是否满足政府职能，用于调节经济、市场监管、提供公共产品和服务，绩效目标的制定是否合理，绩效指标的制定是否清晰、细化、量化、可衡量。</w:t>
      </w:r>
    </w:p>
    <w:tbl>
      <w:tblPr>
        <w:tblStyle w:val="19"/>
        <w:tblW w:w="4996" w:type="pct"/>
        <w:jc w:val="center"/>
        <w:tblLayout w:type="autofit"/>
        <w:tblCellMar>
          <w:top w:w="15" w:type="dxa"/>
          <w:left w:w="15" w:type="dxa"/>
          <w:bottom w:w="15" w:type="dxa"/>
          <w:right w:w="15" w:type="dxa"/>
        </w:tblCellMar>
      </w:tblPr>
      <w:tblGrid>
        <w:gridCol w:w="2202"/>
        <w:gridCol w:w="2223"/>
        <w:gridCol w:w="2393"/>
        <w:gridCol w:w="1506"/>
        <w:gridCol w:w="1336"/>
      </w:tblGrid>
      <w:tr>
        <w:tblPrEx>
          <w:tblCellMar>
            <w:top w:w="15" w:type="dxa"/>
            <w:left w:w="15" w:type="dxa"/>
            <w:bottom w:w="15" w:type="dxa"/>
            <w:right w:w="15" w:type="dxa"/>
          </w:tblCellMar>
        </w:tblPrEx>
        <w:trPr>
          <w:trHeight w:val="482" w:hRule="exact"/>
          <w:jc w:val="center"/>
        </w:trPr>
        <w:tc>
          <w:tcPr>
            <w:tcW w:w="11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115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529" w:hRule="exact"/>
          <w:jc w:val="center"/>
        </w:trPr>
        <w:tc>
          <w:tcPr>
            <w:tcW w:w="114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项目立项</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决策机制（</w:t>
            </w:r>
            <w:r>
              <w:rPr>
                <w:rFonts w:hint="eastAsia" w:ascii="仿宋" w:hAnsi="仿宋" w:eastAsia="仿宋" w:cs="仿宋"/>
                <w:color w:val="000000"/>
                <w:kern w:val="0"/>
                <w:sz w:val="24"/>
                <w:szCs w:val="24"/>
                <w:highlight w:val="none"/>
                <w:lang w:val="en-US" w:eastAsia="zh-CN"/>
              </w:rPr>
              <w:t>12</w:t>
            </w:r>
            <w:r>
              <w:rPr>
                <w:rFonts w:hint="eastAsia" w:ascii="仿宋" w:hAnsi="仿宋" w:eastAsia="仿宋" w:cs="仿宋"/>
                <w:color w:val="000000"/>
                <w:kern w:val="0"/>
                <w:sz w:val="24"/>
                <w:szCs w:val="24"/>
                <w:highlight w:val="none"/>
              </w:rPr>
              <w:t>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rPr>
              <w:t>项目设立</w:t>
            </w:r>
            <w:r>
              <w:rPr>
                <w:rFonts w:hint="eastAsia" w:ascii="仿宋" w:hAnsi="仿宋" w:eastAsia="仿宋" w:cs="仿宋"/>
                <w:color w:val="000000"/>
                <w:kern w:val="0"/>
                <w:sz w:val="24"/>
                <w:szCs w:val="24"/>
                <w:highlight w:val="none"/>
                <w:lang w:val="en-US" w:eastAsia="zh-CN"/>
              </w:rPr>
              <w:t>规范性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6</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6</w:t>
            </w:r>
          </w:p>
        </w:tc>
      </w:tr>
      <w:tr>
        <w:tblPrEx>
          <w:tblCellMar>
            <w:top w:w="15" w:type="dxa"/>
            <w:left w:w="15" w:type="dxa"/>
            <w:bottom w:w="15" w:type="dxa"/>
            <w:right w:w="15" w:type="dxa"/>
          </w:tblCellMar>
        </w:tblPrEx>
        <w:trPr>
          <w:trHeight w:val="69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项目决策必要性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6</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6</w:t>
            </w:r>
          </w:p>
        </w:tc>
      </w:tr>
      <w:tr>
        <w:tblPrEx>
          <w:tblCellMar>
            <w:top w:w="15" w:type="dxa"/>
            <w:left w:w="15" w:type="dxa"/>
            <w:bottom w:w="15" w:type="dxa"/>
            <w:right w:w="15" w:type="dxa"/>
          </w:tblCellMar>
        </w:tblPrEx>
        <w:trPr>
          <w:trHeight w:val="56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绩效目标（</w:t>
            </w:r>
            <w:r>
              <w:rPr>
                <w:rFonts w:hint="eastAsia" w:ascii="仿宋" w:hAnsi="仿宋" w:eastAsia="仿宋" w:cs="仿宋"/>
                <w:color w:val="000000"/>
                <w:kern w:val="0"/>
                <w:sz w:val="24"/>
                <w:szCs w:val="24"/>
                <w:highlight w:val="none"/>
                <w:lang w:val="en-US" w:eastAsia="zh-CN"/>
              </w:rPr>
              <w:t>8</w:t>
            </w:r>
            <w:r>
              <w:rPr>
                <w:rFonts w:hint="eastAsia" w:ascii="仿宋" w:hAnsi="仿宋" w:eastAsia="仿宋" w:cs="仿宋"/>
                <w:color w:val="000000"/>
                <w:kern w:val="0"/>
                <w:sz w:val="24"/>
                <w:szCs w:val="24"/>
                <w:highlight w:val="none"/>
              </w:rPr>
              <w:t>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合理性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4</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2</w:t>
            </w:r>
          </w:p>
        </w:tc>
      </w:tr>
      <w:tr>
        <w:tblPrEx>
          <w:tblCellMar>
            <w:top w:w="15" w:type="dxa"/>
            <w:left w:w="15" w:type="dxa"/>
            <w:bottom w:w="15" w:type="dxa"/>
            <w:right w:w="15" w:type="dxa"/>
          </w:tblCellMar>
        </w:tblPrEx>
        <w:trPr>
          <w:trHeight w:val="572"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明确性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4</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w:t>
            </w:r>
          </w:p>
        </w:tc>
      </w:tr>
      <w:tr>
        <w:tblPrEx>
          <w:tblCellMar>
            <w:top w:w="15" w:type="dxa"/>
            <w:left w:w="15" w:type="dxa"/>
            <w:bottom w:w="15" w:type="dxa"/>
            <w:right w:w="15" w:type="dxa"/>
          </w:tblCellMar>
        </w:tblPrEx>
        <w:trPr>
          <w:trHeight w:val="492" w:hRule="exact"/>
          <w:jc w:val="center"/>
        </w:trPr>
        <w:tc>
          <w:tcPr>
            <w:tcW w:w="3528"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20</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16</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1.决策机制（</w:t>
      </w:r>
      <w:r>
        <w:rPr>
          <w:rFonts w:hint="eastAsia" w:ascii="仿宋" w:hAnsi="仿宋" w:eastAsia="仿宋" w:cs="仿宋"/>
          <w:sz w:val="30"/>
          <w:szCs w:val="30"/>
          <w:highlight w:val="none"/>
          <w:lang w:val="en-US" w:eastAsia="zh-CN"/>
        </w:rPr>
        <w:t>12</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该指标包含2个三级指标，主要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项目立项是否符合国家法规、政策规定，符合社会经济发展战略规划；项目内容设置与国家及地方政策、规划、社会需求等相关内容相符程度，决策过程是否规范。</w:t>
      </w:r>
    </w:p>
    <w:p>
      <w:pPr>
        <w:pageBreakBefore w:val="0"/>
        <w:numPr>
          <w:ilvl w:val="0"/>
          <w:numId w:val="1"/>
        </w:numPr>
        <w:kinsoku/>
        <w:wordWrap/>
        <w:overflowPunct/>
        <w:topLinePunct w:val="0"/>
        <w:autoSpaceDE/>
        <w:autoSpaceDN/>
        <w:bidi w:val="0"/>
        <w:adjustRightInd/>
        <w:snapToGrid/>
        <w:spacing w:line="560" w:lineRule="exact"/>
        <w:ind w:firstLine="300" w:firstLineChars="1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项目设立</w:t>
      </w:r>
      <w:r>
        <w:rPr>
          <w:rFonts w:hint="eastAsia" w:ascii="仿宋" w:hAnsi="仿宋" w:eastAsia="仿宋" w:cs="仿宋"/>
          <w:sz w:val="30"/>
          <w:szCs w:val="30"/>
          <w:highlight w:val="none"/>
          <w:lang w:val="en-US" w:eastAsia="zh-CN"/>
        </w:rPr>
        <w:t>规范性</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 xml:space="preserve">   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该项目立项是否符合国家法规、政策规定，符合社会经济发展战略规划</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bookmarkStart w:id="42" w:name="_Toc83630331"/>
      <w:bookmarkStart w:id="43" w:name="_Toc21059"/>
      <w:bookmarkStart w:id="44" w:name="_Toc25534"/>
      <w:bookmarkStart w:id="45" w:name="_Toc83631041"/>
      <w:bookmarkStart w:id="46" w:name="_Toc83630427"/>
      <w:r>
        <w:rPr>
          <w:rFonts w:hint="eastAsia" w:ascii="仿宋" w:hAnsi="仿宋" w:eastAsia="仿宋" w:cs="仿宋"/>
          <w:sz w:val="30"/>
          <w:szCs w:val="30"/>
          <w:highlight w:val="none"/>
        </w:rPr>
        <w:t>经检查，该项目设立的主要依据</w:t>
      </w:r>
      <w:r>
        <w:rPr>
          <w:rFonts w:hint="eastAsia" w:ascii="仿宋" w:hAnsi="仿宋" w:eastAsia="仿宋" w:cs="仿宋"/>
          <w:sz w:val="30"/>
          <w:szCs w:val="30"/>
          <w:highlight w:val="none"/>
          <w:lang w:val="en-US" w:eastAsia="zh-CN"/>
        </w:rPr>
        <w:t>有</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曲阳县发展和改革局《关于</w:t>
      </w:r>
      <w:r>
        <w:rPr>
          <w:rFonts w:hint="eastAsia" w:ascii="仿宋" w:hAnsi="仿宋" w:eastAsia="仿宋" w:cs="仿宋"/>
          <w:sz w:val="30"/>
          <w:szCs w:val="30"/>
          <w:highlight w:val="none"/>
          <w:lang w:eastAsia="zh-CN"/>
        </w:rPr>
        <w:t>曲阳县恒山路强弱电入地工程项目</w:t>
      </w:r>
      <w:r>
        <w:rPr>
          <w:rFonts w:hint="eastAsia" w:ascii="仿宋" w:hAnsi="仿宋" w:eastAsia="仿宋" w:cs="仿宋"/>
          <w:sz w:val="30"/>
          <w:szCs w:val="30"/>
          <w:highlight w:val="none"/>
          <w:lang w:val="en-US" w:eastAsia="zh-CN"/>
        </w:rPr>
        <w:t>建议书</w:t>
      </w:r>
      <w:r>
        <w:rPr>
          <w:rFonts w:hint="eastAsia" w:ascii="仿宋" w:hAnsi="仿宋" w:eastAsia="仿宋" w:cs="仿宋"/>
          <w:sz w:val="30"/>
          <w:szCs w:val="30"/>
          <w:highlight w:val="none"/>
        </w:rPr>
        <w:t>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2021</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104</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曲阳县发展和改革局《关于</w:t>
      </w:r>
      <w:r>
        <w:rPr>
          <w:rFonts w:hint="eastAsia" w:ascii="仿宋" w:hAnsi="仿宋" w:eastAsia="仿宋" w:cs="仿宋"/>
          <w:sz w:val="30"/>
          <w:szCs w:val="30"/>
          <w:highlight w:val="none"/>
          <w:lang w:eastAsia="zh-CN"/>
        </w:rPr>
        <w:t>曲阳县恒山路强弱电入地工程</w:t>
      </w:r>
      <w:r>
        <w:rPr>
          <w:rFonts w:hint="eastAsia" w:ascii="仿宋" w:hAnsi="仿宋" w:eastAsia="仿宋" w:cs="仿宋"/>
          <w:sz w:val="30"/>
          <w:szCs w:val="30"/>
          <w:highlight w:val="none"/>
        </w:rPr>
        <w:t>可行性研究报告的批复》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2021</w:t>
      </w:r>
      <w:r>
        <w:rPr>
          <w:rFonts w:hint="eastAsia" w:ascii="仿宋" w:hAnsi="仿宋" w:eastAsia="仿宋" w:cs="仿宋"/>
          <w:sz w:val="30"/>
          <w:szCs w:val="30"/>
          <w:highlight w:val="none"/>
          <w:lang w:val="en-US" w:eastAsia="en-US"/>
        </w:rPr>
        <w:t xml:space="preserve">] </w:t>
      </w:r>
      <w:r>
        <w:rPr>
          <w:rFonts w:hint="eastAsia" w:ascii="仿宋" w:hAnsi="仿宋" w:eastAsia="仿宋" w:cs="仿宋"/>
          <w:sz w:val="30"/>
          <w:szCs w:val="30"/>
          <w:highlight w:val="none"/>
          <w:lang w:val="en-US" w:eastAsia="zh-CN"/>
        </w:rPr>
        <w:t>108</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w:t>
      </w:r>
      <w:bookmarkEnd w:id="42"/>
      <w:bookmarkEnd w:id="43"/>
      <w:bookmarkEnd w:id="44"/>
      <w:bookmarkEnd w:id="45"/>
      <w:bookmarkEnd w:id="46"/>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曲阳县发展和改革局《关于</w:t>
      </w:r>
      <w:r>
        <w:rPr>
          <w:rFonts w:hint="eastAsia" w:ascii="仿宋" w:hAnsi="仿宋" w:eastAsia="仿宋" w:cs="仿宋"/>
          <w:sz w:val="30"/>
          <w:szCs w:val="30"/>
          <w:highlight w:val="none"/>
          <w:lang w:eastAsia="zh-CN"/>
        </w:rPr>
        <w:t>曲阳县恒山路强弱电入地工程初步设计</w:t>
      </w:r>
      <w:r>
        <w:rPr>
          <w:rFonts w:hint="eastAsia" w:ascii="仿宋" w:hAnsi="仿宋" w:eastAsia="仿宋" w:cs="仿宋"/>
          <w:sz w:val="30"/>
          <w:szCs w:val="30"/>
          <w:highlight w:val="none"/>
        </w:rPr>
        <w:t>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2022</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 xml:space="preserve"> 27</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我们认为该项目设定依据充分，</w:t>
      </w:r>
      <w:r>
        <w:rPr>
          <w:rFonts w:hint="eastAsia" w:ascii="仿宋" w:hAnsi="仿宋" w:eastAsia="仿宋" w:cs="仿宋"/>
          <w:sz w:val="30"/>
          <w:szCs w:val="30"/>
          <w:highlight w:val="none"/>
          <w:lang w:val="en-US" w:eastAsia="zh-CN"/>
        </w:rPr>
        <w:t>按照规定的程序申请设立，已经过必要的可行性研究、专家论证等。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（2）项目决策必要性（</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项目内容设置与国家及地方政策、规划、社会需求等相关内容相符程度，决策过程是否规范，用以反映和考核项目决策的必要性。</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bookmarkStart w:id="47" w:name="_Toc24207"/>
      <w:bookmarkStart w:id="48" w:name="_Toc83630428"/>
      <w:bookmarkStart w:id="49" w:name="_Toc83630332"/>
      <w:bookmarkStart w:id="50" w:name="_Toc83631042"/>
      <w:bookmarkStart w:id="51" w:name="_Toc32149"/>
      <w:r>
        <w:rPr>
          <w:rFonts w:hint="eastAsia" w:ascii="仿宋" w:hAnsi="仿宋" w:eastAsia="仿宋" w:cs="仿宋"/>
          <w:sz w:val="30"/>
          <w:szCs w:val="30"/>
          <w:highlight w:val="none"/>
          <w:lang w:val="en-US" w:eastAsia="zh-CN"/>
        </w:rPr>
        <w:t>近几年，一方面曲阳县用电负荷持续快速增长，居民对供电可靠性期望提高，另一方面城市规划与减少的要求越来越高，城市美观越来越受到社会的广泛关注，因此，作为城区配电网络现采用的架空线路，由于受廊道和同杆回路数的限制，许多街道输送容量跟不上社会用电的发展，架空线路故障多，运行方式不灵活，经常造成大面积停电，严重影响居民正常生活，加之城区的快速发展，架空线路暴露出很多问题与城市发展不协调的矛盾。</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电力电缆线路虽然投资费用较高，但由于敷设于地下，不占地面空间，有利于城市美观，可以容纳多回线路，输送容量的适应性强，周围环境对电缆的影响较小，供电可靠性高，电缆线路的运行维护费用比较小，配合环网柜等设备，可进行多线路联络，形成供电网络，运行方式极为灵活，可大大缩减停电次数和停电范围，容易实现配网自动化，因此随着城市经济社会发展，电缆线路以其架空线路无法比拟的优势性，会越来越多替代架空线路用于城市配电网中。曲阳县恒山路强弱电入地工程的建设是保定市曲阳县可持续发展的需要。</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经评估，该项目建设与社会需求相符，决策过程较为规范。</w:t>
      </w:r>
    </w:p>
    <w:bookmarkEnd w:id="47"/>
    <w:bookmarkEnd w:id="48"/>
    <w:bookmarkEnd w:id="49"/>
    <w:bookmarkEnd w:id="50"/>
    <w:bookmarkEnd w:id="51"/>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2.绩效目标（</w:t>
      </w: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该指标共包含2个三级指标，主要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项目绩效目标依据是否充分，项目绩效指标是否清晰、细化、量化、可衡量。</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（1）合理性（</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项目绩效目标依据是否充分，与客观实际相符的情况。</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eastAsia="zh-CN"/>
        </w:rPr>
        <w:t>该</w:t>
      </w:r>
      <w:r>
        <w:rPr>
          <w:rFonts w:hint="eastAsia" w:ascii="仿宋" w:hAnsi="仿宋" w:eastAsia="仿宋" w:cs="仿宋"/>
          <w:sz w:val="30"/>
          <w:szCs w:val="30"/>
          <w:highlight w:val="none"/>
        </w:rPr>
        <w:t>项目</w:t>
      </w:r>
      <w:r>
        <w:rPr>
          <w:rFonts w:hint="eastAsia" w:ascii="仿宋" w:hAnsi="仿宋" w:eastAsia="仿宋" w:cs="仿宋"/>
          <w:sz w:val="30"/>
          <w:szCs w:val="30"/>
          <w:highlight w:val="none"/>
          <w:lang w:val="en-US" w:eastAsia="zh-CN"/>
        </w:rPr>
        <w:t>的绩效目标：1、美化环境。2、减少隐患。</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该项目绩效目标是依据</w:t>
      </w:r>
      <w:r>
        <w:rPr>
          <w:rFonts w:hint="eastAsia" w:ascii="仿宋" w:hAnsi="仿宋" w:eastAsia="仿宋" w:cs="仿宋"/>
          <w:sz w:val="30"/>
          <w:szCs w:val="30"/>
          <w:highlight w:val="none"/>
          <w:lang w:val="en-US" w:eastAsia="zh-CN"/>
        </w:rPr>
        <w:t>项目可行性研究报告文件内容设定的，绩效目标设置</w:t>
      </w:r>
      <w:r>
        <w:rPr>
          <w:rFonts w:hint="eastAsia" w:ascii="仿宋" w:hAnsi="仿宋" w:eastAsia="仿宋" w:cs="仿宋"/>
          <w:sz w:val="30"/>
          <w:szCs w:val="30"/>
          <w:highlight w:val="none"/>
        </w:rPr>
        <w:t>依据</w:t>
      </w:r>
      <w:r>
        <w:rPr>
          <w:rFonts w:hint="eastAsia" w:ascii="仿宋" w:hAnsi="仿宋" w:eastAsia="仿宋" w:cs="仿宋"/>
          <w:sz w:val="30"/>
          <w:szCs w:val="30"/>
          <w:highlight w:val="none"/>
          <w:lang w:val="en-US" w:eastAsia="zh-CN"/>
        </w:rPr>
        <w:t>较为</w:t>
      </w:r>
      <w:r>
        <w:rPr>
          <w:rFonts w:hint="eastAsia" w:ascii="仿宋" w:hAnsi="仿宋" w:eastAsia="仿宋" w:cs="仿宋"/>
          <w:sz w:val="30"/>
          <w:szCs w:val="30"/>
          <w:highlight w:val="none"/>
        </w:rPr>
        <w:t>充分，</w:t>
      </w:r>
      <w:r>
        <w:rPr>
          <w:rFonts w:hint="eastAsia" w:ascii="仿宋" w:hAnsi="仿宋" w:eastAsia="仿宋" w:cs="仿宋"/>
          <w:sz w:val="30"/>
          <w:szCs w:val="30"/>
          <w:highlight w:val="none"/>
          <w:lang w:eastAsia="zh-CN"/>
        </w:rPr>
        <w:t>但是绩效目标内容设置较为简单，不利于后期考核绩效目标完成情况，扣</w:t>
      </w:r>
      <w:r>
        <w:rPr>
          <w:rFonts w:hint="eastAsia" w:ascii="仿宋" w:hAnsi="仿宋" w:eastAsia="仿宋" w:cs="仿宋"/>
          <w:sz w:val="30"/>
          <w:szCs w:val="30"/>
          <w:highlight w:val="none"/>
          <w:lang w:val="en-US" w:eastAsia="zh-CN"/>
        </w:rPr>
        <w:t>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（2）明确性（</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项目绩效指标是否清晰、细化、量化、可衡量，及其与当年工作任务的匹配情况。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专项债券资金</w:t>
      </w:r>
      <w:r>
        <w:rPr>
          <w:rFonts w:hint="eastAsia" w:ascii="仿宋" w:hAnsi="仿宋" w:eastAsia="仿宋" w:cs="仿宋"/>
          <w:sz w:val="30"/>
          <w:szCs w:val="30"/>
          <w:highlight w:val="none"/>
        </w:rPr>
        <w:t>绩效目标</w:t>
      </w:r>
      <w:r>
        <w:rPr>
          <w:rFonts w:hint="eastAsia" w:ascii="仿宋" w:hAnsi="仿宋" w:eastAsia="仿宋" w:cs="仿宋"/>
          <w:sz w:val="30"/>
          <w:szCs w:val="30"/>
          <w:highlight w:val="none"/>
          <w:lang w:val="en-US" w:eastAsia="zh-CN"/>
        </w:rPr>
        <w:t>表中相关</w:t>
      </w:r>
      <w:r>
        <w:rPr>
          <w:rFonts w:hint="eastAsia" w:ascii="仿宋" w:hAnsi="仿宋" w:eastAsia="仿宋" w:cs="仿宋"/>
          <w:sz w:val="30"/>
          <w:szCs w:val="30"/>
          <w:highlight w:val="none"/>
        </w:rPr>
        <w:t>绩效指标</w:t>
      </w:r>
      <w:r>
        <w:rPr>
          <w:rFonts w:hint="eastAsia" w:ascii="仿宋" w:hAnsi="仿宋" w:eastAsia="仿宋" w:cs="仿宋"/>
          <w:sz w:val="30"/>
          <w:szCs w:val="30"/>
          <w:highlight w:val="none"/>
          <w:lang w:val="en-US" w:eastAsia="zh-CN"/>
        </w:rPr>
        <w:t>设定</w:t>
      </w:r>
      <w:r>
        <w:rPr>
          <w:rFonts w:hint="eastAsia" w:ascii="仿宋" w:hAnsi="仿宋" w:eastAsia="仿宋" w:cs="仿宋"/>
          <w:sz w:val="30"/>
          <w:szCs w:val="30"/>
          <w:highlight w:val="none"/>
        </w:rPr>
        <w:t>清晰、细化、量化、可衡量，</w:t>
      </w:r>
      <w:r>
        <w:rPr>
          <w:rFonts w:hint="eastAsia" w:ascii="仿宋" w:hAnsi="仿宋" w:eastAsia="仿宋" w:cs="仿宋"/>
          <w:sz w:val="30"/>
          <w:szCs w:val="30"/>
          <w:highlight w:val="none"/>
          <w:lang w:val="en-US" w:eastAsia="zh-CN"/>
        </w:rPr>
        <w:t>但未按年度细化匹配年度工作任务，不利于考核年度任务完成情况，扣2分。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bookmarkStart w:id="52" w:name="_Toc83630334"/>
      <w:bookmarkStart w:id="53" w:name="_Toc8907"/>
      <w:bookmarkStart w:id="54" w:name="_Toc27328"/>
      <w:bookmarkStart w:id="55" w:name="_Toc21302"/>
      <w:bookmarkStart w:id="56" w:name="_Toc83631044"/>
      <w:r>
        <w:rPr>
          <w:rFonts w:hint="eastAsia" w:ascii="仿宋" w:hAnsi="仿宋" w:eastAsia="仿宋" w:cs="仿宋"/>
          <w:b w:val="0"/>
          <w:bCs w:val="0"/>
          <w:sz w:val="30"/>
          <w:szCs w:val="30"/>
          <w:highlight w:val="none"/>
        </w:rPr>
        <w:t>（二）项目过程管理（</w:t>
      </w:r>
      <w:r>
        <w:rPr>
          <w:rFonts w:hint="eastAsia" w:ascii="仿宋" w:hAnsi="仿宋" w:eastAsia="仿宋" w:cs="仿宋"/>
          <w:b w:val="0"/>
          <w:bCs w:val="0"/>
          <w:sz w:val="30"/>
          <w:szCs w:val="30"/>
          <w:highlight w:val="none"/>
          <w:lang w:val="en-US" w:eastAsia="zh-CN"/>
        </w:rPr>
        <w:t>40</w:t>
      </w:r>
      <w:r>
        <w:rPr>
          <w:rFonts w:hint="eastAsia" w:ascii="仿宋" w:hAnsi="仿宋" w:eastAsia="仿宋" w:cs="仿宋"/>
          <w:b w:val="0"/>
          <w:bCs w:val="0"/>
          <w:sz w:val="30"/>
          <w:szCs w:val="30"/>
          <w:highlight w:val="none"/>
        </w:rPr>
        <w:t>分）</w:t>
      </w:r>
      <w:bookmarkEnd w:id="52"/>
      <w:bookmarkEnd w:id="53"/>
      <w:bookmarkEnd w:id="54"/>
      <w:bookmarkEnd w:id="55"/>
      <w:bookmarkEnd w:id="56"/>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包含项目财务管理和项目业务管理2个二级指标，主要反映该项目在实施过程中，财务管理是否规范、资金使用是否合规、项目业务管理是否按照相关规定执行，以保障财政资金的安全性和项目顺利实施。</w:t>
      </w:r>
    </w:p>
    <w:p>
      <w:pPr>
        <w:pStyle w:val="16"/>
        <w:rPr>
          <w:rFonts w:hint="eastAsia"/>
          <w:highlight w:val="none"/>
        </w:rPr>
      </w:pPr>
    </w:p>
    <w:tbl>
      <w:tblPr>
        <w:tblStyle w:val="19"/>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079"/>
        <w:gridCol w:w="1853"/>
        <w:gridCol w:w="2834"/>
        <w:gridCol w:w="1511"/>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7" w:hRule="exact"/>
          <w:jc w:val="center"/>
        </w:trPr>
        <w:tc>
          <w:tcPr>
            <w:tcW w:w="107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95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715"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2" w:hRule="exact"/>
          <w:jc w:val="center"/>
        </w:trPr>
        <w:tc>
          <w:tcPr>
            <w:tcW w:w="1076"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项目过程管理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40</w:t>
            </w:r>
            <w:r>
              <w:rPr>
                <w:rFonts w:hint="eastAsia" w:ascii="仿宋" w:hAnsi="仿宋" w:eastAsia="仿宋" w:cs="仿宋"/>
                <w:color w:val="000000"/>
                <w:kern w:val="0"/>
                <w:sz w:val="24"/>
                <w:szCs w:val="24"/>
                <w:highlight w:val="none"/>
              </w:rPr>
              <w:t>分）</w:t>
            </w: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项目财务管理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eastAsia="zh-CN"/>
              </w:rPr>
              <w:t>专项资金</w:t>
            </w:r>
            <w:r>
              <w:rPr>
                <w:rFonts w:hint="eastAsia" w:ascii="仿宋" w:hAnsi="仿宋" w:eastAsia="仿宋" w:cs="仿宋"/>
                <w:color w:val="000000"/>
                <w:kern w:val="0"/>
                <w:sz w:val="24"/>
                <w:szCs w:val="24"/>
                <w:highlight w:val="none"/>
              </w:rPr>
              <w:t>使用率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1"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会计核算</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资金支出合规性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6"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项目业务管理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管理制度是否健全</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5"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制度执行有效性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项目档案资料完整性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2" w:hRule="exact"/>
          <w:jc w:val="center"/>
        </w:trPr>
        <w:tc>
          <w:tcPr>
            <w:tcW w:w="3502" w:type="pct"/>
            <w:gridSpan w:val="3"/>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40</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40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1.项目财务管理（</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（1）</w:t>
      </w:r>
      <w:r>
        <w:rPr>
          <w:rFonts w:hint="eastAsia" w:ascii="仿宋" w:hAnsi="仿宋" w:eastAsia="仿宋" w:cs="仿宋"/>
          <w:sz w:val="30"/>
          <w:szCs w:val="30"/>
          <w:highlight w:val="none"/>
          <w:lang w:eastAsia="zh-CN"/>
        </w:rPr>
        <w:t>专项资金</w:t>
      </w:r>
      <w:r>
        <w:rPr>
          <w:rFonts w:hint="eastAsia" w:ascii="仿宋" w:hAnsi="仿宋" w:eastAsia="仿宋" w:cs="仿宋"/>
          <w:sz w:val="30"/>
          <w:szCs w:val="30"/>
          <w:highlight w:val="none"/>
        </w:rPr>
        <w:t>使用率（</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实际使用</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资金数额占</w:t>
      </w:r>
      <w:r>
        <w:rPr>
          <w:rFonts w:hint="eastAsia" w:ascii="仿宋" w:hAnsi="仿宋" w:eastAsia="仿宋" w:cs="仿宋"/>
          <w:sz w:val="30"/>
          <w:szCs w:val="30"/>
          <w:highlight w:val="none"/>
          <w:lang w:val="en-US" w:eastAsia="zh-CN"/>
        </w:rPr>
        <w:t>专项债券资金</w:t>
      </w:r>
      <w:r>
        <w:rPr>
          <w:rFonts w:hint="eastAsia" w:ascii="仿宋" w:hAnsi="仿宋" w:eastAsia="仿宋" w:cs="仿宋"/>
          <w:sz w:val="30"/>
          <w:szCs w:val="30"/>
          <w:highlight w:val="none"/>
        </w:rPr>
        <w:t>实际拨付额比例。</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该项目2022年</w:t>
      </w:r>
      <w:r>
        <w:rPr>
          <w:rFonts w:hint="eastAsia" w:ascii="仿宋" w:hAnsi="仿宋" w:eastAsia="仿宋" w:cs="仿宋"/>
          <w:sz w:val="30"/>
          <w:szCs w:val="30"/>
          <w:highlight w:val="none"/>
          <w:lang w:eastAsia="zh-CN"/>
        </w:rPr>
        <w:t>度共安排</w:t>
      </w:r>
      <w:r>
        <w:rPr>
          <w:rFonts w:hint="eastAsia" w:ascii="仿宋" w:hAnsi="仿宋" w:eastAsia="仿宋" w:cs="仿宋"/>
          <w:sz w:val="30"/>
          <w:szCs w:val="30"/>
          <w:highlight w:val="none"/>
          <w:lang w:val="en-US" w:eastAsia="zh-CN"/>
        </w:rPr>
        <w:t>专项债券资金2800.00</w:t>
      </w:r>
      <w:r>
        <w:rPr>
          <w:rFonts w:hint="eastAsia" w:ascii="仿宋" w:hAnsi="仿宋" w:eastAsia="仿宋" w:cs="仿宋"/>
          <w:sz w:val="30"/>
          <w:szCs w:val="30"/>
          <w:highlight w:val="none"/>
          <w:lang w:eastAsia="zh-CN"/>
        </w:rPr>
        <w:t>万元，2022年</w:t>
      </w:r>
      <w:r>
        <w:rPr>
          <w:rFonts w:hint="eastAsia" w:ascii="仿宋" w:hAnsi="仿宋" w:eastAsia="仿宋" w:cs="仿宋"/>
          <w:sz w:val="30"/>
          <w:szCs w:val="30"/>
          <w:highlight w:val="none"/>
        </w:rPr>
        <w:t>度</w:t>
      </w:r>
      <w:r>
        <w:rPr>
          <w:rFonts w:hint="eastAsia" w:ascii="仿宋" w:hAnsi="仿宋" w:eastAsia="仿宋" w:cs="仿宋"/>
          <w:sz w:val="30"/>
          <w:szCs w:val="30"/>
          <w:highlight w:val="none"/>
          <w:lang w:val="en-US" w:eastAsia="zh-CN"/>
        </w:rPr>
        <w:t>共使用专项债券资金2800.00</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rPr>
        <w:t>，实际使用</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资金数额占专项</w:t>
      </w:r>
      <w:r>
        <w:rPr>
          <w:rFonts w:hint="eastAsia" w:ascii="仿宋" w:hAnsi="仿宋" w:eastAsia="仿宋" w:cs="仿宋"/>
          <w:sz w:val="30"/>
          <w:szCs w:val="30"/>
          <w:highlight w:val="none"/>
          <w:lang w:val="en-US" w:eastAsia="zh-CN"/>
        </w:rPr>
        <w:t>债券</w:t>
      </w:r>
      <w:r>
        <w:rPr>
          <w:rFonts w:hint="eastAsia" w:ascii="仿宋" w:hAnsi="仿宋" w:eastAsia="仿宋" w:cs="仿宋"/>
          <w:sz w:val="30"/>
          <w:szCs w:val="30"/>
          <w:highlight w:val="none"/>
        </w:rPr>
        <w:t>资金拨付额的比例为</w:t>
      </w:r>
      <w:r>
        <w:rPr>
          <w:rFonts w:hint="eastAsia" w:ascii="仿宋" w:hAnsi="仿宋" w:eastAsia="仿宋" w:cs="仿宋"/>
          <w:sz w:val="30"/>
          <w:szCs w:val="30"/>
          <w:highlight w:val="none"/>
          <w:lang w:val="en-US" w:eastAsia="zh-CN"/>
        </w:rPr>
        <w:t>100</w:t>
      </w:r>
      <w:r>
        <w:rPr>
          <w:rFonts w:hint="eastAsia" w:ascii="仿宋" w:hAnsi="仿宋" w:eastAsia="仿宋" w:cs="仿宋"/>
          <w:sz w:val="30"/>
          <w:szCs w:val="30"/>
          <w:highlight w:val="none"/>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7*100</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（2）会计核算（</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会计核算是否严格遵守有关法规及制度规定，会计核算是否规范，专项资金支付申报、审批流程是否完善、支付依据是否合法。</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经检查，该项目资金按照合同要求的付款进度进行支付，</w:t>
      </w:r>
      <w:r>
        <w:rPr>
          <w:rFonts w:hint="eastAsia" w:ascii="仿宋" w:hAnsi="仿宋" w:eastAsia="仿宋" w:cs="仿宋"/>
          <w:sz w:val="30"/>
          <w:szCs w:val="30"/>
          <w:highlight w:val="none"/>
          <w:lang w:val="en-US" w:eastAsia="zh-CN"/>
        </w:rPr>
        <w:t>会计核算规范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曲阳县住房和城乡建设局</w:t>
      </w:r>
      <w:r>
        <w:rPr>
          <w:rFonts w:hint="eastAsia" w:ascii="仿宋" w:hAnsi="仿宋" w:eastAsia="仿宋" w:cs="仿宋"/>
          <w:sz w:val="30"/>
          <w:szCs w:val="30"/>
          <w:highlight w:val="none"/>
          <w:lang w:eastAsia="zh-CN"/>
        </w:rPr>
        <w:t>各项资金的支付申报、审批流程完善，支付依据充分合法。</w:t>
      </w:r>
      <w:r>
        <w:rPr>
          <w:rFonts w:hint="eastAsia" w:ascii="仿宋" w:hAnsi="仿宋" w:eastAsia="仿宋" w:cs="仿宋"/>
          <w:sz w:val="30"/>
          <w:szCs w:val="30"/>
          <w:highlight w:val="none"/>
          <w:lang w:val="en-US" w:eastAsia="zh-CN"/>
        </w:rPr>
        <w:t xml:space="preserve"> </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（3）资金支出合规性（</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专项资金是否严格按照资金管理办法的用途支出，是否有截留、挤占、挪用等违规行为。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经检查，该项目</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w:t>
      </w:r>
      <w:r>
        <w:rPr>
          <w:rFonts w:hint="eastAsia" w:ascii="仿宋" w:hAnsi="仿宋" w:eastAsia="仿宋" w:cs="仿宋"/>
          <w:sz w:val="30"/>
          <w:szCs w:val="30"/>
          <w:highlight w:val="none"/>
          <w:lang w:val="en-US" w:eastAsia="zh-CN"/>
        </w:rPr>
        <w:t>均用于项目工程款支付，</w:t>
      </w:r>
      <w:r>
        <w:rPr>
          <w:rFonts w:hint="eastAsia" w:ascii="仿宋" w:hAnsi="仿宋" w:eastAsia="仿宋" w:cs="仿宋"/>
          <w:sz w:val="30"/>
          <w:szCs w:val="30"/>
          <w:highlight w:val="none"/>
        </w:rPr>
        <w:t>专款专用，</w:t>
      </w:r>
      <w:r>
        <w:rPr>
          <w:rFonts w:hint="eastAsia" w:ascii="仿宋" w:hAnsi="仿宋" w:eastAsia="仿宋" w:cs="仿宋"/>
          <w:sz w:val="30"/>
          <w:szCs w:val="30"/>
          <w:highlight w:val="none"/>
          <w:lang w:val="en-US" w:eastAsia="zh-CN"/>
        </w:rPr>
        <w:t>资金通过国库集中支付，</w:t>
      </w:r>
      <w:r>
        <w:rPr>
          <w:rFonts w:hint="eastAsia" w:ascii="仿宋" w:hAnsi="仿宋" w:eastAsia="仿宋" w:cs="仿宋"/>
          <w:sz w:val="30"/>
          <w:szCs w:val="30"/>
          <w:highlight w:val="none"/>
        </w:rPr>
        <w:t>不存在截留、挤占、挪用等违规行为。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2.项目业务管理（</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bookmarkStart w:id="57" w:name="_Toc21112"/>
      <w:bookmarkStart w:id="58" w:name="_Toc30993"/>
      <w:bookmarkStart w:id="59" w:name="_Toc83630335"/>
      <w:bookmarkStart w:id="60" w:name="_Toc83631045"/>
      <w:bookmarkStart w:id="61" w:name="_Toc6507"/>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管理制度是否健全</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项目制定的管理制度和措施是否全面、明确、合理</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能否保障项目顺利实施</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《曲阳县恒山路强弱电入地工程可行性研究报告》第八章 项目管理中明确了项目过程管理要求，有效保障了项目的顺利实施；项目《实施方案》中明确了项目资金管理方案，保障了</w:t>
      </w:r>
      <w:r>
        <w:rPr>
          <w:rFonts w:hint="eastAsia" w:ascii="仿宋" w:hAnsi="仿宋" w:eastAsia="仿宋" w:cs="仿宋"/>
          <w:sz w:val="30"/>
          <w:szCs w:val="30"/>
          <w:highlight w:val="none"/>
        </w:rPr>
        <w:t>债券资金</w:t>
      </w:r>
      <w:r>
        <w:rPr>
          <w:rFonts w:hint="eastAsia" w:ascii="仿宋" w:hAnsi="仿宋" w:eastAsia="仿宋" w:cs="仿宋"/>
          <w:sz w:val="30"/>
          <w:szCs w:val="30"/>
          <w:highlight w:val="none"/>
          <w:lang w:eastAsia="zh-CN"/>
        </w:rPr>
        <w:t>的</w:t>
      </w:r>
      <w:r>
        <w:rPr>
          <w:rFonts w:hint="eastAsia" w:ascii="仿宋" w:hAnsi="仿宋" w:eastAsia="仿宋" w:cs="仿宋"/>
          <w:sz w:val="30"/>
          <w:szCs w:val="30"/>
          <w:highlight w:val="none"/>
        </w:rPr>
        <w:t>合规使用，提高</w:t>
      </w:r>
      <w:r>
        <w:rPr>
          <w:rFonts w:hint="eastAsia" w:ascii="仿宋" w:hAnsi="仿宋" w:eastAsia="仿宋" w:cs="仿宋"/>
          <w:sz w:val="30"/>
          <w:szCs w:val="30"/>
          <w:highlight w:val="none"/>
          <w:lang w:eastAsia="zh-CN"/>
        </w:rPr>
        <w:t>了</w:t>
      </w:r>
      <w:r>
        <w:rPr>
          <w:rFonts w:hint="eastAsia" w:ascii="仿宋" w:hAnsi="仿宋" w:eastAsia="仿宋" w:cs="仿宋"/>
          <w:sz w:val="30"/>
          <w:szCs w:val="30"/>
          <w:highlight w:val="none"/>
        </w:rPr>
        <w:t>债券资金</w:t>
      </w:r>
      <w:r>
        <w:rPr>
          <w:rFonts w:hint="eastAsia" w:ascii="仿宋" w:hAnsi="仿宋" w:eastAsia="仿宋" w:cs="仿宋"/>
          <w:sz w:val="30"/>
          <w:szCs w:val="30"/>
          <w:highlight w:val="none"/>
          <w:lang w:eastAsia="zh-CN"/>
        </w:rPr>
        <w:t>的</w:t>
      </w:r>
      <w:r>
        <w:rPr>
          <w:rFonts w:hint="eastAsia" w:ascii="仿宋" w:hAnsi="仿宋" w:eastAsia="仿宋" w:cs="仿宋"/>
          <w:sz w:val="30"/>
          <w:szCs w:val="30"/>
          <w:highlight w:val="none"/>
        </w:rPr>
        <w:t>使用效率</w:t>
      </w:r>
      <w:r>
        <w:rPr>
          <w:rFonts w:hint="eastAsia" w:ascii="仿宋" w:hAnsi="仿宋" w:eastAsia="仿宋" w:cs="仿宋"/>
          <w:sz w:val="30"/>
          <w:szCs w:val="30"/>
          <w:highlight w:val="none"/>
          <w:lang w:val="en-US"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val="en-US" w:eastAsia="zh-CN"/>
        </w:rPr>
        <w:t>制度执行有效性</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项目实施是否符合相关法律法规、业务管理制度的规定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经</w:t>
      </w:r>
      <w:r>
        <w:rPr>
          <w:rFonts w:hint="eastAsia" w:ascii="仿宋" w:hAnsi="仿宋" w:eastAsia="仿宋" w:cs="仿宋"/>
          <w:sz w:val="30"/>
          <w:szCs w:val="30"/>
          <w:highlight w:val="none"/>
          <w:lang w:val="en-US" w:eastAsia="zh-CN"/>
        </w:rPr>
        <w:t>评估</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项目实施</w:t>
      </w:r>
      <w:r>
        <w:rPr>
          <w:rFonts w:hint="eastAsia" w:ascii="仿宋" w:hAnsi="仿宋" w:eastAsia="仿宋" w:cs="仿宋"/>
          <w:sz w:val="30"/>
          <w:szCs w:val="30"/>
          <w:highlight w:val="none"/>
        </w:rPr>
        <w:t>符合相关法律法规、业务管理制度的规定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项目档案资料完整性（</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项目档案资料是否齐全，保存是否完整。</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经评估，该</w:t>
      </w:r>
      <w:r>
        <w:rPr>
          <w:rFonts w:hint="eastAsia" w:ascii="仿宋" w:hAnsi="仿宋" w:eastAsia="仿宋" w:cs="仿宋"/>
          <w:sz w:val="30"/>
          <w:szCs w:val="30"/>
          <w:highlight w:val="none"/>
        </w:rPr>
        <w:t>项目档案资料</w:t>
      </w:r>
      <w:r>
        <w:rPr>
          <w:rFonts w:hint="eastAsia" w:ascii="仿宋" w:hAnsi="仿宋" w:eastAsia="仿宋" w:cs="仿宋"/>
          <w:sz w:val="30"/>
          <w:szCs w:val="30"/>
          <w:highlight w:val="none"/>
          <w:lang w:eastAsia="zh-CN"/>
        </w:rPr>
        <w:t>较为</w:t>
      </w:r>
      <w:r>
        <w:rPr>
          <w:rFonts w:hint="eastAsia" w:ascii="仿宋" w:hAnsi="仿宋" w:eastAsia="仿宋" w:cs="仿宋"/>
          <w:sz w:val="30"/>
          <w:szCs w:val="30"/>
          <w:highlight w:val="none"/>
        </w:rPr>
        <w:t>齐全，保存</w:t>
      </w:r>
      <w:r>
        <w:rPr>
          <w:rFonts w:hint="eastAsia" w:ascii="仿宋" w:hAnsi="仿宋" w:eastAsia="仿宋" w:cs="仿宋"/>
          <w:sz w:val="30"/>
          <w:szCs w:val="30"/>
          <w:highlight w:val="none"/>
          <w:lang w:eastAsia="zh-CN"/>
        </w:rPr>
        <w:t>较为</w:t>
      </w:r>
      <w:r>
        <w:rPr>
          <w:rFonts w:hint="eastAsia" w:ascii="仿宋" w:hAnsi="仿宋" w:eastAsia="仿宋" w:cs="仿宋"/>
          <w:sz w:val="30"/>
          <w:szCs w:val="30"/>
          <w:highlight w:val="none"/>
        </w:rPr>
        <w:t>完整</w:t>
      </w:r>
      <w:r>
        <w:rPr>
          <w:rFonts w:hint="eastAsia" w:ascii="仿宋" w:hAnsi="仿宋" w:eastAsia="仿宋" w:cs="仿宋"/>
          <w:sz w:val="30"/>
          <w:szCs w:val="30"/>
          <w:highlight w:val="none"/>
          <w:lang w:val="en-US"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（三）项目产出（</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57"/>
      <w:bookmarkEnd w:id="58"/>
      <w:bookmarkEnd w:id="59"/>
      <w:bookmarkEnd w:id="60"/>
      <w:bookmarkEnd w:id="61"/>
    </w:p>
    <w:p>
      <w:pPr>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该一级指标包含1个二级指标</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个三级指标，主要</w:t>
      </w:r>
      <w:r>
        <w:rPr>
          <w:rFonts w:hint="eastAsia" w:ascii="仿宋" w:hAnsi="仿宋" w:eastAsia="仿宋" w:cs="仿宋"/>
          <w:sz w:val="30"/>
          <w:szCs w:val="30"/>
          <w:highlight w:val="none"/>
          <w:lang w:val="en-US" w:eastAsia="zh-CN"/>
        </w:rPr>
        <w:t>从实际完成率、完成及时率、质量达标率</w:t>
      </w:r>
      <w:r>
        <w:rPr>
          <w:rFonts w:hint="eastAsia" w:ascii="仿宋" w:hAnsi="仿宋" w:eastAsia="仿宋" w:cs="仿宋"/>
          <w:sz w:val="30"/>
          <w:szCs w:val="30"/>
          <w:highlight w:val="none"/>
        </w:rPr>
        <w:t>是否达到预期</w:t>
      </w:r>
      <w:r>
        <w:rPr>
          <w:rFonts w:hint="eastAsia" w:ascii="仿宋" w:hAnsi="仿宋" w:eastAsia="仿宋" w:cs="仿宋"/>
          <w:sz w:val="30"/>
          <w:szCs w:val="30"/>
          <w:highlight w:val="none"/>
          <w:lang w:val="en-US" w:eastAsia="zh-CN"/>
        </w:rPr>
        <w:t>目标</w:t>
      </w:r>
      <w:r>
        <w:rPr>
          <w:rFonts w:hint="eastAsia" w:ascii="仿宋" w:hAnsi="仿宋" w:eastAsia="仿宋" w:cs="仿宋"/>
          <w:sz w:val="30"/>
          <w:szCs w:val="30"/>
          <w:highlight w:val="none"/>
        </w:rPr>
        <w:t>。</w:t>
      </w:r>
    </w:p>
    <w:tbl>
      <w:tblPr>
        <w:tblStyle w:val="19"/>
        <w:tblW w:w="4993" w:type="pct"/>
        <w:jc w:val="center"/>
        <w:tblLayout w:type="autofit"/>
        <w:tblCellMar>
          <w:top w:w="15" w:type="dxa"/>
          <w:left w:w="15" w:type="dxa"/>
          <w:bottom w:w="15" w:type="dxa"/>
          <w:right w:w="15" w:type="dxa"/>
        </w:tblCellMar>
      </w:tblPr>
      <w:tblGrid>
        <w:gridCol w:w="1667"/>
        <w:gridCol w:w="1448"/>
        <w:gridCol w:w="3992"/>
        <w:gridCol w:w="1462"/>
        <w:gridCol w:w="1085"/>
      </w:tblGrid>
      <w:tr>
        <w:tblPrEx>
          <w:tblCellMar>
            <w:top w:w="15" w:type="dxa"/>
            <w:left w:w="15" w:type="dxa"/>
            <w:bottom w:w="15" w:type="dxa"/>
            <w:right w:w="15" w:type="dxa"/>
          </w:tblCellMar>
        </w:tblPrEx>
        <w:trPr>
          <w:trHeight w:val="507" w:hRule="exact"/>
          <w:jc w:val="center"/>
        </w:trPr>
        <w:tc>
          <w:tcPr>
            <w:tcW w:w="863"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750"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2066"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57"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562"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853" w:hRule="exact"/>
          <w:jc w:val="center"/>
        </w:trPr>
        <w:tc>
          <w:tcPr>
            <w:tcW w:w="863"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项目产出</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750"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w:t>
            </w:r>
            <w:r>
              <w:rPr>
                <w:rFonts w:hint="eastAsia" w:ascii="仿宋" w:hAnsi="仿宋" w:eastAsia="仿宋" w:cs="仿宋"/>
                <w:color w:val="000000"/>
                <w:kern w:val="0"/>
                <w:sz w:val="24"/>
                <w:szCs w:val="24"/>
                <w:highlight w:val="none"/>
                <w:lang w:val="en-US" w:eastAsia="zh-CN"/>
              </w:rPr>
              <w:t>产出</w:t>
            </w:r>
          </w:p>
        </w:tc>
        <w:tc>
          <w:tcPr>
            <w:tcW w:w="206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实际完成率</w:t>
            </w:r>
          </w:p>
        </w:tc>
        <w:tc>
          <w:tcPr>
            <w:tcW w:w="75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10</w:t>
            </w:r>
          </w:p>
        </w:tc>
        <w:tc>
          <w:tcPr>
            <w:tcW w:w="108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10</w:t>
            </w:r>
          </w:p>
        </w:tc>
      </w:tr>
      <w:tr>
        <w:tblPrEx>
          <w:tblCellMar>
            <w:top w:w="15" w:type="dxa"/>
            <w:left w:w="15" w:type="dxa"/>
            <w:bottom w:w="15" w:type="dxa"/>
            <w:right w:w="15" w:type="dxa"/>
          </w:tblCellMar>
        </w:tblPrEx>
        <w:trPr>
          <w:trHeight w:val="828" w:hRule="exact"/>
          <w:jc w:val="center"/>
        </w:trPr>
        <w:tc>
          <w:tcPr>
            <w:tcW w:w="863" w:type="pct"/>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750"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p>
        </w:tc>
        <w:tc>
          <w:tcPr>
            <w:tcW w:w="206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完成及时率</w:t>
            </w:r>
          </w:p>
        </w:tc>
        <w:tc>
          <w:tcPr>
            <w:tcW w:w="75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c>
          <w:tcPr>
            <w:tcW w:w="108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r>
      <w:tr>
        <w:tblPrEx>
          <w:tblCellMar>
            <w:top w:w="15" w:type="dxa"/>
            <w:left w:w="15" w:type="dxa"/>
            <w:bottom w:w="15" w:type="dxa"/>
            <w:right w:w="15" w:type="dxa"/>
          </w:tblCellMar>
        </w:tblPrEx>
        <w:trPr>
          <w:trHeight w:val="828" w:hRule="exact"/>
          <w:jc w:val="center"/>
        </w:trPr>
        <w:tc>
          <w:tcPr>
            <w:tcW w:w="863" w:type="pct"/>
            <w:vMerge w:val="continue"/>
            <w:tcBorders>
              <w:top w:val="single" w:color="auto" w:sz="4" w:space="0"/>
              <w:left w:val="single" w:color="auto"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750" w:type="pct"/>
            <w:vMerge w:val="continue"/>
            <w:tcBorders>
              <w:top w:val="single" w:color="auto" w:sz="4" w:space="0"/>
              <w:left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p>
        </w:tc>
        <w:tc>
          <w:tcPr>
            <w:tcW w:w="2066" w:type="pct"/>
            <w:tcBorders>
              <w:top w:val="single" w:color="auto"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验收合格率</w:t>
            </w:r>
          </w:p>
        </w:tc>
        <w:tc>
          <w:tcPr>
            <w:tcW w:w="757" w:type="pct"/>
            <w:tcBorders>
              <w:top w:val="single" w:color="auto"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c>
          <w:tcPr>
            <w:tcW w:w="1085" w:type="dxa"/>
            <w:tcBorders>
              <w:top w:val="single" w:color="auto"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r>
      <w:tr>
        <w:tblPrEx>
          <w:tblCellMar>
            <w:top w:w="15" w:type="dxa"/>
            <w:left w:w="15" w:type="dxa"/>
            <w:bottom w:w="15" w:type="dxa"/>
            <w:right w:w="15" w:type="dxa"/>
          </w:tblCellMar>
        </w:tblPrEx>
        <w:trPr>
          <w:trHeight w:val="609" w:hRule="exact"/>
          <w:jc w:val="center"/>
        </w:trPr>
        <w:tc>
          <w:tcPr>
            <w:tcW w:w="3680"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20</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bookmarkStart w:id="62" w:name="_Toc83630336"/>
      <w:bookmarkStart w:id="63" w:name="_Toc16415"/>
      <w:bookmarkStart w:id="64" w:name="_Toc833"/>
      <w:bookmarkStart w:id="65" w:name="_Toc83631046"/>
      <w:bookmarkStart w:id="66" w:name="_Toc1929"/>
      <w:r>
        <w:rPr>
          <w:rFonts w:hint="eastAsia" w:ascii="仿宋" w:hAnsi="仿宋" w:eastAsia="仿宋" w:cs="仿宋"/>
          <w:sz w:val="30"/>
          <w:szCs w:val="30"/>
          <w:highlight w:val="none"/>
          <w:lang w:val="en-US" w:eastAsia="zh-CN"/>
        </w:rPr>
        <w:t>1.实际完成率（10分）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该指标主要评估项目实施的实际产出数与计划产出数的比率，用以反映和考核项目产出数量目标的实现程度。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项目总承包合同显示的计划工期为2022年6月20日至2023年5月30日（344日历天），该项目实际于2022年7月6日开工建设，2022年8月24日工程款支付证书批复单显示的工程进度为已完成整体工程量50%，经询问相关人员项目实际于2023年4月完成全部工程建设，正在开展项目验收程序。按阶段考核，项目实际完成情况较好。</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2.完成及时率（5分）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该指标主要评估项目实际提前完成时间与计划完成时间的比率，用以反映和考核项目产出时效目标的实现程度。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经评估，该项目总承包合同及补充协议显示的计划工期为2022年6月20日至2023年5月30日（344日历天），该项目实际开工时间2022年7月6日，经询问相关人员项目实际于2023年4月底完工，完工及时率完成情况较好。</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3.质量达标率（5分）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该指标主要评估项目完成的质量达标产出数与实际产出数的比率，用以反映和考核项目产出质量目标的实现程度。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经检查，截至评估日，项目正在进行项目验收工作，无法评估质量达标情况。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该项指标实际得分5分。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（四）项目效果（</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62"/>
      <w:bookmarkEnd w:id="63"/>
      <w:bookmarkEnd w:id="64"/>
      <w:bookmarkEnd w:id="65"/>
      <w:bookmarkEnd w:id="66"/>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一级指标包含项目效益1个二级指标和2个三级指标，分别是社会效益、可持续影响力。主要评估项目实施后所产生的各种效益，包括项目实施对社会发展所带来的直接或间接影响情况、项目实施的可持续影响程度等。</w:t>
      </w:r>
    </w:p>
    <w:tbl>
      <w:tblPr>
        <w:tblStyle w:val="19"/>
        <w:tblW w:w="0" w:type="auto"/>
        <w:jc w:val="center"/>
        <w:tblLayout w:type="fixed"/>
        <w:tblCellMar>
          <w:top w:w="15" w:type="dxa"/>
          <w:left w:w="15" w:type="dxa"/>
          <w:bottom w:w="15" w:type="dxa"/>
          <w:right w:w="15" w:type="dxa"/>
        </w:tblCellMar>
      </w:tblPr>
      <w:tblGrid>
        <w:gridCol w:w="1591"/>
        <w:gridCol w:w="1489"/>
        <w:gridCol w:w="2588"/>
        <w:gridCol w:w="1434"/>
        <w:gridCol w:w="1490"/>
      </w:tblGrid>
      <w:tr>
        <w:tblPrEx>
          <w:tblCellMar>
            <w:top w:w="15" w:type="dxa"/>
            <w:left w:w="15" w:type="dxa"/>
            <w:bottom w:w="15" w:type="dxa"/>
            <w:right w:w="15" w:type="dxa"/>
          </w:tblCellMar>
        </w:tblPrEx>
        <w:trPr>
          <w:trHeight w:val="454" w:hRule="exact"/>
          <w:jc w:val="center"/>
        </w:trPr>
        <w:tc>
          <w:tcPr>
            <w:tcW w:w="15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一级指标</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二级指标</w:t>
            </w: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三级指标</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分数权重</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得分</w:t>
            </w:r>
          </w:p>
        </w:tc>
      </w:tr>
      <w:tr>
        <w:tblPrEx>
          <w:tblCellMar>
            <w:top w:w="15" w:type="dxa"/>
            <w:left w:w="15" w:type="dxa"/>
            <w:bottom w:w="15" w:type="dxa"/>
            <w:right w:w="15" w:type="dxa"/>
          </w:tblCellMar>
        </w:tblPrEx>
        <w:trPr>
          <w:trHeight w:val="746" w:hRule="exact"/>
          <w:jc w:val="center"/>
        </w:trPr>
        <w:tc>
          <w:tcPr>
            <w:tcW w:w="159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项目效果</w:t>
            </w:r>
          </w:p>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r>
              <w:rPr>
                <w:rFonts w:hint="eastAsia" w:ascii="仿宋" w:hAnsi="仿宋" w:eastAsia="仿宋" w:cs="仿宋"/>
                <w:color w:val="000000"/>
                <w:kern w:val="0"/>
                <w:sz w:val="24"/>
                <w:szCs w:val="24"/>
                <w:highlight w:val="none"/>
                <w:lang w:val="en-US" w:eastAsia="zh-CN" w:bidi="ar"/>
              </w:rPr>
              <w:t>0</w:t>
            </w:r>
            <w:r>
              <w:rPr>
                <w:rFonts w:hint="eastAsia" w:ascii="仿宋" w:hAnsi="仿宋" w:eastAsia="仿宋" w:cs="仿宋"/>
                <w:color w:val="000000"/>
                <w:kern w:val="0"/>
                <w:sz w:val="24"/>
                <w:szCs w:val="24"/>
                <w:highlight w:val="none"/>
                <w:lang w:bidi="ar"/>
              </w:rPr>
              <w:t>分）</w:t>
            </w:r>
          </w:p>
        </w:tc>
        <w:tc>
          <w:tcPr>
            <w:tcW w:w="148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项目效益</w:t>
            </w: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社会效益</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10</w:t>
            </w:r>
          </w:p>
        </w:tc>
      </w:tr>
      <w:tr>
        <w:tblPrEx>
          <w:tblCellMar>
            <w:top w:w="15" w:type="dxa"/>
            <w:left w:w="15" w:type="dxa"/>
            <w:bottom w:w="15" w:type="dxa"/>
            <w:right w:w="15" w:type="dxa"/>
          </w:tblCellMar>
        </w:tblPrEx>
        <w:trPr>
          <w:trHeight w:val="694" w:hRule="exact"/>
          <w:jc w:val="center"/>
        </w:trPr>
        <w:tc>
          <w:tcPr>
            <w:tcW w:w="15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148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可持续影响力</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r>
      <w:tr>
        <w:tblPrEx>
          <w:tblCellMar>
            <w:top w:w="15" w:type="dxa"/>
            <w:left w:w="15" w:type="dxa"/>
            <w:bottom w:w="15" w:type="dxa"/>
            <w:right w:w="15" w:type="dxa"/>
          </w:tblCellMar>
        </w:tblPrEx>
        <w:trPr>
          <w:trHeight w:val="596" w:hRule="exact"/>
          <w:jc w:val="center"/>
        </w:trPr>
        <w:tc>
          <w:tcPr>
            <w:tcW w:w="566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合  计</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1.社会效益（10分）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该指标主要评估该项目实施对社会发展所带来的直接或间接影响情况。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经评估，项目建成后，将促进曲阳县电网建设，有利于形成完整而合理的电网系统，对改善当地的供电条件有促进作用，有利于提高当地居民生活水平和生活质量，项目的建设预计将产生较好的社会效益。</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该项指标实际得分10分。</w:t>
      </w:r>
    </w:p>
    <w:p>
      <w:pPr>
        <w:pageBreakBefore w:val="0"/>
        <w:numPr>
          <w:ilvl w:val="0"/>
          <w:numId w:val="0"/>
        </w:numPr>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2.可持续影响力（10分）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w:t>
      </w:r>
      <w:r>
        <w:rPr>
          <w:rFonts w:hint="default" w:ascii="仿宋" w:hAnsi="仿宋" w:eastAsia="仿宋" w:cs="仿宋"/>
          <w:sz w:val="30"/>
          <w:szCs w:val="30"/>
          <w:highlight w:val="none"/>
          <w:lang w:val="en-US" w:eastAsia="zh-CN"/>
        </w:rPr>
        <w:t>项目后续运行及成效发挥的可持续影响情况。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通过项目建设，将改善曲阳县区的环境，推进周边区域向城镇化发展的进程。将带动沿线区域经济发展，促进区域内工业、农业、商业、旅游业等相关产业的发展，满足居民日益增长的物质、文化和社会需要。项目建设对于提升曲阳县的城市形象具有重要意义，预期可持续影响效果较好。</w:t>
      </w:r>
    </w:p>
    <w:p>
      <w:pPr>
        <w:pageBreakBefore w:val="0"/>
        <w:kinsoku/>
        <w:wordWrap/>
        <w:overflowPunct/>
        <w:topLinePunct w:val="0"/>
        <w:autoSpaceDE/>
        <w:autoSpaceDN/>
        <w:bidi w:val="0"/>
        <w:adjustRightInd/>
        <w:snapToGrid/>
        <w:spacing w:line="560" w:lineRule="exact"/>
        <w:ind w:firstLine="600" w:firstLineChars="200"/>
        <w:jc w:val="left"/>
        <w:rPr>
          <w:rFonts w:hint="default"/>
          <w:highlight w:val="none"/>
          <w:lang w:val="en-US" w:eastAsia="zh-CN"/>
        </w:rPr>
      </w:pPr>
      <w:r>
        <w:rPr>
          <w:rFonts w:hint="eastAsia" w:ascii="仿宋" w:hAnsi="仿宋" w:eastAsia="仿宋" w:cs="仿宋"/>
          <w:sz w:val="30"/>
          <w:szCs w:val="30"/>
          <w:highlight w:val="none"/>
          <w:lang w:val="en-US" w:eastAsia="zh-CN"/>
        </w:rPr>
        <w:t>该项指标实际得分10分。</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sz w:val="32"/>
          <w:szCs w:val="32"/>
          <w:highlight w:val="none"/>
        </w:rPr>
      </w:pPr>
      <w:bookmarkStart w:id="67" w:name="_Toc501368363"/>
      <w:bookmarkStart w:id="68" w:name="_Toc6602"/>
      <w:bookmarkStart w:id="69" w:name="_Toc12802"/>
      <w:bookmarkStart w:id="70" w:name="_Toc24878"/>
      <w:bookmarkStart w:id="71" w:name="_Toc83631048"/>
      <w:bookmarkStart w:id="72" w:name="_Toc10985"/>
      <w:bookmarkStart w:id="73" w:name="_Toc2211"/>
      <w:bookmarkStart w:id="74" w:name="_Toc83630434"/>
      <w:r>
        <w:rPr>
          <w:rFonts w:hint="eastAsia" w:ascii="仿宋" w:hAnsi="仿宋" w:eastAsia="仿宋" w:cs="仿宋"/>
          <w:sz w:val="32"/>
          <w:szCs w:val="32"/>
          <w:highlight w:val="none"/>
          <w:lang w:val="en-US" w:eastAsia="zh-CN"/>
        </w:rPr>
        <w:t>六</w:t>
      </w:r>
      <w:r>
        <w:rPr>
          <w:rFonts w:hint="eastAsia" w:ascii="仿宋" w:hAnsi="仿宋" w:eastAsia="仿宋" w:cs="仿宋"/>
          <w:sz w:val="32"/>
          <w:szCs w:val="32"/>
          <w:highlight w:val="none"/>
        </w:rPr>
        <w:t>、项目综合</w:t>
      </w:r>
      <w:bookmarkEnd w:id="67"/>
      <w:bookmarkEnd w:id="68"/>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结论和</w:t>
      </w:r>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等级</w:t>
      </w:r>
      <w:bookmarkEnd w:id="69"/>
      <w:bookmarkEnd w:id="70"/>
      <w:bookmarkEnd w:id="71"/>
      <w:bookmarkEnd w:id="72"/>
      <w:bookmarkEnd w:id="73"/>
      <w:bookmarkEnd w:id="74"/>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75" w:name="_Toc501368364"/>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确定</w:t>
      </w:r>
      <w:bookmarkEnd w:id="75"/>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lang w:val="en-US" w:eastAsia="zh-CN"/>
        </w:rPr>
        <w:t>分值：96分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等级</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3.项目综合</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结论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bookmarkStart w:id="76" w:name="_Toc83631049"/>
      <w:bookmarkStart w:id="77" w:name="_Toc83630435"/>
      <w:bookmarkStart w:id="78" w:name="_Toc28969"/>
      <w:bookmarkStart w:id="79" w:name="_Toc25027"/>
      <w:r>
        <w:rPr>
          <w:rFonts w:hint="eastAsia" w:ascii="仿宋" w:hAnsi="仿宋" w:eastAsia="仿宋" w:cs="仿宋"/>
          <w:sz w:val="30"/>
          <w:szCs w:val="30"/>
          <w:highlight w:val="none"/>
        </w:rPr>
        <w:t>该项目严格</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资金使用管理，</w:t>
      </w:r>
      <w:bookmarkEnd w:id="76"/>
      <w:bookmarkEnd w:id="77"/>
      <w:bookmarkEnd w:id="78"/>
      <w:bookmarkEnd w:id="79"/>
      <w:r>
        <w:rPr>
          <w:rFonts w:hint="eastAsia" w:ascii="仿宋" w:hAnsi="仿宋" w:eastAsia="仿宋" w:cs="仿宋"/>
          <w:sz w:val="30"/>
          <w:szCs w:val="30"/>
          <w:highlight w:val="none"/>
          <w:lang w:val="en-US" w:eastAsia="zh-CN"/>
        </w:rPr>
        <w:t>专项债券资金于2022年度完成支付，全部为工程款支出，</w:t>
      </w:r>
      <w:r>
        <w:rPr>
          <w:rFonts w:hint="eastAsia" w:ascii="仿宋" w:hAnsi="仿宋" w:eastAsia="仿宋" w:cs="仿宋"/>
          <w:sz w:val="30"/>
          <w:szCs w:val="30"/>
          <w:highlight w:val="none"/>
        </w:rPr>
        <w:t>专款专用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无结余资金</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截至评估日，项目已完工，正在进行项目验收程序。通过项目实施，减小周围环境对电缆的影响，提高供电的可靠性，项目建成后电缆线路的运行维护费用较小，配合环网柜等设备，可进行多线路联络，形成供电网络，可大大缩减停电次数和停电范围，实现配网自动化。有利于提高当地居民生活水平和生活质量，推进周边区域向城镇化发展的进程。预期社会效益和可持续影响效果较好</w:t>
      </w:r>
      <w:r>
        <w:rPr>
          <w:rFonts w:hint="eastAsia" w:ascii="仿宋" w:hAnsi="仿宋" w:eastAsia="仿宋" w:cs="仿宋"/>
          <w:sz w:val="30"/>
          <w:szCs w:val="30"/>
          <w:highlight w:val="none"/>
        </w:rPr>
        <w:t>。</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highlight w:val="none"/>
        </w:rPr>
      </w:pPr>
      <w:bookmarkStart w:id="80" w:name="_Toc83630436"/>
      <w:bookmarkStart w:id="81" w:name="_Toc7207"/>
      <w:bookmarkStart w:id="82" w:name="_Toc30518"/>
      <w:bookmarkStart w:id="83" w:name="_Toc83631050"/>
      <w:bookmarkStart w:id="84" w:name="_Toc27278"/>
      <w:bookmarkStart w:id="85" w:name="_Toc22941"/>
      <w:r>
        <w:rPr>
          <w:rFonts w:hint="eastAsia" w:ascii="仿宋" w:hAnsi="仿宋" w:eastAsia="仿宋" w:cs="仿宋"/>
          <w:bCs/>
          <w:sz w:val="32"/>
          <w:szCs w:val="32"/>
          <w:highlight w:val="none"/>
          <w:lang w:val="en-US" w:eastAsia="zh-CN"/>
        </w:rPr>
        <w:t>七</w:t>
      </w:r>
      <w:r>
        <w:rPr>
          <w:rFonts w:hint="eastAsia" w:ascii="仿宋" w:hAnsi="仿宋" w:eastAsia="仿宋" w:cs="仿宋"/>
          <w:bCs/>
          <w:sz w:val="32"/>
          <w:szCs w:val="32"/>
          <w:highlight w:val="none"/>
        </w:rPr>
        <w:t>、存在的问题</w:t>
      </w:r>
      <w:bookmarkEnd w:id="80"/>
      <w:bookmarkEnd w:id="81"/>
      <w:bookmarkEnd w:id="82"/>
      <w:bookmarkEnd w:id="83"/>
      <w:bookmarkEnd w:id="84"/>
      <w:bookmarkEnd w:id="85"/>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该项目取得的成绩是肯定的，但在实现绩效目标过程中也存在一些不足之处，具体归纳为：</w:t>
      </w:r>
    </w:p>
    <w:p>
      <w:pPr>
        <w:pageBreakBefore w:val="0"/>
        <w:numPr>
          <w:ilvl w:val="0"/>
          <w:numId w:val="2"/>
        </w:numPr>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bookmarkStart w:id="86" w:name="_Toc23781"/>
      <w:bookmarkStart w:id="87" w:name="_Toc83631051"/>
      <w:bookmarkStart w:id="88" w:name="_Toc6530"/>
      <w:bookmarkStart w:id="89" w:name="_Toc83630437"/>
      <w:r>
        <w:rPr>
          <w:rFonts w:hint="eastAsia" w:ascii="仿宋" w:hAnsi="仿宋" w:eastAsia="仿宋" w:cs="仿宋"/>
          <w:sz w:val="30"/>
          <w:szCs w:val="30"/>
          <w:highlight w:val="none"/>
          <w:lang w:eastAsia="zh-CN"/>
        </w:rPr>
        <w:t>绩效目标设定方面</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项目绩效目标表中绩效目标设置较为宽泛，不够具体，不利于绩效目标实现情况的后期考核。</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（二）</w:t>
      </w:r>
      <w:r>
        <w:rPr>
          <w:rFonts w:hint="eastAsia" w:ascii="仿宋" w:hAnsi="仿宋" w:eastAsia="仿宋" w:cs="仿宋"/>
          <w:sz w:val="30"/>
          <w:szCs w:val="30"/>
          <w:highlight w:val="none"/>
          <w:lang w:eastAsia="zh-CN"/>
        </w:rPr>
        <w:t>绩效指标设定</w:t>
      </w:r>
      <w:r>
        <w:rPr>
          <w:rFonts w:hint="eastAsia" w:ascii="仿宋" w:hAnsi="仿宋" w:eastAsia="仿宋" w:cs="仿宋"/>
          <w:sz w:val="30"/>
          <w:szCs w:val="30"/>
          <w:highlight w:val="none"/>
          <w:lang w:val="en-US" w:eastAsia="zh-CN"/>
        </w:rPr>
        <w:t>方面</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项目绩效目标表中绩效指标的明确性有待加强，</w:t>
      </w:r>
      <w:r>
        <w:rPr>
          <w:rFonts w:hint="eastAsia" w:ascii="仿宋" w:hAnsi="仿宋" w:eastAsia="仿宋" w:cs="仿宋"/>
          <w:sz w:val="30"/>
          <w:szCs w:val="30"/>
          <w:highlight w:val="none"/>
          <w:lang w:eastAsia="zh-CN"/>
        </w:rPr>
        <w:t>产出指标估计不足，指标</w:t>
      </w:r>
      <w:r>
        <w:rPr>
          <w:rFonts w:hint="eastAsia" w:ascii="仿宋" w:hAnsi="仿宋" w:eastAsia="仿宋" w:cs="仿宋"/>
          <w:sz w:val="30"/>
          <w:szCs w:val="30"/>
          <w:highlight w:val="none"/>
          <w:lang w:val="en-US" w:eastAsia="zh-CN"/>
        </w:rPr>
        <w:t>设置</w:t>
      </w:r>
      <w:r>
        <w:rPr>
          <w:rFonts w:hint="eastAsia" w:ascii="仿宋" w:hAnsi="仿宋" w:eastAsia="仿宋" w:cs="仿宋"/>
          <w:sz w:val="30"/>
          <w:szCs w:val="30"/>
          <w:highlight w:val="none"/>
          <w:lang w:eastAsia="zh-CN"/>
        </w:rPr>
        <w:t>不够细化，指标值</w:t>
      </w:r>
      <w:r>
        <w:rPr>
          <w:rFonts w:hint="eastAsia" w:ascii="仿宋" w:hAnsi="仿宋" w:eastAsia="仿宋" w:cs="仿宋"/>
          <w:sz w:val="30"/>
          <w:szCs w:val="30"/>
          <w:highlight w:val="none"/>
          <w:lang w:val="en-US" w:eastAsia="zh-CN"/>
        </w:rPr>
        <w:t>未能与年度工作任务相匹配，不利于考核年度任务完成情况</w:t>
      </w:r>
      <w:r>
        <w:rPr>
          <w:rFonts w:hint="eastAsia" w:ascii="仿宋" w:hAnsi="仿宋" w:eastAsia="仿宋" w:cs="仿宋"/>
          <w:sz w:val="30"/>
          <w:szCs w:val="30"/>
          <w:highlight w:val="none"/>
          <w:lang w:eastAsia="zh-CN"/>
        </w:rPr>
        <w:t>。</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highlight w:val="none"/>
          <w:lang w:val="en-US" w:eastAsia="zh-CN"/>
        </w:rPr>
      </w:pPr>
      <w:r>
        <w:rPr>
          <w:rFonts w:hint="eastAsia" w:ascii="仿宋" w:hAnsi="仿宋" w:eastAsia="仿宋" w:cs="仿宋"/>
          <w:bCs/>
          <w:sz w:val="32"/>
          <w:szCs w:val="32"/>
          <w:highlight w:val="none"/>
          <w:lang w:val="en-US" w:eastAsia="zh-CN"/>
        </w:rPr>
        <w:t>八、建议及改进措施</w:t>
      </w:r>
    </w:p>
    <w:p>
      <w:pPr>
        <w:pageBreakBefore w:val="0"/>
        <w:numPr>
          <w:ilvl w:val="0"/>
          <w:numId w:val="0"/>
        </w:numPr>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（一）针对</w:t>
      </w:r>
      <w:r>
        <w:rPr>
          <w:rFonts w:hint="eastAsia" w:ascii="仿宋" w:hAnsi="仿宋" w:eastAsia="仿宋" w:cs="仿宋"/>
          <w:sz w:val="30"/>
          <w:szCs w:val="30"/>
          <w:highlight w:val="none"/>
          <w:lang w:eastAsia="zh-CN"/>
        </w:rPr>
        <w:t>绩效目标设定方面问题，建议项目实施单位加强对绩效目标设置的重视程度，按照项目实施计划和现实需求，制定较为明确、具体、与实际情况相符的绩效目标。</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（二）针对项目绩效指标未能与年度工作任务相匹配方面问题，建议项目实施单位细化绩效指标设置，对跨年度实施的项目，明确年度工作任务，制定合理的年度目标任务，从而更好的考核项目完成进度情况。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p>
    <w:p>
      <w:pPr>
        <w:pStyle w:val="2"/>
        <w:rPr>
          <w:rFonts w:hint="eastAsia" w:ascii="仿宋" w:hAnsi="仿宋" w:eastAsia="仿宋" w:cs="仿宋"/>
          <w:sz w:val="30"/>
          <w:szCs w:val="30"/>
          <w:highlight w:val="none"/>
          <w:lang w:val="en-US" w:eastAsia="zh-CN"/>
        </w:rPr>
      </w:pPr>
    </w:p>
    <w:p>
      <w:pPr>
        <w:ind w:firstLine="7200" w:firstLineChars="2400"/>
        <w:rPr>
          <w:rFonts w:hint="eastAsia"/>
          <w:lang w:val="en-US" w:eastAsia="zh-CN"/>
        </w:rPr>
      </w:pPr>
      <w:r>
        <w:rPr>
          <w:rFonts w:hint="eastAsia" w:ascii="仿宋" w:hAnsi="仿宋" w:eastAsia="仿宋" w:cs="仿宋"/>
          <w:sz w:val="30"/>
          <w:szCs w:val="30"/>
          <w:highlight w:val="none"/>
          <w:lang w:val="en-US" w:eastAsia="zh-CN"/>
        </w:rPr>
        <w:t>曲阳县财政局</w:t>
      </w:r>
    </w:p>
    <w:bookmarkEnd w:id="86"/>
    <w:bookmarkEnd w:id="87"/>
    <w:bookmarkEnd w:id="88"/>
    <w:bookmarkEnd w:id="89"/>
    <w:p>
      <w:pPr>
        <w:pageBreakBefore w:val="0"/>
        <w:kinsoku/>
        <w:wordWrap/>
        <w:overflowPunct/>
        <w:topLinePunct w:val="0"/>
        <w:autoSpaceDE/>
        <w:autoSpaceDN/>
        <w:bidi w:val="0"/>
        <w:adjustRightInd/>
        <w:snapToGrid/>
        <w:spacing w:line="560" w:lineRule="exact"/>
        <w:ind w:firstLine="7200" w:firstLineChars="24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2023年</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lang w:eastAsia="zh-CN"/>
        </w:rPr>
        <w:t>月</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lang w:eastAsia="zh-CN"/>
        </w:rPr>
        <w:t>日</w:t>
      </w:r>
    </w:p>
    <w:sectPr>
      <w:pgSz w:w="11906" w:h="16838"/>
      <w:pgMar w:top="964" w:right="1134" w:bottom="964" w:left="1134" w:header="1134" w:footer="680" w:gutter="0"/>
      <w:pgBorders>
        <w:top w:val="none" w:sz="0" w:space="0"/>
        <w:left w:val="none" w:sz="0" w:space="0"/>
        <w:bottom w:val="none" w:sz="0" w:space="0"/>
        <w:right w:val="none" w:sz="0" w:space="0"/>
      </w:pgBorders>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19868D"/>
    <w:multiLevelType w:val="singleLevel"/>
    <w:tmpl w:val="D319868D"/>
    <w:lvl w:ilvl="0" w:tentative="0">
      <w:start w:val="1"/>
      <w:numFmt w:val="decimal"/>
      <w:suff w:val="nothing"/>
      <w:lvlText w:val="（%1）"/>
      <w:lvlJc w:val="left"/>
    </w:lvl>
  </w:abstractNum>
  <w:abstractNum w:abstractNumId="1">
    <w:nsid w:val="4FD98200"/>
    <w:multiLevelType w:val="singleLevel"/>
    <w:tmpl w:val="4FD9820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yYWFlYmY1MDgzZjVkMTIyZDNjNGU3MzRhOTU3MzYifQ=="/>
  </w:docVars>
  <w:rsids>
    <w:rsidRoot w:val="00172A27"/>
    <w:rsid w:val="00001E81"/>
    <w:rsid w:val="00002FE3"/>
    <w:rsid w:val="0001237A"/>
    <w:rsid w:val="00012B1F"/>
    <w:rsid w:val="00013039"/>
    <w:rsid w:val="00016780"/>
    <w:rsid w:val="00016877"/>
    <w:rsid w:val="00022151"/>
    <w:rsid w:val="00025856"/>
    <w:rsid w:val="0002621F"/>
    <w:rsid w:val="00033AA9"/>
    <w:rsid w:val="0003796B"/>
    <w:rsid w:val="00040467"/>
    <w:rsid w:val="00045C4A"/>
    <w:rsid w:val="00051E6A"/>
    <w:rsid w:val="000526B1"/>
    <w:rsid w:val="000545E4"/>
    <w:rsid w:val="00061A9C"/>
    <w:rsid w:val="00061CE6"/>
    <w:rsid w:val="0006219F"/>
    <w:rsid w:val="000708F8"/>
    <w:rsid w:val="0007441F"/>
    <w:rsid w:val="0007465C"/>
    <w:rsid w:val="00074D40"/>
    <w:rsid w:val="000755AD"/>
    <w:rsid w:val="00075E9A"/>
    <w:rsid w:val="00077141"/>
    <w:rsid w:val="00085E3D"/>
    <w:rsid w:val="0009369D"/>
    <w:rsid w:val="0009497A"/>
    <w:rsid w:val="00097090"/>
    <w:rsid w:val="000A0869"/>
    <w:rsid w:val="000A1167"/>
    <w:rsid w:val="000A3E44"/>
    <w:rsid w:val="000A4680"/>
    <w:rsid w:val="000B0D5C"/>
    <w:rsid w:val="000B155D"/>
    <w:rsid w:val="000B1E0C"/>
    <w:rsid w:val="000B20C4"/>
    <w:rsid w:val="000B2F28"/>
    <w:rsid w:val="000C0219"/>
    <w:rsid w:val="000C04B4"/>
    <w:rsid w:val="000D406E"/>
    <w:rsid w:val="000D62DD"/>
    <w:rsid w:val="000D7C44"/>
    <w:rsid w:val="000D7C62"/>
    <w:rsid w:val="000E2FF4"/>
    <w:rsid w:val="000E55B5"/>
    <w:rsid w:val="000E7041"/>
    <w:rsid w:val="000F06E0"/>
    <w:rsid w:val="000F4DB6"/>
    <w:rsid w:val="000F6F4D"/>
    <w:rsid w:val="000F7314"/>
    <w:rsid w:val="00102339"/>
    <w:rsid w:val="00103596"/>
    <w:rsid w:val="0010607C"/>
    <w:rsid w:val="0010686E"/>
    <w:rsid w:val="00107E9D"/>
    <w:rsid w:val="001118A5"/>
    <w:rsid w:val="001129D8"/>
    <w:rsid w:val="00117D1C"/>
    <w:rsid w:val="00123040"/>
    <w:rsid w:val="00123913"/>
    <w:rsid w:val="00127425"/>
    <w:rsid w:val="001337FE"/>
    <w:rsid w:val="00135522"/>
    <w:rsid w:val="0014634C"/>
    <w:rsid w:val="001471EC"/>
    <w:rsid w:val="00151E0E"/>
    <w:rsid w:val="00153236"/>
    <w:rsid w:val="00155639"/>
    <w:rsid w:val="00157B84"/>
    <w:rsid w:val="00161CEF"/>
    <w:rsid w:val="00163C86"/>
    <w:rsid w:val="0016529A"/>
    <w:rsid w:val="0016552F"/>
    <w:rsid w:val="00165B00"/>
    <w:rsid w:val="00167578"/>
    <w:rsid w:val="00172A27"/>
    <w:rsid w:val="001730CC"/>
    <w:rsid w:val="00175C51"/>
    <w:rsid w:val="001775FA"/>
    <w:rsid w:val="00177706"/>
    <w:rsid w:val="00181EDE"/>
    <w:rsid w:val="00196D03"/>
    <w:rsid w:val="001973EC"/>
    <w:rsid w:val="001A0FA2"/>
    <w:rsid w:val="001A47A9"/>
    <w:rsid w:val="001A6DAC"/>
    <w:rsid w:val="001A6DCF"/>
    <w:rsid w:val="001A7692"/>
    <w:rsid w:val="001B348D"/>
    <w:rsid w:val="001B48F3"/>
    <w:rsid w:val="001B5178"/>
    <w:rsid w:val="001B55E7"/>
    <w:rsid w:val="001C05EB"/>
    <w:rsid w:val="001C0981"/>
    <w:rsid w:val="001C0A70"/>
    <w:rsid w:val="001C370C"/>
    <w:rsid w:val="001C5733"/>
    <w:rsid w:val="001C587B"/>
    <w:rsid w:val="001D420F"/>
    <w:rsid w:val="001D7CB3"/>
    <w:rsid w:val="001E3AEC"/>
    <w:rsid w:val="001E5575"/>
    <w:rsid w:val="001E6191"/>
    <w:rsid w:val="001E6D7F"/>
    <w:rsid w:val="001F37F7"/>
    <w:rsid w:val="001F3B46"/>
    <w:rsid w:val="002019BF"/>
    <w:rsid w:val="00204D34"/>
    <w:rsid w:val="00205B2A"/>
    <w:rsid w:val="002061DE"/>
    <w:rsid w:val="00206E4A"/>
    <w:rsid w:val="00211650"/>
    <w:rsid w:val="00212B85"/>
    <w:rsid w:val="00214D2D"/>
    <w:rsid w:val="00217674"/>
    <w:rsid w:val="002238F1"/>
    <w:rsid w:val="0022441E"/>
    <w:rsid w:val="002262ED"/>
    <w:rsid w:val="00227687"/>
    <w:rsid w:val="00231583"/>
    <w:rsid w:val="00231E73"/>
    <w:rsid w:val="00232C0B"/>
    <w:rsid w:val="00236FF9"/>
    <w:rsid w:val="002371BA"/>
    <w:rsid w:val="00241DDA"/>
    <w:rsid w:val="0024577B"/>
    <w:rsid w:val="002477B2"/>
    <w:rsid w:val="002478F4"/>
    <w:rsid w:val="002513BE"/>
    <w:rsid w:val="00256A4B"/>
    <w:rsid w:val="00264E36"/>
    <w:rsid w:val="00266F46"/>
    <w:rsid w:val="002678E2"/>
    <w:rsid w:val="0027048A"/>
    <w:rsid w:val="00270705"/>
    <w:rsid w:val="00271949"/>
    <w:rsid w:val="00274702"/>
    <w:rsid w:val="0027470D"/>
    <w:rsid w:val="002762DA"/>
    <w:rsid w:val="00280437"/>
    <w:rsid w:val="002837BF"/>
    <w:rsid w:val="0028433C"/>
    <w:rsid w:val="00287E1A"/>
    <w:rsid w:val="002938D8"/>
    <w:rsid w:val="00294650"/>
    <w:rsid w:val="00294ED2"/>
    <w:rsid w:val="00297960"/>
    <w:rsid w:val="002A4C4D"/>
    <w:rsid w:val="002A5E76"/>
    <w:rsid w:val="002A68A6"/>
    <w:rsid w:val="002B37B6"/>
    <w:rsid w:val="002B45E5"/>
    <w:rsid w:val="002C1CA4"/>
    <w:rsid w:val="002E02E3"/>
    <w:rsid w:val="002E2613"/>
    <w:rsid w:val="002E2C1A"/>
    <w:rsid w:val="002E45FD"/>
    <w:rsid w:val="002E7CB4"/>
    <w:rsid w:val="002F0A16"/>
    <w:rsid w:val="002F2D01"/>
    <w:rsid w:val="002F72F6"/>
    <w:rsid w:val="00303ADF"/>
    <w:rsid w:val="00306C5A"/>
    <w:rsid w:val="00307390"/>
    <w:rsid w:val="00307D5B"/>
    <w:rsid w:val="00311278"/>
    <w:rsid w:val="00313749"/>
    <w:rsid w:val="00313C79"/>
    <w:rsid w:val="0032011B"/>
    <w:rsid w:val="003225CE"/>
    <w:rsid w:val="00323DE4"/>
    <w:rsid w:val="00325654"/>
    <w:rsid w:val="00327721"/>
    <w:rsid w:val="00330324"/>
    <w:rsid w:val="00330AA2"/>
    <w:rsid w:val="003362FC"/>
    <w:rsid w:val="0033673E"/>
    <w:rsid w:val="00344370"/>
    <w:rsid w:val="00350222"/>
    <w:rsid w:val="00350722"/>
    <w:rsid w:val="00351B3C"/>
    <w:rsid w:val="00354F98"/>
    <w:rsid w:val="00355135"/>
    <w:rsid w:val="003559E9"/>
    <w:rsid w:val="00360C3A"/>
    <w:rsid w:val="00361A21"/>
    <w:rsid w:val="00361C36"/>
    <w:rsid w:val="00371E92"/>
    <w:rsid w:val="003722A1"/>
    <w:rsid w:val="00375B5C"/>
    <w:rsid w:val="003776F3"/>
    <w:rsid w:val="0038027C"/>
    <w:rsid w:val="00382AC7"/>
    <w:rsid w:val="0039160E"/>
    <w:rsid w:val="003918F6"/>
    <w:rsid w:val="003933E7"/>
    <w:rsid w:val="00395AAD"/>
    <w:rsid w:val="0039616C"/>
    <w:rsid w:val="00397291"/>
    <w:rsid w:val="00397784"/>
    <w:rsid w:val="003A468C"/>
    <w:rsid w:val="003A5D20"/>
    <w:rsid w:val="003B0599"/>
    <w:rsid w:val="003B506F"/>
    <w:rsid w:val="003B55FC"/>
    <w:rsid w:val="003C2817"/>
    <w:rsid w:val="003D5A13"/>
    <w:rsid w:val="003E4CEC"/>
    <w:rsid w:val="003E58F6"/>
    <w:rsid w:val="003F5AA4"/>
    <w:rsid w:val="0040171A"/>
    <w:rsid w:val="0040642B"/>
    <w:rsid w:val="00411120"/>
    <w:rsid w:val="00412B46"/>
    <w:rsid w:val="00421AA7"/>
    <w:rsid w:val="004220AA"/>
    <w:rsid w:val="0043069F"/>
    <w:rsid w:val="00431254"/>
    <w:rsid w:val="00432102"/>
    <w:rsid w:val="00435890"/>
    <w:rsid w:val="00437563"/>
    <w:rsid w:val="0045092F"/>
    <w:rsid w:val="0045268D"/>
    <w:rsid w:val="00455858"/>
    <w:rsid w:val="0045663E"/>
    <w:rsid w:val="00460005"/>
    <w:rsid w:val="004603D0"/>
    <w:rsid w:val="00464C8B"/>
    <w:rsid w:val="00464E7C"/>
    <w:rsid w:val="00471474"/>
    <w:rsid w:val="00474E33"/>
    <w:rsid w:val="00476CA9"/>
    <w:rsid w:val="00477A0A"/>
    <w:rsid w:val="004837D1"/>
    <w:rsid w:val="00484031"/>
    <w:rsid w:val="004949BB"/>
    <w:rsid w:val="00494D2C"/>
    <w:rsid w:val="00495D03"/>
    <w:rsid w:val="00496C00"/>
    <w:rsid w:val="004A6E0D"/>
    <w:rsid w:val="004B34D2"/>
    <w:rsid w:val="004B36EF"/>
    <w:rsid w:val="004B60B0"/>
    <w:rsid w:val="004C077B"/>
    <w:rsid w:val="004C16C1"/>
    <w:rsid w:val="004C42FF"/>
    <w:rsid w:val="004D3E55"/>
    <w:rsid w:val="004E1A51"/>
    <w:rsid w:val="004E4D3D"/>
    <w:rsid w:val="004E78EF"/>
    <w:rsid w:val="004F05AB"/>
    <w:rsid w:val="004F1584"/>
    <w:rsid w:val="004F6320"/>
    <w:rsid w:val="005035A0"/>
    <w:rsid w:val="00503F54"/>
    <w:rsid w:val="00504D24"/>
    <w:rsid w:val="00506B53"/>
    <w:rsid w:val="0050755A"/>
    <w:rsid w:val="00525EA6"/>
    <w:rsid w:val="00525F5C"/>
    <w:rsid w:val="005262DE"/>
    <w:rsid w:val="0053461A"/>
    <w:rsid w:val="00535CEF"/>
    <w:rsid w:val="005443B3"/>
    <w:rsid w:val="005511A7"/>
    <w:rsid w:val="0055165F"/>
    <w:rsid w:val="0055189E"/>
    <w:rsid w:val="005605EF"/>
    <w:rsid w:val="0056126D"/>
    <w:rsid w:val="00573D78"/>
    <w:rsid w:val="00577454"/>
    <w:rsid w:val="00580E0D"/>
    <w:rsid w:val="00581141"/>
    <w:rsid w:val="00587B04"/>
    <w:rsid w:val="00587DA6"/>
    <w:rsid w:val="00596FA9"/>
    <w:rsid w:val="005975A7"/>
    <w:rsid w:val="005A0AFA"/>
    <w:rsid w:val="005A1FA5"/>
    <w:rsid w:val="005A2809"/>
    <w:rsid w:val="005A4668"/>
    <w:rsid w:val="005B0ABE"/>
    <w:rsid w:val="005B2098"/>
    <w:rsid w:val="005B5D50"/>
    <w:rsid w:val="005B604D"/>
    <w:rsid w:val="005C6CF3"/>
    <w:rsid w:val="005D4511"/>
    <w:rsid w:val="005D511C"/>
    <w:rsid w:val="005D6237"/>
    <w:rsid w:val="005D6295"/>
    <w:rsid w:val="005E0754"/>
    <w:rsid w:val="005E12F4"/>
    <w:rsid w:val="005E4912"/>
    <w:rsid w:val="005E5A26"/>
    <w:rsid w:val="005E5BF3"/>
    <w:rsid w:val="005F109C"/>
    <w:rsid w:val="005F702A"/>
    <w:rsid w:val="0060053D"/>
    <w:rsid w:val="00601408"/>
    <w:rsid w:val="00606C8F"/>
    <w:rsid w:val="00610D3F"/>
    <w:rsid w:val="006153F8"/>
    <w:rsid w:val="00617B84"/>
    <w:rsid w:val="00620728"/>
    <w:rsid w:val="00626BD6"/>
    <w:rsid w:val="0063198C"/>
    <w:rsid w:val="0063202E"/>
    <w:rsid w:val="006334E7"/>
    <w:rsid w:val="00635205"/>
    <w:rsid w:val="006355C2"/>
    <w:rsid w:val="00637149"/>
    <w:rsid w:val="00640245"/>
    <w:rsid w:val="006474D2"/>
    <w:rsid w:val="006526B7"/>
    <w:rsid w:val="006528E7"/>
    <w:rsid w:val="0066512C"/>
    <w:rsid w:val="0066533C"/>
    <w:rsid w:val="006726C0"/>
    <w:rsid w:val="00677E52"/>
    <w:rsid w:val="0068590D"/>
    <w:rsid w:val="00685CC1"/>
    <w:rsid w:val="00687599"/>
    <w:rsid w:val="0069340F"/>
    <w:rsid w:val="00695DF0"/>
    <w:rsid w:val="006A1A90"/>
    <w:rsid w:val="006B14A2"/>
    <w:rsid w:val="006B6D32"/>
    <w:rsid w:val="006B7630"/>
    <w:rsid w:val="006C4007"/>
    <w:rsid w:val="006C4F4C"/>
    <w:rsid w:val="006C6718"/>
    <w:rsid w:val="006D0B17"/>
    <w:rsid w:val="006D102D"/>
    <w:rsid w:val="006D6EC8"/>
    <w:rsid w:val="006D7836"/>
    <w:rsid w:val="006E16C9"/>
    <w:rsid w:val="006E3BE1"/>
    <w:rsid w:val="006E6313"/>
    <w:rsid w:val="006E6AEF"/>
    <w:rsid w:val="006E7061"/>
    <w:rsid w:val="006F03CB"/>
    <w:rsid w:val="006F3E20"/>
    <w:rsid w:val="006F4C35"/>
    <w:rsid w:val="006F585B"/>
    <w:rsid w:val="00704022"/>
    <w:rsid w:val="00707385"/>
    <w:rsid w:val="007105B6"/>
    <w:rsid w:val="007118CE"/>
    <w:rsid w:val="0071448D"/>
    <w:rsid w:val="00717AF6"/>
    <w:rsid w:val="00725607"/>
    <w:rsid w:val="00726DC9"/>
    <w:rsid w:val="00730116"/>
    <w:rsid w:val="00731011"/>
    <w:rsid w:val="00732D83"/>
    <w:rsid w:val="00734070"/>
    <w:rsid w:val="0073497B"/>
    <w:rsid w:val="00735F2F"/>
    <w:rsid w:val="00743F08"/>
    <w:rsid w:val="00747C52"/>
    <w:rsid w:val="007511E3"/>
    <w:rsid w:val="0076471E"/>
    <w:rsid w:val="007762CE"/>
    <w:rsid w:val="00780B07"/>
    <w:rsid w:val="0078765B"/>
    <w:rsid w:val="00795A90"/>
    <w:rsid w:val="007A3B28"/>
    <w:rsid w:val="007A4F6D"/>
    <w:rsid w:val="007A6F84"/>
    <w:rsid w:val="007B3C17"/>
    <w:rsid w:val="007B7DF5"/>
    <w:rsid w:val="007B7E86"/>
    <w:rsid w:val="007C28A6"/>
    <w:rsid w:val="007C4661"/>
    <w:rsid w:val="007D2F68"/>
    <w:rsid w:val="007D3D44"/>
    <w:rsid w:val="007D560A"/>
    <w:rsid w:val="007D5CC0"/>
    <w:rsid w:val="007D6665"/>
    <w:rsid w:val="007D6692"/>
    <w:rsid w:val="007E2B66"/>
    <w:rsid w:val="007F0132"/>
    <w:rsid w:val="007F02D1"/>
    <w:rsid w:val="007F08E0"/>
    <w:rsid w:val="00803AB6"/>
    <w:rsid w:val="0080468A"/>
    <w:rsid w:val="00806336"/>
    <w:rsid w:val="0081237C"/>
    <w:rsid w:val="0081741F"/>
    <w:rsid w:val="008218D6"/>
    <w:rsid w:val="008252BD"/>
    <w:rsid w:val="008270C5"/>
    <w:rsid w:val="00827186"/>
    <w:rsid w:val="00827902"/>
    <w:rsid w:val="008317D2"/>
    <w:rsid w:val="00831E38"/>
    <w:rsid w:val="00833C82"/>
    <w:rsid w:val="00837564"/>
    <w:rsid w:val="0084040A"/>
    <w:rsid w:val="008418C4"/>
    <w:rsid w:val="0084365C"/>
    <w:rsid w:val="0084490C"/>
    <w:rsid w:val="00845C99"/>
    <w:rsid w:val="0084691A"/>
    <w:rsid w:val="00847274"/>
    <w:rsid w:val="008576D9"/>
    <w:rsid w:val="008626C1"/>
    <w:rsid w:val="00863446"/>
    <w:rsid w:val="00870DE1"/>
    <w:rsid w:val="00882D5B"/>
    <w:rsid w:val="00884402"/>
    <w:rsid w:val="00886A98"/>
    <w:rsid w:val="00890C6C"/>
    <w:rsid w:val="008A1ABB"/>
    <w:rsid w:val="008A2EDD"/>
    <w:rsid w:val="008A5256"/>
    <w:rsid w:val="008B11CB"/>
    <w:rsid w:val="008B2164"/>
    <w:rsid w:val="008B31E9"/>
    <w:rsid w:val="008B43F7"/>
    <w:rsid w:val="008B693D"/>
    <w:rsid w:val="008B6CC8"/>
    <w:rsid w:val="008B7945"/>
    <w:rsid w:val="008B7EA3"/>
    <w:rsid w:val="008C34DF"/>
    <w:rsid w:val="008C4E78"/>
    <w:rsid w:val="008C6BD0"/>
    <w:rsid w:val="008C71D6"/>
    <w:rsid w:val="008D2C8F"/>
    <w:rsid w:val="008D41B3"/>
    <w:rsid w:val="008D70D4"/>
    <w:rsid w:val="008D743B"/>
    <w:rsid w:val="008E0755"/>
    <w:rsid w:val="008F1A99"/>
    <w:rsid w:val="008F1BDB"/>
    <w:rsid w:val="008F2F12"/>
    <w:rsid w:val="00900305"/>
    <w:rsid w:val="0090326A"/>
    <w:rsid w:val="00904477"/>
    <w:rsid w:val="00904A01"/>
    <w:rsid w:val="00912D2E"/>
    <w:rsid w:val="00913359"/>
    <w:rsid w:val="00917252"/>
    <w:rsid w:val="00924661"/>
    <w:rsid w:val="00924F2A"/>
    <w:rsid w:val="00924F8C"/>
    <w:rsid w:val="009250C7"/>
    <w:rsid w:val="0092512C"/>
    <w:rsid w:val="009258A4"/>
    <w:rsid w:val="0093087E"/>
    <w:rsid w:val="00935039"/>
    <w:rsid w:val="00936FCD"/>
    <w:rsid w:val="009444BB"/>
    <w:rsid w:val="0094494F"/>
    <w:rsid w:val="009474C6"/>
    <w:rsid w:val="0095178C"/>
    <w:rsid w:val="00955E76"/>
    <w:rsid w:val="00955FD6"/>
    <w:rsid w:val="009737D8"/>
    <w:rsid w:val="00973C01"/>
    <w:rsid w:val="00977FBC"/>
    <w:rsid w:val="00980669"/>
    <w:rsid w:val="00984C16"/>
    <w:rsid w:val="00984CCE"/>
    <w:rsid w:val="00991A94"/>
    <w:rsid w:val="009944B4"/>
    <w:rsid w:val="0099465A"/>
    <w:rsid w:val="009959AC"/>
    <w:rsid w:val="009A0DF7"/>
    <w:rsid w:val="009A1232"/>
    <w:rsid w:val="009A3761"/>
    <w:rsid w:val="009B33B3"/>
    <w:rsid w:val="009B4723"/>
    <w:rsid w:val="009B53B3"/>
    <w:rsid w:val="009B61CB"/>
    <w:rsid w:val="009D06CE"/>
    <w:rsid w:val="009D4F29"/>
    <w:rsid w:val="009D5BA9"/>
    <w:rsid w:val="009E3A54"/>
    <w:rsid w:val="009E4C36"/>
    <w:rsid w:val="009E74B1"/>
    <w:rsid w:val="009F26D4"/>
    <w:rsid w:val="009F69B1"/>
    <w:rsid w:val="009F69D8"/>
    <w:rsid w:val="00A02D53"/>
    <w:rsid w:val="00A031AB"/>
    <w:rsid w:val="00A03725"/>
    <w:rsid w:val="00A05142"/>
    <w:rsid w:val="00A1354F"/>
    <w:rsid w:val="00A13D82"/>
    <w:rsid w:val="00A15FE0"/>
    <w:rsid w:val="00A216ED"/>
    <w:rsid w:val="00A315AC"/>
    <w:rsid w:val="00A35407"/>
    <w:rsid w:val="00A370C2"/>
    <w:rsid w:val="00A4018F"/>
    <w:rsid w:val="00A436E7"/>
    <w:rsid w:val="00A4517C"/>
    <w:rsid w:val="00A51D4D"/>
    <w:rsid w:val="00A522AD"/>
    <w:rsid w:val="00A54887"/>
    <w:rsid w:val="00A578EB"/>
    <w:rsid w:val="00A57DDD"/>
    <w:rsid w:val="00A6170A"/>
    <w:rsid w:val="00A64359"/>
    <w:rsid w:val="00A67DE5"/>
    <w:rsid w:val="00A72467"/>
    <w:rsid w:val="00A736A2"/>
    <w:rsid w:val="00A77D60"/>
    <w:rsid w:val="00A80257"/>
    <w:rsid w:val="00A820FC"/>
    <w:rsid w:val="00A85BE0"/>
    <w:rsid w:val="00A90F4C"/>
    <w:rsid w:val="00A92B31"/>
    <w:rsid w:val="00A938F4"/>
    <w:rsid w:val="00A94484"/>
    <w:rsid w:val="00A977FD"/>
    <w:rsid w:val="00AA06F9"/>
    <w:rsid w:val="00AA2C06"/>
    <w:rsid w:val="00AA7C05"/>
    <w:rsid w:val="00AB0F07"/>
    <w:rsid w:val="00AC4D96"/>
    <w:rsid w:val="00AC52FA"/>
    <w:rsid w:val="00AD0798"/>
    <w:rsid w:val="00AD50B9"/>
    <w:rsid w:val="00AD6B17"/>
    <w:rsid w:val="00AD7D2F"/>
    <w:rsid w:val="00AE31CD"/>
    <w:rsid w:val="00AE3FED"/>
    <w:rsid w:val="00AE45E0"/>
    <w:rsid w:val="00AE4933"/>
    <w:rsid w:val="00AE6FB4"/>
    <w:rsid w:val="00AF025F"/>
    <w:rsid w:val="00AF7605"/>
    <w:rsid w:val="00B0350D"/>
    <w:rsid w:val="00B06FC2"/>
    <w:rsid w:val="00B175CE"/>
    <w:rsid w:val="00B1766A"/>
    <w:rsid w:val="00B20AC8"/>
    <w:rsid w:val="00B22073"/>
    <w:rsid w:val="00B24854"/>
    <w:rsid w:val="00B27D5F"/>
    <w:rsid w:val="00B357D9"/>
    <w:rsid w:val="00B41697"/>
    <w:rsid w:val="00B452F9"/>
    <w:rsid w:val="00B45D04"/>
    <w:rsid w:val="00B46AAD"/>
    <w:rsid w:val="00B561A3"/>
    <w:rsid w:val="00B60B6A"/>
    <w:rsid w:val="00B6723C"/>
    <w:rsid w:val="00B716AD"/>
    <w:rsid w:val="00B72444"/>
    <w:rsid w:val="00B760E5"/>
    <w:rsid w:val="00B80C9E"/>
    <w:rsid w:val="00B959F2"/>
    <w:rsid w:val="00B95AAB"/>
    <w:rsid w:val="00B96034"/>
    <w:rsid w:val="00B97746"/>
    <w:rsid w:val="00BA1E35"/>
    <w:rsid w:val="00BA356D"/>
    <w:rsid w:val="00BA4A20"/>
    <w:rsid w:val="00BB54BD"/>
    <w:rsid w:val="00BB63F9"/>
    <w:rsid w:val="00BB7272"/>
    <w:rsid w:val="00BC3E03"/>
    <w:rsid w:val="00BC6158"/>
    <w:rsid w:val="00BD2307"/>
    <w:rsid w:val="00BD2901"/>
    <w:rsid w:val="00BD5644"/>
    <w:rsid w:val="00BD589B"/>
    <w:rsid w:val="00BD62CC"/>
    <w:rsid w:val="00BE4093"/>
    <w:rsid w:val="00BE73F7"/>
    <w:rsid w:val="00BF0521"/>
    <w:rsid w:val="00BF6113"/>
    <w:rsid w:val="00C021CE"/>
    <w:rsid w:val="00C05D86"/>
    <w:rsid w:val="00C071B2"/>
    <w:rsid w:val="00C10F97"/>
    <w:rsid w:val="00C1251F"/>
    <w:rsid w:val="00C15E6D"/>
    <w:rsid w:val="00C2633C"/>
    <w:rsid w:val="00C30185"/>
    <w:rsid w:val="00C337E4"/>
    <w:rsid w:val="00C35279"/>
    <w:rsid w:val="00C37115"/>
    <w:rsid w:val="00C37717"/>
    <w:rsid w:val="00C37A13"/>
    <w:rsid w:val="00C402B1"/>
    <w:rsid w:val="00C41B37"/>
    <w:rsid w:val="00C53438"/>
    <w:rsid w:val="00C631CD"/>
    <w:rsid w:val="00C64E13"/>
    <w:rsid w:val="00C657E6"/>
    <w:rsid w:val="00C66572"/>
    <w:rsid w:val="00C6722E"/>
    <w:rsid w:val="00C67735"/>
    <w:rsid w:val="00C76BC8"/>
    <w:rsid w:val="00C808CD"/>
    <w:rsid w:val="00C81737"/>
    <w:rsid w:val="00C847CF"/>
    <w:rsid w:val="00C93435"/>
    <w:rsid w:val="00CA0FF6"/>
    <w:rsid w:val="00CA1456"/>
    <w:rsid w:val="00CA7BF4"/>
    <w:rsid w:val="00CC1421"/>
    <w:rsid w:val="00CC43C2"/>
    <w:rsid w:val="00CC75FA"/>
    <w:rsid w:val="00CD0298"/>
    <w:rsid w:val="00CD18CC"/>
    <w:rsid w:val="00CD2449"/>
    <w:rsid w:val="00CE0C7E"/>
    <w:rsid w:val="00CE1D6A"/>
    <w:rsid w:val="00CE1D8F"/>
    <w:rsid w:val="00CE6077"/>
    <w:rsid w:val="00CE6446"/>
    <w:rsid w:val="00CF0C84"/>
    <w:rsid w:val="00CF45BE"/>
    <w:rsid w:val="00CF5E7C"/>
    <w:rsid w:val="00CF6BF4"/>
    <w:rsid w:val="00D007B7"/>
    <w:rsid w:val="00D04C6B"/>
    <w:rsid w:val="00D13256"/>
    <w:rsid w:val="00D13829"/>
    <w:rsid w:val="00D153CF"/>
    <w:rsid w:val="00D2643F"/>
    <w:rsid w:val="00D27BC5"/>
    <w:rsid w:val="00D34CDD"/>
    <w:rsid w:val="00D36AB4"/>
    <w:rsid w:val="00D36AC2"/>
    <w:rsid w:val="00D45DE3"/>
    <w:rsid w:val="00D46895"/>
    <w:rsid w:val="00D47F71"/>
    <w:rsid w:val="00D53364"/>
    <w:rsid w:val="00D605E4"/>
    <w:rsid w:val="00D615EB"/>
    <w:rsid w:val="00D7205C"/>
    <w:rsid w:val="00D72934"/>
    <w:rsid w:val="00D748CA"/>
    <w:rsid w:val="00D75DE5"/>
    <w:rsid w:val="00D83950"/>
    <w:rsid w:val="00D84226"/>
    <w:rsid w:val="00D862E1"/>
    <w:rsid w:val="00D87E6D"/>
    <w:rsid w:val="00DA4E61"/>
    <w:rsid w:val="00DA5DB0"/>
    <w:rsid w:val="00DA691D"/>
    <w:rsid w:val="00DB0327"/>
    <w:rsid w:val="00DB03B8"/>
    <w:rsid w:val="00DB7DA1"/>
    <w:rsid w:val="00DC07A9"/>
    <w:rsid w:val="00DC2EEA"/>
    <w:rsid w:val="00DC3A4A"/>
    <w:rsid w:val="00DD3585"/>
    <w:rsid w:val="00DE602A"/>
    <w:rsid w:val="00DF3C90"/>
    <w:rsid w:val="00DF44F9"/>
    <w:rsid w:val="00DF5954"/>
    <w:rsid w:val="00DF69EE"/>
    <w:rsid w:val="00E023F5"/>
    <w:rsid w:val="00E06F2F"/>
    <w:rsid w:val="00E07928"/>
    <w:rsid w:val="00E1602F"/>
    <w:rsid w:val="00E1654D"/>
    <w:rsid w:val="00E2611B"/>
    <w:rsid w:val="00E26F1D"/>
    <w:rsid w:val="00E3404B"/>
    <w:rsid w:val="00E36DDE"/>
    <w:rsid w:val="00E40DE1"/>
    <w:rsid w:val="00E4162B"/>
    <w:rsid w:val="00E47B9D"/>
    <w:rsid w:val="00E47D72"/>
    <w:rsid w:val="00E5073B"/>
    <w:rsid w:val="00E5496C"/>
    <w:rsid w:val="00E54A5A"/>
    <w:rsid w:val="00E55442"/>
    <w:rsid w:val="00E55C12"/>
    <w:rsid w:val="00E56181"/>
    <w:rsid w:val="00E67C8B"/>
    <w:rsid w:val="00E74616"/>
    <w:rsid w:val="00E74D9A"/>
    <w:rsid w:val="00E818EA"/>
    <w:rsid w:val="00E87C9B"/>
    <w:rsid w:val="00E87CFA"/>
    <w:rsid w:val="00E93944"/>
    <w:rsid w:val="00E945E6"/>
    <w:rsid w:val="00E9664D"/>
    <w:rsid w:val="00E9720D"/>
    <w:rsid w:val="00EA5CFA"/>
    <w:rsid w:val="00EA76B4"/>
    <w:rsid w:val="00EA7D67"/>
    <w:rsid w:val="00EB1B57"/>
    <w:rsid w:val="00EB38C6"/>
    <w:rsid w:val="00EC5A80"/>
    <w:rsid w:val="00EC62E6"/>
    <w:rsid w:val="00EE706B"/>
    <w:rsid w:val="00EE7F0D"/>
    <w:rsid w:val="00EF1460"/>
    <w:rsid w:val="00EF45F7"/>
    <w:rsid w:val="00EF4D51"/>
    <w:rsid w:val="00F0129C"/>
    <w:rsid w:val="00F01563"/>
    <w:rsid w:val="00F0254F"/>
    <w:rsid w:val="00F04BFE"/>
    <w:rsid w:val="00F071CB"/>
    <w:rsid w:val="00F1167E"/>
    <w:rsid w:val="00F1229F"/>
    <w:rsid w:val="00F124AE"/>
    <w:rsid w:val="00F153DC"/>
    <w:rsid w:val="00F20147"/>
    <w:rsid w:val="00F209EB"/>
    <w:rsid w:val="00F21DBA"/>
    <w:rsid w:val="00F264EF"/>
    <w:rsid w:val="00F27F87"/>
    <w:rsid w:val="00F3212D"/>
    <w:rsid w:val="00F32DC2"/>
    <w:rsid w:val="00F40C25"/>
    <w:rsid w:val="00F43FF0"/>
    <w:rsid w:val="00F44735"/>
    <w:rsid w:val="00F44ADC"/>
    <w:rsid w:val="00F44C8B"/>
    <w:rsid w:val="00F46576"/>
    <w:rsid w:val="00F47A21"/>
    <w:rsid w:val="00F50B74"/>
    <w:rsid w:val="00F525F8"/>
    <w:rsid w:val="00F57BBB"/>
    <w:rsid w:val="00F64C8B"/>
    <w:rsid w:val="00F70989"/>
    <w:rsid w:val="00F747CC"/>
    <w:rsid w:val="00F81AD0"/>
    <w:rsid w:val="00F82BBB"/>
    <w:rsid w:val="00F83AF9"/>
    <w:rsid w:val="00F8434F"/>
    <w:rsid w:val="00F850F0"/>
    <w:rsid w:val="00F855FE"/>
    <w:rsid w:val="00F865F4"/>
    <w:rsid w:val="00F86B76"/>
    <w:rsid w:val="00F92C03"/>
    <w:rsid w:val="00F930C3"/>
    <w:rsid w:val="00F95F3C"/>
    <w:rsid w:val="00F96CD1"/>
    <w:rsid w:val="00FA1D9A"/>
    <w:rsid w:val="00FA275B"/>
    <w:rsid w:val="00FB15C4"/>
    <w:rsid w:val="00FC1747"/>
    <w:rsid w:val="00FC2FCA"/>
    <w:rsid w:val="00FC5532"/>
    <w:rsid w:val="00FC6631"/>
    <w:rsid w:val="00FC7E65"/>
    <w:rsid w:val="00FD3E76"/>
    <w:rsid w:val="00FD6E29"/>
    <w:rsid w:val="00FD6FEF"/>
    <w:rsid w:val="00FE13D4"/>
    <w:rsid w:val="00FE2CF2"/>
    <w:rsid w:val="00FE3BCB"/>
    <w:rsid w:val="00FE7C05"/>
    <w:rsid w:val="00FF14BA"/>
    <w:rsid w:val="00FF253C"/>
    <w:rsid w:val="00FF4832"/>
    <w:rsid w:val="00FF6D34"/>
    <w:rsid w:val="00FF726D"/>
    <w:rsid w:val="01441BB9"/>
    <w:rsid w:val="04141B96"/>
    <w:rsid w:val="098E39B9"/>
    <w:rsid w:val="0ADA152D"/>
    <w:rsid w:val="0D9E1C0C"/>
    <w:rsid w:val="0E4B143D"/>
    <w:rsid w:val="0EF02E72"/>
    <w:rsid w:val="0F481A23"/>
    <w:rsid w:val="10814158"/>
    <w:rsid w:val="112F3D99"/>
    <w:rsid w:val="12844DC1"/>
    <w:rsid w:val="142E56E9"/>
    <w:rsid w:val="1823357E"/>
    <w:rsid w:val="187036B2"/>
    <w:rsid w:val="1B1A3889"/>
    <w:rsid w:val="1C850D11"/>
    <w:rsid w:val="1E145C1F"/>
    <w:rsid w:val="1F94354A"/>
    <w:rsid w:val="21460153"/>
    <w:rsid w:val="21DA3F9D"/>
    <w:rsid w:val="223D0F22"/>
    <w:rsid w:val="23FA42D0"/>
    <w:rsid w:val="24743B37"/>
    <w:rsid w:val="25470B20"/>
    <w:rsid w:val="29483C47"/>
    <w:rsid w:val="2A8314C1"/>
    <w:rsid w:val="2A8F3BCE"/>
    <w:rsid w:val="2AD710FF"/>
    <w:rsid w:val="2B872E60"/>
    <w:rsid w:val="2BCE0FAE"/>
    <w:rsid w:val="2CAF4831"/>
    <w:rsid w:val="2DFC5A4D"/>
    <w:rsid w:val="2F1D0509"/>
    <w:rsid w:val="3161561E"/>
    <w:rsid w:val="31AA78D1"/>
    <w:rsid w:val="321B7CF6"/>
    <w:rsid w:val="38963FA8"/>
    <w:rsid w:val="3A186A29"/>
    <w:rsid w:val="3E792B8A"/>
    <w:rsid w:val="436D3360"/>
    <w:rsid w:val="45361007"/>
    <w:rsid w:val="48A44F3A"/>
    <w:rsid w:val="494A68AB"/>
    <w:rsid w:val="4D03459A"/>
    <w:rsid w:val="4E2540DD"/>
    <w:rsid w:val="4F0928DF"/>
    <w:rsid w:val="52381F73"/>
    <w:rsid w:val="53387659"/>
    <w:rsid w:val="55104550"/>
    <w:rsid w:val="56BE1DD5"/>
    <w:rsid w:val="57F3068C"/>
    <w:rsid w:val="58D20590"/>
    <w:rsid w:val="5D410D65"/>
    <w:rsid w:val="5E5B23C1"/>
    <w:rsid w:val="5E660CC1"/>
    <w:rsid w:val="5E6C52B2"/>
    <w:rsid w:val="5E8C78A8"/>
    <w:rsid w:val="5F6F6A11"/>
    <w:rsid w:val="632A16BD"/>
    <w:rsid w:val="657965BE"/>
    <w:rsid w:val="661D5A78"/>
    <w:rsid w:val="663566D9"/>
    <w:rsid w:val="663B1AE6"/>
    <w:rsid w:val="67B21F12"/>
    <w:rsid w:val="67D461F9"/>
    <w:rsid w:val="67EA7C85"/>
    <w:rsid w:val="6B300AA0"/>
    <w:rsid w:val="6B9306BB"/>
    <w:rsid w:val="6E2053BF"/>
    <w:rsid w:val="6E3D39F9"/>
    <w:rsid w:val="6ECA1DC7"/>
    <w:rsid w:val="6F860363"/>
    <w:rsid w:val="6FA81A09"/>
    <w:rsid w:val="70350492"/>
    <w:rsid w:val="706C20E6"/>
    <w:rsid w:val="71D44901"/>
    <w:rsid w:val="71FD397A"/>
    <w:rsid w:val="720924FA"/>
    <w:rsid w:val="73007C27"/>
    <w:rsid w:val="74B13A97"/>
    <w:rsid w:val="74DE6D70"/>
    <w:rsid w:val="75435570"/>
    <w:rsid w:val="76171091"/>
    <w:rsid w:val="78452F28"/>
    <w:rsid w:val="790C5BF2"/>
    <w:rsid w:val="7A1A6C48"/>
    <w:rsid w:val="7A935397"/>
    <w:rsid w:val="7ADB74C9"/>
    <w:rsid w:val="7AFE135D"/>
    <w:rsid w:val="7CEF1D89"/>
    <w:rsid w:val="7E494DA3"/>
    <w:rsid w:val="7FC43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1"/>
    <w:next w:val="1"/>
    <w:qFormat/>
    <w:uiPriority w:val="0"/>
    <w:pPr>
      <w:autoSpaceDE w:val="0"/>
      <w:autoSpaceDN w:val="0"/>
      <w:adjustRightInd w:val="0"/>
      <w:spacing w:line="240" w:lineRule="auto"/>
      <w:ind w:firstLine="0" w:firstLineChars="0"/>
      <w:jc w:val="left"/>
    </w:pPr>
    <w:rPr>
      <w:rFonts w:ascii="宋体" w:hAnsi="宋体" w:cs="宋体"/>
      <w:kern w:val="0"/>
    </w:rPr>
  </w:style>
  <w:style w:type="paragraph" w:styleId="5">
    <w:name w:val="Body Text"/>
    <w:basedOn w:val="1"/>
    <w:next w:val="6"/>
    <w:unhideWhenUsed/>
    <w:qFormat/>
    <w:uiPriority w:val="1"/>
    <w:pPr>
      <w:spacing w:before="41"/>
      <w:ind w:left="121"/>
      <w:jc w:val="left"/>
    </w:pPr>
    <w:rPr>
      <w:rFonts w:ascii="仿宋" w:hAnsi="仿宋" w:eastAsia="仿宋"/>
      <w:kern w:val="0"/>
      <w:sz w:val="28"/>
      <w:szCs w:val="28"/>
      <w:lang w:eastAsia="en-US"/>
    </w:rPr>
  </w:style>
  <w:style w:type="paragraph" w:customStyle="1" w:styleId="6">
    <w:name w:val="_Style 2"/>
    <w:basedOn w:val="1"/>
    <w:qFormat/>
    <w:uiPriority w:val="0"/>
    <w:pPr>
      <w:ind w:firstLine="420" w:firstLineChars="200"/>
    </w:pPr>
  </w:style>
  <w:style w:type="paragraph" w:styleId="7">
    <w:name w:val="Body Text Indent"/>
    <w:basedOn w:val="1"/>
    <w:next w:val="1"/>
    <w:qFormat/>
    <w:uiPriority w:val="0"/>
    <w:pPr>
      <w:spacing w:line="380" w:lineRule="exact"/>
      <w:ind w:firstLine="480" w:firstLineChars="200"/>
    </w:pPr>
    <w:rPr>
      <w:rFonts w:ascii="宋体" w:hAnsi="宋体"/>
      <w:sz w:val="24"/>
    </w:rPr>
  </w:style>
  <w:style w:type="paragraph" w:styleId="8">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9">
    <w:name w:val="Plain Text"/>
    <w:basedOn w:val="1"/>
    <w:qFormat/>
    <w:uiPriority w:val="0"/>
    <w:rPr>
      <w:rFonts w:ascii="宋体" w:hAnsi="Courier New" w:cs="Courier New"/>
      <w:szCs w:val="21"/>
    </w:rPr>
  </w:style>
  <w:style w:type="paragraph" w:styleId="10">
    <w:name w:val="Date"/>
    <w:basedOn w:val="1"/>
    <w:next w:val="1"/>
    <w:qFormat/>
    <w:uiPriority w:val="0"/>
    <w:pPr>
      <w:ind w:left="100" w:leftChars="2500"/>
    </w:pPr>
    <w:rPr>
      <w:rFonts w:ascii="宋体" w:hAnsi="宋体"/>
      <w:sz w:val="24"/>
    </w:rPr>
  </w:style>
  <w:style w:type="paragraph" w:styleId="11">
    <w:name w:val="Balloon Text"/>
    <w:basedOn w:val="1"/>
    <w:link w:val="28"/>
    <w:qFormat/>
    <w:uiPriority w:val="0"/>
    <w:rPr>
      <w:sz w:val="18"/>
      <w:szCs w:val="18"/>
    </w:rPr>
  </w:style>
  <w:style w:type="paragraph" w:styleId="12">
    <w:name w:val="footer"/>
    <w:basedOn w:val="1"/>
    <w:link w:val="27"/>
    <w:qFormat/>
    <w:uiPriority w:val="99"/>
    <w:pPr>
      <w:tabs>
        <w:tab w:val="center" w:pos="4153"/>
        <w:tab w:val="right" w:pos="8306"/>
      </w:tabs>
      <w:snapToGrid w:val="0"/>
      <w:jc w:val="left"/>
    </w:pPr>
    <w:rPr>
      <w:sz w:val="18"/>
      <w:szCs w:val="18"/>
    </w:rPr>
  </w:style>
  <w:style w:type="paragraph" w:styleId="13">
    <w:name w:val="header"/>
    <w:basedOn w:val="1"/>
    <w:link w:val="29"/>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footnote text"/>
    <w:basedOn w:val="1"/>
    <w:link w:val="30"/>
    <w:qFormat/>
    <w:uiPriority w:val="0"/>
    <w:pPr>
      <w:snapToGrid w:val="0"/>
      <w:jc w:val="left"/>
    </w:pPr>
    <w:rPr>
      <w:sz w:val="18"/>
      <w:szCs w:val="18"/>
    </w:rPr>
  </w:style>
  <w:style w:type="paragraph" w:styleId="16">
    <w:name w:val="toc 2"/>
    <w:basedOn w:val="1"/>
    <w:next w:val="1"/>
    <w:unhideWhenUsed/>
    <w:qFormat/>
    <w:uiPriority w:val="39"/>
    <w:pPr>
      <w:widowControl/>
      <w:spacing w:after="100" w:line="276" w:lineRule="auto"/>
      <w:ind w:left="220"/>
      <w:jc w:val="left"/>
    </w:pPr>
    <w:rPr>
      <w:rFonts w:ascii="Calibri" w:hAnsi="Calibri"/>
      <w:kern w:val="0"/>
      <w:sz w:val="22"/>
    </w:rPr>
  </w:style>
  <w:style w:type="paragraph" w:styleId="17">
    <w:name w:val="Normal (Web)"/>
    <w:basedOn w:val="1"/>
    <w:qFormat/>
    <w:uiPriority w:val="0"/>
    <w:pPr>
      <w:spacing w:beforeAutospacing="1" w:afterAutospacing="1"/>
      <w:jc w:val="left"/>
    </w:pPr>
    <w:rPr>
      <w:kern w:val="0"/>
      <w:sz w:val="24"/>
    </w:rPr>
  </w:style>
  <w:style w:type="paragraph" w:styleId="18">
    <w:name w:val="Body Text First Indent 2"/>
    <w:basedOn w:val="7"/>
    <w:next w:val="1"/>
    <w:unhideWhenUsed/>
    <w:qFormat/>
    <w:uiPriority w:val="99"/>
    <w:pPr>
      <w:widowControl/>
      <w:spacing w:after="0" w:line="440" w:lineRule="exact"/>
      <w:ind w:left="0" w:leftChars="0" w:firstLine="420" w:firstLineChars="200"/>
      <w:jc w:val="left"/>
    </w:pPr>
    <w:rPr>
      <w:rFonts w:ascii="Times New Roman" w:hAnsi="Times New Roman" w:eastAsia="宋体" w:cs="Times New Roman"/>
      <w:color w:val="FF0000"/>
      <w:kern w:val="0"/>
      <w:sz w:val="28"/>
      <w:szCs w:val="24"/>
      <w:lang w:val="en-US" w:eastAsia="zh-CN" w:bidi="ar-SA"/>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qFormat/>
    <w:uiPriority w:val="0"/>
  </w:style>
  <w:style w:type="character" w:styleId="23">
    <w:name w:val="Hyperlink"/>
    <w:basedOn w:val="21"/>
    <w:unhideWhenUsed/>
    <w:qFormat/>
    <w:uiPriority w:val="99"/>
    <w:rPr>
      <w:color w:val="0000FF" w:themeColor="hyperlink"/>
      <w:u w:val="single"/>
      <w14:textFill>
        <w14:solidFill>
          <w14:schemeClr w14:val="hlink"/>
        </w14:solidFill>
      </w14:textFill>
    </w:rPr>
  </w:style>
  <w:style w:type="character" w:styleId="24">
    <w:name w:val="footnote reference"/>
    <w:basedOn w:val="21"/>
    <w:qFormat/>
    <w:uiPriority w:val="0"/>
    <w:rPr>
      <w:vertAlign w:val="superscript"/>
    </w:rPr>
  </w:style>
  <w:style w:type="character" w:customStyle="1" w:styleId="25">
    <w:name w:val="无间隔 Char"/>
    <w:basedOn w:val="21"/>
    <w:link w:val="26"/>
    <w:qFormat/>
    <w:uiPriority w:val="1"/>
    <w:rPr>
      <w:rFonts w:ascii="Calibri" w:hAnsi="Calibri"/>
      <w:sz w:val="22"/>
      <w:szCs w:val="22"/>
      <w:lang w:val="en-US" w:eastAsia="zh-CN" w:bidi="ar-SA"/>
    </w:rPr>
  </w:style>
  <w:style w:type="paragraph" w:styleId="26">
    <w:name w:val="No Spacing"/>
    <w:link w:val="25"/>
    <w:qFormat/>
    <w:uiPriority w:val="1"/>
    <w:rPr>
      <w:rFonts w:ascii="Calibri" w:hAnsi="Calibri" w:eastAsia="宋体" w:cs="Times New Roman"/>
      <w:sz w:val="22"/>
      <w:szCs w:val="22"/>
      <w:lang w:val="en-US" w:eastAsia="zh-CN" w:bidi="ar-SA"/>
    </w:rPr>
  </w:style>
  <w:style w:type="character" w:customStyle="1" w:styleId="27">
    <w:name w:val="页脚 Char"/>
    <w:basedOn w:val="21"/>
    <w:link w:val="12"/>
    <w:qFormat/>
    <w:uiPriority w:val="99"/>
    <w:rPr>
      <w:kern w:val="2"/>
      <w:sz w:val="18"/>
      <w:szCs w:val="18"/>
    </w:rPr>
  </w:style>
  <w:style w:type="character" w:customStyle="1" w:styleId="28">
    <w:name w:val="批注框文本 Char"/>
    <w:basedOn w:val="21"/>
    <w:link w:val="11"/>
    <w:qFormat/>
    <w:uiPriority w:val="0"/>
    <w:rPr>
      <w:kern w:val="2"/>
      <w:sz w:val="18"/>
      <w:szCs w:val="18"/>
    </w:rPr>
  </w:style>
  <w:style w:type="character" w:customStyle="1" w:styleId="29">
    <w:name w:val="页眉 Char"/>
    <w:basedOn w:val="21"/>
    <w:link w:val="13"/>
    <w:qFormat/>
    <w:uiPriority w:val="99"/>
    <w:rPr>
      <w:kern w:val="2"/>
      <w:sz w:val="18"/>
      <w:szCs w:val="18"/>
    </w:rPr>
  </w:style>
  <w:style w:type="character" w:customStyle="1" w:styleId="30">
    <w:name w:val="脚注文本 Char"/>
    <w:basedOn w:val="21"/>
    <w:link w:val="15"/>
    <w:qFormat/>
    <w:uiPriority w:val="0"/>
    <w:rPr>
      <w:kern w:val="2"/>
      <w:sz w:val="18"/>
      <w:szCs w:val="18"/>
    </w:rPr>
  </w:style>
  <w:style w:type="paragraph" w:customStyle="1" w:styleId="31">
    <w:name w:val="Other|2"/>
    <w:basedOn w:val="1"/>
    <w:qFormat/>
    <w:uiPriority w:val="0"/>
    <w:pPr>
      <w:jc w:val="center"/>
    </w:pPr>
    <w:rPr>
      <w:rFonts w:ascii="宋体" w:hAnsi="宋体" w:cs="宋体"/>
      <w:sz w:val="20"/>
      <w:lang w:val="zh-TW" w:eastAsia="zh-TW" w:bidi="zh-TW"/>
    </w:rPr>
  </w:style>
  <w:style w:type="paragraph" w:customStyle="1" w:styleId="32">
    <w:name w:val="Other|1"/>
    <w:basedOn w:val="1"/>
    <w:qFormat/>
    <w:uiPriority w:val="0"/>
    <w:pPr>
      <w:spacing w:line="401" w:lineRule="auto"/>
      <w:ind w:firstLine="400"/>
    </w:pPr>
    <w:rPr>
      <w:rFonts w:ascii="宋体" w:hAnsi="宋体" w:cs="宋体"/>
      <w:sz w:val="30"/>
      <w:szCs w:val="30"/>
      <w:lang w:val="zh-TW" w:eastAsia="zh-TW" w:bidi="zh-TW"/>
    </w:rPr>
  </w:style>
  <w:style w:type="paragraph" w:customStyle="1" w:styleId="33">
    <w:name w:val="Header or footer|2"/>
    <w:basedOn w:val="1"/>
    <w:qFormat/>
    <w:uiPriority w:val="0"/>
    <w:rPr>
      <w:sz w:val="20"/>
      <w:lang w:val="zh-TW" w:eastAsia="zh-TW" w:bidi="zh-TW"/>
    </w:rPr>
  </w:style>
  <w:style w:type="paragraph" w:customStyle="1" w:styleId="34">
    <w:name w:val="TOC Heading"/>
    <w:basedOn w:val="3"/>
    <w:next w:val="1"/>
    <w:semiHidden/>
    <w:unhideWhenUsed/>
    <w:qFormat/>
    <w:uiPriority w:val="39"/>
    <w:pPr>
      <w:keepNext/>
      <w:keepLines/>
      <w:widowControl/>
      <w:spacing w:before="480" w:beforeAutospacing="0" w:afterAutospacing="0" w:line="276" w:lineRule="auto"/>
      <w:outlineLvl w:val="9"/>
    </w:pPr>
    <w:rPr>
      <w:rFonts w:hint="default" w:asciiTheme="majorHAnsi" w:hAnsiTheme="majorHAnsi" w:eastAsiaTheme="majorEastAsia" w:cstheme="majorBidi"/>
      <w:bCs/>
      <w:color w:val="376092" w:themeColor="accent1" w:themeShade="BF"/>
      <w:kern w:val="0"/>
      <w:sz w:val="28"/>
      <w:szCs w:val="28"/>
    </w:rPr>
  </w:style>
  <w:style w:type="paragraph" w:customStyle="1" w:styleId="35">
    <w:name w:val="WPSOffice手动目录 1"/>
    <w:qFormat/>
    <w:uiPriority w:val="0"/>
    <w:pPr>
      <w:ind w:leftChars="0"/>
    </w:pPr>
    <w:rPr>
      <w:rFonts w:asciiTheme="minorHAnsi" w:hAnsiTheme="minorHAnsi" w:eastAsiaTheme="minorEastAsia" w:cstheme="minorBidi"/>
      <w:sz w:val="20"/>
      <w:szCs w:val="20"/>
    </w:rPr>
  </w:style>
  <w:style w:type="paragraph" w:styleId="36">
    <w:name w:val="List Paragraph"/>
    <w:basedOn w:val="1"/>
    <w:qFormat/>
    <w:uiPriority w:val="34"/>
    <w:pPr>
      <w:ind w:firstLine="420" w:firstLineChars="200"/>
    </w:pPr>
  </w:style>
  <w:style w:type="paragraph" w:customStyle="1" w:styleId="37">
    <w:name w:val="Body text|1"/>
    <w:basedOn w:val="1"/>
    <w:qFormat/>
    <w:uiPriority w:val="0"/>
    <w:pPr>
      <w:widowControl w:val="0"/>
      <w:shd w:val="clear" w:color="auto" w:fill="auto"/>
      <w:spacing w:line="329" w:lineRule="auto"/>
      <w:ind w:firstLine="400"/>
    </w:pPr>
    <w:rPr>
      <w:rFonts w:ascii="宋体" w:hAnsi="宋体" w:eastAsia="宋体" w:cs="宋体"/>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3DF80-32D0-48B6-BDC2-042DA4015297}">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17</Pages>
  <Words>8393</Words>
  <Characters>8791</Characters>
  <Lines>90</Lines>
  <Paragraphs>25</Paragraphs>
  <TotalTime>5</TotalTime>
  <ScaleCrop>false</ScaleCrop>
  <LinksUpToDate>false</LinksUpToDate>
  <CharactersWithSpaces>8968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2014-04-21T00:28:00Z</dcterms:created>
  <dc:creator>中兴科技</dc:creator>
  <cp:lastModifiedBy>晨曦</cp:lastModifiedBy>
  <cp:lastPrinted>2022-10-28T01:18:00Z</cp:lastPrinted>
  <dcterms:modified xsi:type="dcterms:W3CDTF">2023-11-07T08:31:16Z</dcterms:modified>
  <dc:title>审 计 报 告</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AA9140AAE1504A9893CA11E9B8F00E6C</vt:lpwstr>
  </property>
</Properties>
</file>