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曲阳县妇女联合会</w:t>
      </w:r>
      <w:r>
        <w:rPr>
          <w:rFonts w:ascii="Times New Roman" w:hAnsi="Times New Roman" w:eastAsia="方正小标宋_GBK" w:cs="Times New Roman"/>
          <w:color w:val="auto"/>
          <w:sz w:val="44"/>
          <w:szCs w:val="44"/>
        </w:rPr>
        <w:t>2019年部门预算信息公开</w:t>
      </w:r>
    </w:p>
    <w:p>
      <w:pPr>
        <w:ind w:firstLine="640" w:firstLineChars="200"/>
        <w:contextualSpacing/>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中华人民共和国</w:t>
      </w:r>
      <w:bookmarkStart w:id="4" w:name="_GoBack"/>
      <w:bookmarkEnd w:id="4"/>
      <w:r>
        <w:rPr>
          <w:rFonts w:hint="eastAsia" w:ascii="仿宋" w:hAnsi="仿宋" w:eastAsia="仿宋" w:cs="Times New Roman"/>
          <w:color w:val="auto"/>
          <w:sz w:val="32"/>
          <w:szCs w:val="32"/>
        </w:rPr>
        <w:t>预算法》、</w:t>
      </w:r>
      <w:r>
        <w:rPr>
          <w:rFonts w:ascii="仿宋" w:hAnsi="仿宋" w:eastAsia="仿宋" w:cs="Times New Roman"/>
          <w:color w:val="auto"/>
          <w:sz w:val="32"/>
          <w:szCs w:val="32"/>
        </w:rPr>
        <w:t>《地方预决算公开操作规程》和《河北省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将曲阳县妇女联合会</w:t>
      </w:r>
      <w:r>
        <w:rPr>
          <w:rFonts w:ascii="仿宋" w:hAnsi="仿宋" w:eastAsia="仿宋" w:cs="Times New Roman"/>
          <w:color w:val="auto"/>
          <w:sz w:val="32"/>
          <w:szCs w:val="32"/>
        </w:rPr>
        <w:t>2019年部门预算公开如下：</w:t>
      </w:r>
    </w:p>
    <w:p>
      <w:pPr>
        <w:ind w:firstLine="640"/>
        <w:contextualSpacing/>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4"/>
        <w:widowControl/>
        <w:spacing w:before="156" w:beforeLines="50" w:line="560" w:lineRule="exact"/>
        <w:ind w:firstLine="643" w:firstLineChars="200"/>
        <w:contextualSpacing/>
        <w:rPr>
          <w:rFonts w:hint="eastAsia" w:ascii="仿宋" w:hAnsi="仿宋" w:eastAsia="仿宋" w:cs="仿宋_GB2312"/>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仿宋_GB2312"/>
          <w:color w:val="auto"/>
          <w:sz w:val="32"/>
          <w:szCs w:val="32"/>
        </w:rPr>
        <w:t>根据中共曲阳县委办公室、曲阳县人民政府办公室关于印发《曲阳县妇女联合会职能配置和人员编制规定》的通知（曲办字[2002]55号），现将我单位概况说明如下：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beforeLines="50" w:line="560" w:lineRule="exact"/>
        <w:ind w:firstLine="555"/>
        <w:contextualSpacing/>
        <w:rPr>
          <w:rFonts w:hint="eastAsia" w:ascii="仿宋" w:hAnsi="仿宋" w:eastAsia="仿宋"/>
          <w:bCs/>
          <w:color w:val="auto"/>
          <w:sz w:val="32"/>
        </w:rPr>
      </w:pPr>
      <w:r>
        <w:rPr>
          <w:rFonts w:hint="eastAsia" w:ascii="仿宋" w:hAnsi="仿宋" w:eastAsia="仿宋"/>
          <w:bCs/>
          <w:color w:val="auto"/>
          <w:sz w:val="32"/>
        </w:rPr>
        <w:t>曲阳县妇女联合会是党领导下的全县各族各界妇女的群众团体组织，是党和政府联系妇女群众的桥梁和纽带，是国家政权的重要社会支柱之一。机关主要职责是：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beforeLines="50" w:line="560" w:lineRule="exact"/>
        <w:ind w:firstLine="555"/>
        <w:contextualSpacing/>
        <w:rPr>
          <w:rFonts w:hint="eastAsia" w:ascii="仿宋" w:hAnsi="仿宋" w:eastAsia="仿宋"/>
          <w:color w:val="auto"/>
          <w:sz w:val="32"/>
          <w:szCs w:val="32"/>
        </w:rPr>
      </w:pPr>
      <w:r>
        <w:rPr>
          <w:rFonts w:hint="eastAsia" w:ascii="仿宋" w:hAnsi="仿宋" w:eastAsia="仿宋"/>
          <w:color w:val="auto"/>
          <w:sz w:val="32"/>
        </w:rPr>
        <w:t>（一）紧密围绕县委、县政府的中心任务开展工作，团结动员和组织妇女群众投身改革开放和社会主义物质文明、精神文明建设，积极促进本县经济发展和社会进步，为维护改革、发展、稳定的大局服务。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beforeLines="50" w:line="560" w:lineRule="exact"/>
        <w:ind w:firstLine="555"/>
        <w:contextualSpacing/>
        <w:rPr>
          <w:rFonts w:hint="eastAsia" w:ascii="仿宋" w:hAnsi="仿宋" w:eastAsia="仿宋"/>
          <w:color w:val="auto"/>
          <w:sz w:val="32"/>
          <w:szCs w:val="32"/>
        </w:rPr>
      </w:pPr>
      <w:r>
        <w:rPr>
          <w:rFonts w:hint="eastAsia" w:ascii="仿宋" w:hAnsi="仿宋" w:eastAsia="仿宋"/>
          <w:color w:val="auto"/>
          <w:sz w:val="32"/>
        </w:rPr>
        <w:t>（二）宣传马克思主义妇女观和男女平等基本国策，教育、引导妇女树立正确的世界观、人生观、价值观，弘扬“自尊、自信、自立、自强”的精神，积极推动和开展对妇女的科技文化及生产劳动的技能教育，全面提高妇女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beforeLines="50" w:line="560" w:lineRule="exact"/>
        <w:ind w:firstLine="555"/>
        <w:contextualSpacing/>
        <w:rPr>
          <w:rFonts w:hint="eastAsia" w:ascii="仿宋" w:hAnsi="仿宋" w:eastAsia="仿宋"/>
          <w:color w:val="auto"/>
          <w:sz w:val="32"/>
        </w:rPr>
      </w:pPr>
      <w:r>
        <w:rPr>
          <w:rFonts w:hint="eastAsia" w:ascii="仿宋" w:hAnsi="仿宋" w:eastAsia="仿宋"/>
          <w:color w:val="auto"/>
          <w:sz w:val="32"/>
        </w:rPr>
        <w:t>（三）代表妇女参与国家和社会事务的民主管理和民主监督；关注并加强研究涉及妇女切身利益的热点、难点问题，及时向县委和县政府反映社情民意，提出对策建议；参与有关妇女儿童政策和法律、法规草案的拟定、维护妇女儿童合法权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beforeLines="50" w:line="560" w:lineRule="exact"/>
        <w:ind w:firstLine="555"/>
        <w:contextualSpacing/>
        <w:rPr>
          <w:rFonts w:hint="eastAsia" w:ascii="仿宋" w:hAnsi="仿宋" w:eastAsia="仿宋"/>
          <w:color w:val="auto"/>
          <w:sz w:val="32"/>
          <w:szCs w:val="32"/>
        </w:rPr>
      </w:pPr>
      <w:r>
        <w:rPr>
          <w:rFonts w:hint="eastAsia" w:ascii="仿宋" w:hAnsi="仿宋" w:eastAsia="仿宋"/>
          <w:color w:val="auto"/>
          <w:sz w:val="32"/>
        </w:rPr>
        <w:t>（四）加强与社会各界的联系，协调推动全社会为妇女儿童办实事、办好事。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beforeLines="50" w:line="560" w:lineRule="exact"/>
        <w:ind w:firstLine="555"/>
        <w:contextualSpacing/>
        <w:rPr>
          <w:rFonts w:hint="eastAsia" w:ascii="仿宋" w:hAnsi="仿宋" w:eastAsia="仿宋"/>
          <w:color w:val="auto"/>
          <w:sz w:val="32"/>
        </w:rPr>
      </w:pPr>
      <w:r>
        <w:rPr>
          <w:rFonts w:hint="eastAsia" w:ascii="仿宋" w:hAnsi="仿宋" w:eastAsia="仿宋"/>
          <w:color w:val="auto"/>
          <w:sz w:val="32"/>
        </w:rPr>
        <w:t>（五）指导乡妇联依据</w:t>
      </w:r>
      <w:r>
        <w:rPr>
          <w:rFonts w:hint="eastAsia" w:ascii="仿宋" w:hAnsi="仿宋" w:eastAsia="仿宋" w:cs="仿宋_GB2312"/>
          <w:color w:val="auto"/>
          <w:sz w:val="32"/>
          <w:szCs w:val="32"/>
        </w:rPr>
        <w:t>《中华全国妇女联合会</w:t>
      </w:r>
      <w:r>
        <w:rPr>
          <w:rFonts w:hint="eastAsia" w:ascii="仿宋" w:hAnsi="仿宋" w:eastAsia="仿宋"/>
          <w:color w:val="auto"/>
          <w:sz w:val="32"/>
        </w:rPr>
        <w:t>章程</w:t>
      </w:r>
      <w:r>
        <w:rPr>
          <w:rFonts w:hint="eastAsia" w:ascii="仿宋" w:hAnsi="仿宋" w:eastAsia="仿宋" w:cs="仿宋_GB2312"/>
          <w:color w:val="auto"/>
          <w:sz w:val="32"/>
          <w:szCs w:val="32"/>
        </w:rPr>
        <w:t>》和妇女代表大会的任务</w:t>
      </w:r>
      <w:r>
        <w:rPr>
          <w:rFonts w:hint="eastAsia" w:ascii="仿宋" w:hAnsi="仿宋" w:eastAsia="仿宋"/>
          <w:color w:val="auto"/>
          <w:sz w:val="32"/>
        </w:rPr>
        <w:t>开展妇女儿童工作，联系团体会员并给与工作指导；建立与各族各界妇女的联系，巩固和扩大同各族各界妇女的团结，积极开展妇女的联络、联谊工作，促进祖国统一大业。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beforeLines="50" w:line="560" w:lineRule="exact"/>
        <w:ind w:firstLine="555"/>
        <w:contextualSpacing/>
        <w:rPr>
          <w:rFonts w:hint="eastAsia" w:ascii="仿宋" w:hAnsi="仿宋" w:eastAsia="仿宋"/>
          <w:color w:val="auto"/>
          <w:sz w:val="32"/>
          <w:szCs w:val="32"/>
        </w:rPr>
      </w:pPr>
      <w:r>
        <w:rPr>
          <w:rFonts w:hint="eastAsia" w:ascii="仿宋" w:hAnsi="仿宋" w:eastAsia="仿宋"/>
          <w:color w:val="auto"/>
          <w:sz w:val="32"/>
        </w:rPr>
        <w:t>（六）承担曲阳县妇女儿童工作委员会办公室的日常工作。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56" w:beforeLines="50" w:line="560" w:lineRule="exact"/>
        <w:ind w:firstLine="555"/>
        <w:contextualSpacing/>
        <w:rPr>
          <w:rFonts w:hint="eastAsia" w:ascii="仿宋" w:hAnsi="仿宋" w:eastAsia="仿宋"/>
          <w:color w:val="auto"/>
          <w:sz w:val="32"/>
          <w:szCs w:val="32"/>
        </w:rPr>
      </w:pPr>
      <w:r>
        <w:rPr>
          <w:rFonts w:hint="eastAsia" w:ascii="仿宋" w:hAnsi="仿宋" w:eastAsia="仿宋"/>
          <w:color w:val="auto"/>
          <w:sz w:val="32"/>
        </w:rPr>
        <w:t>（七）承办县委、县政府交办的其他事项。</w:t>
      </w:r>
    </w:p>
    <w:p>
      <w:pPr>
        <w:ind w:firstLine="640"/>
        <w:contextualSpacing/>
        <w:rPr>
          <w:rFonts w:hint="eastAsia"/>
          <w:color w:val="auto"/>
        </w:rPr>
      </w:pPr>
    </w:p>
    <w:p>
      <w:pPr>
        <w:ind w:firstLine="643" w:firstLineChars="200"/>
        <w:contextualSpacing/>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tbl>
      <w:tblPr>
        <w:tblStyle w:val="7"/>
        <w:tblW w:w="9796" w:type="dxa"/>
        <w:jc w:val="center"/>
        <w:tblInd w:w="0"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jc w:val="center"/>
        </w:trPr>
        <w:tc>
          <w:tcPr>
            <w:tcW w:w="9796" w:type="dxa"/>
            <w:gridSpan w:val="5"/>
            <w:tcBorders>
              <w:top w:val="nil"/>
              <w:left w:val="nil"/>
              <w:bottom w:val="single" w:color="auto" w:sz="4" w:space="0"/>
              <w:right w:val="nil"/>
            </w:tcBorders>
            <w:vAlign w:val="center"/>
          </w:tcPr>
          <w:p>
            <w:pPr>
              <w:widowControl/>
              <w:contextualSpacing/>
              <w:jc w:val="cente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部门机构设置情况</w:t>
            </w:r>
          </w:p>
        </w:tc>
      </w:tr>
      <w:tr>
        <w:tblPrEx>
          <w:tblLayout w:type="fixed"/>
          <w:tblCellMar>
            <w:top w:w="0" w:type="dxa"/>
            <w:left w:w="108" w:type="dxa"/>
            <w:bottom w:w="0" w:type="dxa"/>
            <w:right w:w="108" w:type="dxa"/>
          </w:tblCellMar>
        </w:tblPrEx>
        <w:trPr>
          <w:trHeight w:val="720"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单位规格</w:t>
            </w:r>
          </w:p>
        </w:tc>
        <w:tc>
          <w:tcPr>
            <w:tcW w:w="2376" w:type="dxa"/>
            <w:vMerge w:val="restart"/>
            <w:tcBorders>
              <w:top w:val="nil"/>
              <w:left w:val="single" w:color="auto" w:sz="4" w:space="0"/>
              <w:bottom w:val="single" w:color="000000"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经费保障形式</w:t>
            </w:r>
          </w:p>
        </w:tc>
      </w:tr>
      <w:tr>
        <w:tblPrEx>
          <w:tblLayout w:type="fixed"/>
          <w:tblCellMar>
            <w:top w:w="0" w:type="dxa"/>
            <w:left w:w="108" w:type="dxa"/>
            <w:bottom w:w="0" w:type="dxa"/>
            <w:right w:w="108" w:type="dxa"/>
          </w:tblCellMar>
        </w:tblPrEx>
        <w:trPr>
          <w:trHeight w:val="31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contextualSpacing/>
              <w:jc w:val="left"/>
              <w:rPr>
                <w:rFonts w:hint="eastAsia" w:ascii="仿宋" w:hAnsi="仿宋" w:eastAsia="仿宋" w:cs="宋体"/>
                <w:color w:val="auto"/>
                <w:kern w:val="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contextualSpacing/>
              <w:jc w:val="left"/>
              <w:rPr>
                <w:rFonts w:hint="eastAsia" w:ascii="仿宋" w:hAnsi="仿宋" w:eastAsia="仿宋" w:cs="宋体"/>
                <w:color w:val="auto"/>
                <w:kern w:val="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contextualSpacing/>
              <w:jc w:val="left"/>
              <w:rPr>
                <w:rFonts w:hint="eastAsia" w:ascii="仿宋" w:hAnsi="仿宋" w:eastAsia="仿宋" w:cs="宋体"/>
                <w:color w:val="auto"/>
                <w:kern w:val="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contextualSpacing/>
              <w:jc w:val="left"/>
              <w:rPr>
                <w:rFonts w:hint="eastAsia" w:ascii="仿宋" w:hAnsi="仿宋" w:eastAsia="仿宋" w:cs="宋体"/>
                <w:color w:val="auto"/>
                <w:kern w:val="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contextualSpacing/>
              <w:jc w:val="left"/>
              <w:rPr>
                <w:rFonts w:hint="eastAsia" w:ascii="仿宋" w:hAnsi="仿宋" w:eastAsia="仿宋" w:cs="宋体"/>
                <w:color w:val="auto"/>
                <w:kern w:val="0"/>
                <w:sz w:val="24"/>
                <w:szCs w:val="24"/>
              </w:rPr>
            </w:pPr>
          </w:p>
        </w:tc>
      </w:tr>
      <w:tr>
        <w:tblPrEx>
          <w:tblLayout w:type="fixed"/>
          <w:tblCellMar>
            <w:top w:w="0" w:type="dxa"/>
            <w:left w:w="108" w:type="dxa"/>
            <w:bottom w:w="0" w:type="dxa"/>
            <w:right w:w="108" w:type="dxa"/>
          </w:tblCellMar>
        </w:tblPrEx>
        <w:trPr>
          <w:trHeight w:val="869" w:hRule="atLeast"/>
          <w:jc w:val="center"/>
        </w:trPr>
        <w:tc>
          <w:tcPr>
            <w:tcW w:w="1080" w:type="dxa"/>
            <w:tcBorders>
              <w:top w:val="nil"/>
              <w:left w:val="single" w:color="auto" w:sz="4" w:space="0"/>
              <w:bottom w:val="single" w:color="auto"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2320" w:type="dxa"/>
            <w:tcBorders>
              <w:top w:val="nil"/>
              <w:left w:val="nil"/>
              <w:bottom w:val="single" w:color="auto" w:sz="4" w:space="0"/>
              <w:right w:val="single" w:color="auto" w:sz="4" w:space="0"/>
            </w:tcBorders>
            <w:vAlign w:val="center"/>
          </w:tcPr>
          <w:p>
            <w:pPr>
              <w:widowControl/>
              <w:contextualSpacing/>
              <w:jc w:val="center"/>
              <w:rPr>
                <w:rFonts w:hint="eastAsia" w:ascii="仿宋" w:hAnsi="仿宋" w:eastAsia="仿宋"/>
                <w:color w:val="auto"/>
                <w:sz w:val="24"/>
                <w:szCs w:val="24"/>
              </w:rPr>
            </w:pPr>
            <w:r>
              <w:rPr>
                <w:rFonts w:hint="eastAsia" w:ascii="仿宋" w:hAnsi="仿宋" w:eastAsia="仿宋"/>
                <w:color w:val="auto"/>
                <w:sz w:val="24"/>
                <w:szCs w:val="24"/>
              </w:rPr>
              <w:t>曲阳县妇女联合会</w:t>
            </w:r>
          </w:p>
        </w:tc>
        <w:tc>
          <w:tcPr>
            <w:tcW w:w="2120" w:type="dxa"/>
            <w:tcBorders>
              <w:top w:val="nil"/>
              <w:left w:val="nil"/>
              <w:bottom w:val="single" w:color="auto"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行政</w:t>
            </w:r>
          </w:p>
        </w:tc>
        <w:tc>
          <w:tcPr>
            <w:tcW w:w="1900" w:type="dxa"/>
            <w:tcBorders>
              <w:top w:val="nil"/>
              <w:left w:val="nil"/>
              <w:bottom w:val="single" w:color="auto"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正科级</w:t>
            </w:r>
          </w:p>
        </w:tc>
        <w:tc>
          <w:tcPr>
            <w:tcW w:w="2376" w:type="dxa"/>
            <w:tcBorders>
              <w:top w:val="nil"/>
              <w:left w:val="nil"/>
              <w:bottom w:val="single" w:color="auto" w:sz="4" w:space="0"/>
              <w:right w:val="single" w:color="auto" w:sz="4" w:space="0"/>
            </w:tcBorders>
            <w:vAlign w:val="center"/>
          </w:tcPr>
          <w:p>
            <w:pPr>
              <w:widowControl/>
              <w:contextualSpacing/>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财政拨款</w:t>
            </w:r>
          </w:p>
        </w:tc>
      </w:tr>
    </w:tbl>
    <w:p>
      <w:pPr>
        <w:contextualSpacing/>
        <w:outlineLvl w:val="0"/>
        <w:rPr>
          <w:rFonts w:hint="eastAsia" w:ascii="仿宋" w:hAnsi="仿宋" w:eastAsia="仿宋"/>
          <w:b/>
          <w:color w:val="auto"/>
          <w:sz w:val="32"/>
        </w:rPr>
      </w:pPr>
    </w:p>
    <w:p>
      <w:pPr>
        <w:contextualSpacing/>
        <w:rPr>
          <w:rFonts w:hint="eastAsia"/>
          <w:color w:val="auto"/>
        </w:rPr>
      </w:pPr>
    </w:p>
    <w:p>
      <w:pPr>
        <w:ind w:firstLine="640"/>
        <w:contextualSpacing/>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contextualSpacing/>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r>
        <w:rPr>
          <w:rFonts w:hint="eastAsia" w:ascii="Times New Roman" w:hAnsi="Times New Roman" w:eastAsia="仿宋" w:cs="Times New Roman"/>
          <w:color w:val="auto"/>
          <w:sz w:val="32"/>
          <w:szCs w:val="32"/>
        </w:rPr>
        <w:t>曲阳县妇女联合会</w:t>
      </w:r>
      <w:r>
        <w:rPr>
          <w:rFonts w:ascii="Times New Roman" w:hAnsi="Times New Roman" w:eastAsia="仿宋" w:cs="Times New Roman"/>
          <w:color w:val="auto"/>
          <w:sz w:val="32"/>
          <w:szCs w:val="32"/>
        </w:rPr>
        <w:t>的收支包含在部门预算中。</w:t>
      </w:r>
    </w:p>
    <w:p>
      <w:pPr>
        <w:ind w:firstLine="640"/>
        <w:contextualSpacing/>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contextualSpacing/>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w:t>
      </w:r>
      <w:r>
        <w:rPr>
          <w:rFonts w:ascii="Times New Roman" w:hAnsi="Times New Roman" w:eastAsia="仿宋" w:cs="Times New Roman"/>
          <w:color w:val="auto"/>
          <w:sz w:val="32"/>
          <w:szCs w:val="32"/>
        </w:rPr>
        <w:t>9</w:t>
      </w:r>
      <w:r>
        <w:rPr>
          <w:rFonts w:hint="eastAsia" w:ascii="Times New Roman" w:hAnsi="Times New Roman" w:eastAsia="仿宋" w:cs="Times New Roman"/>
          <w:color w:val="auto"/>
          <w:sz w:val="32"/>
          <w:szCs w:val="32"/>
        </w:rPr>
        <w:t>年预算收入</w:t>
      </w:r>
      <w:r>
        <w:rPr>
          <w:rFonts w:ascii="Times New Roman" w:hAnsi="Times New Roman" w:eastAsia="仿宋" w:cs="Times New Roman"/>
          <w:color w:val="auto"/>
          <w:sz w:val="32"/>
          <w:szCs w:val="32"/>
        </w:rPr>
        <w:t>65.93</w:t>
      </w:r>
      <w:r>
        <w:rPr>
          <w:rFonts w:hint="eastAsia" w:ascii="Times New Roman" w:hAnsi="Times New Roman" w:eastAsia="仿宋" w:cs="Times New Roman"/>
          <w:color w:val="auto"/>
          <w:sz w:val="32"/>
          <w:szCs w:val="32"/>
        </w:rPr>
        <w:t>万元，其中：一般公共预算收入</w:t>
      </w:r>
      <w:r>
        <w:rPr>
          <w:rFonts w:ascii="Times New Roman" w:hAnsi="Times New Roman" w:eastAsia="仿宋" w:cs="Times New Roman"/>
          <w:color w:val="auto"/>
          <w:sz w:val="32"/>
          <w:szCs w:val="32"/>
        </w:rPr>
        <w:t>65.93</w:t>
      </w:r>
      <w:r>
        <w:rPr>
          <w:rFonts w:hint="eastAsia" w:ascii="Times New Roman" w:hAnsi="Times New Roman" w:eastAsia="仿宋" w:cs="Times New Roman"/>
          <w:color w:val="auto"/>
          <w:sz w:val="32"/>
          <w:szCs w:val="32"/>
        </w:rPr>
        <w:t>万元，基金预算收入0万元，财政专户核拨收入0万元，其他来源收入0万元。</w:t>
      </w:r>
    </w:p>
    <w:p>
      <w:pPr>
        <w:ind w:firstLine="640"/>
        <w:contextualSpacing/>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contextualSpacing/>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收支预算总表支出栏、基本支出表、项目支出表按经济分类和支出功能分类科目编制，反映曲阳县妇女联合会年度部门预算中支出预算的总体情况。201</w:t>
      </w:r>
      <w:r>
        <w:rPr>
          <w:rFonts w:ascii="Times New Roman" w:hAnsi="Times New Roman" w:eastAsia="仿宋" w:cs="Times New Roman"/>
          <w:color w:val="auto"/>
          <w:sz w:val="32"/>
          <w:szCs w:val="32"/>
        </w:rPr>
        <w:t>9</w:t>
      </w:r>
      <w:r>
        <w:rPr>
          <w:rFonts w:hint="eastAsia" w:ascii="Times New Roman" w:hAnsi="Times New Roman" w:eastAsia="仿宋" w:cs="Times New Roman"/>
          <w:color w:val="auto"/>
          <w:sz w:val="32"/>
          <w:szCs w:val="32"/>
        </w:rPr>
        <w:t>年部门支出预算为</w:t>
      </w:r>
      <w:r>
        <w:rPr>
          <w:rFonts w:ascii="Times New Roman" w:hAnsi="Times New Roman" w:eastAsia="仿宋" w:cs="Times New Roman"/>
          <w:color w:val="auto"/>
          <w:sz w:val="32"/>
          <w:szCs w:val="32"/>
        </w:rPr>
        <w:t>65.93</w:t>
      </w:r>
      <w:r>
        <w:rPr>
          <w:rFonts w:hint="eastAsia" w:ascii="Times New Roman" w:hAnsi="Times New Roman" w:eastAsia="仿宋" w:cs="Times New Roman"/>
          <w:color w:val="auto"/>
          <w:sz w:val="32"/>
          <w:szCs w:val="32"/>
        </w:rPr>
        <w:t>万元，其中基本支出</w:t>
      </w:r>
      <w:r>
        <w:rPr>
          <w:rFonts w:ascii="Times New Roman" w:hAnsi="Times New Roman" w:eastAsia="仿宋" w:cs="Times New Roman"/>
          <w:color w:val="auto"/>
          <w:sz w:val="32"/>
          <w:szCs w:val="32"/>
        </w:rPr>
        <w:t>60.93</w:t>
      </w:r>
      <w:r>
        <w:rPr>
          <w:rFonts w:hint="eastAsia" w:ascii="Times New Roman" w:hAnsi="Times New Roman" w:eastAsia="仿宋" w:cs="Times New Roman"/>
          <w:color w:val="auto"/>
          <w:sz w:val="32"/>
          <w:szCs w:val="32"/>
        </w:rPr>
        <w:t>万元，包括人员经费</w:t>
      </w:r>
      <w:r>
        <w:rPr>
          <w:rFonts w:ascii="Times New Roman" w:hAnsi="Times New Roman" w:eastAsia="仿宋" w:cs="Times New Roman"/>
          <w:color w:val="auto"/>
          <w:sz w:val="32"/>
          <w:szCs w:val="32"/>
        </w:rPr>
        <w:t>53.57</w:t>
      </w:r>
      <w:r>
        <w:rPr>
          <w:rFonts w:hint="eastAsia" w:ascii="Times New Roman" w:hAnsi="Times New Roman" w:eastAsia="仿宋" w:cs="Times New Roman"/>
          <w:color w:val="auto"/>
          <w:sz w:val="32"/>
          <w:szCs w:val="32"/>
        </w:rPr>
        <w:t>万元和日常公用经费</w:t>
      </w:r>
      <w:r>
        <w:rPr>
          <w:rFonts w:ascii="Times New Roman" w:hAnsi="Times New Roman" w:eastAsia="仿宋" w:cs="Times New Roman"/>
          <w:color w:val="auto"/>
          <w:sz w:val="32"/>
          <w:szCs w:val="32"/>
        </w:rPr>
        <w:t>7.36</w:t>
      </w:r>
      <w:r>
        <w:rPr>
          <w:rFonts w:hint="eastAsia" w:ascii="Times New Roman" w:hAnsi="Times New Roman" w:eastAsia="仿宋" w:cs="Times New Roman"/>
          <w:color w:val="auto"/>
          <w:sz w:val="32"/>
          <w:szCs w:val="32"/>
        </w:rPr>
        <w:t>万元；项目支出</w:t>
      </w:r>
      <w:r>
        <w:rPr>
          <w:rFonts w:ascii="Times New Roman" w:hAnsi="Times New Roman" w:eastAsia="仿宋" w:cs="Times New Roman"/>
          <w:color w:val="auto"/>
          <w:sz w:val="32"/>
          <w:szCs w:val="32"/>
        </w:rPr>
        <w:t>5</w:t>
      </w:r>
      <w:r>
        <w:rPr>
          <w:rFonts w:hint="eastAsia" w:ascii="Times New Roman" w:hAnsi="Times New Roman" w:eastAsia="仿宋" w:cs="Times New Roman"/>
          <w:color w:val="auto"/>
          <w:sz w:val="32"/>
          <w:szCs w:val="32"/>
        </w:rPr>
        <w:t>万元，主要为县妇联“三八”妇女节系列庆祝活动</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万元，县妇联妇女之家建设2万元。</w:t>
      </w:r>
    </w:p>
    <w:p>
      <w:pPr>
        <w:ind w:firstLine="640"/>
        <w:contextualSpacing/>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contextualSpacing/>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ascii="Times New Roman" w:hAnsi="Times New Roman" w:eastAsia="仿宋" w:cs="Times New Roman"/>
          <w:color w:val="auto"/>
          <w:sz w:val="32"/>
          <w:szCs w:val="32"/>
        </w:rPr>
        <w:t>9</w:t>
      </w:r>
      <w:r>
        <w:rPr>
          <w:rFonts w:hint="eastAsia" w:ascii="Times New Roman" w:hAnsi="Times New Roman" w:eastAsia="仿宋" w:cs="Times New Roman"/>
          <w:color w:val="auto"/>
          <w:sz w:val="32"/>
          <w:szCs w:val="32"/>
        </w:rPr>
        <w:t>年，部门预算收支安排</w:t>
      </w:r>
      <w:r>
        <w:rPr>
          <w:rFonts w:ascii="Times New Roman" w:hAnsi="Times New Roman" w:eastAsia="仿宋" w:cs="Times New Roman"/>
          <w:color w:val="auto"/>
          <w:sz w:val="32"/>
          <w:szCs w:val="32"/>
        </w:rPr>
        <w:t>65.93</w:t>
      </w:r>
      <w:r>
        <w:rPr>
          <w:rFonts w:hint="eastAsia" w:ascii="Times New Roman" w:hAnsi="Times New Roman" w:eastAsia="仿宋" w:cs="Times New Roman"/>
          <w:color w:val="auto"/>
          <w:sz w:val="32"/>
          <w:szCs w:val="32"/>
        </w:rPr>
        <w:t>万元，较201</w:t>
      </w:r>
      <w:r>
        <w:rPr>
          <w:rFonts w:ascii="Times New Roman" w:hAnsi="Times New Roman" w:eastAsia="仿宋" w:cs="Times New Roman"/>
          <w:color w:val="auto"/>
          <w:sz w:val="32"/>
          <w:szCs w:val="32"/>
        </w:rPr>
        <w:t>8</w:t>
      </w:r>
      <w:r>
        <w:rPr>
          <w:rFonts w:hint="eastAsia" w:ascii="Times New Roman" w:hAnsi="Times New Roman" w:eastAsia="仿宋" w:cs="Times New Roman"/>
          <w:color w:val="auto"/>
          <w:sz w:val="32"/>
          <w:szCs w:val="32"/>
        </w:rPr>
        <w:t>年增长</w:t>
      </w:r>
      <w:r>
        <w:rPr>
          <w:rFonts w:ascii="Times New Roman" w:hAnsi="Times New Roman" w:eastAsia="仿宋" w:cs="Times New Roman"/>
          <w:color w:val="auto"/>
          <w:sz w:val="32"/>
          <w:szCs w:val="32"/>
        </w:rPr>
        <w:t>13.21</w:t>
      </w:r>
      <w:r>
        <w:rPr>
          <w:rFonts w:hint="eastAsia" w:ascii="Times New Roman" w:hAnsi="Times New Roman" w:eastAsia="仿宋" w:cs="Times New Roman"/>
          <w:color w:val="auto"/>
          <w:sz w:val="32"/>
          <w:szCs w:val="32"/>
        </w:rPr>
        <w:t>万元，其中：基本支出增长</w:t>
      </w:r>
      <w:r>
        <w:rPr>
          <w:rFonts w:ascii="Times New Roman" w:hAnsi="Times New Roman" w:eastAsia="仿宋" w:cs="Times New Roman"/>
          <w:color w:val="auto"/>
          <w:sz w:val="32"/>
          <w:szCs w:val="32"/>
        </w:rPr>
        <w:t>13.21</w:t>
      </w:r>
      <w:r>
        <w:rPr>
          <w:rFonts w:hint="eastAsia" w:ascii="Times New Roman" w:hAnsi="Times New Roman" w:eastAsia="仿宋" w:cs="Times New Roman"/>
          <w:color w:val="auto"/>
          <w:sz w:val="32"/>
          <w:szCs w:val="32"/>
        </w:rPr>
        <w:t>万元，主要是增加人员经费；项目支出与去年持平。</w:t>
      </w:r>
    </w:p>
    <w:p>
      <w:pPr>
        <w:autoSpaceDE w:val="0"/>
        <w:autoSpaceDN w:val="0"/>
        <w:adjustRightInd w:val="0"/>
        <w:ind w:firstLine="960" w:firstLineChars="300"/>
        <w:contextualSpacing/>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contextualSpacing/>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ascii="Times New Roman" w:hAnsi="Times New Roman" w:eastAsia="仿宋" w:cs="Times New Roman"/>
          <w:color w:val="auto"/>
          <w:sz w:val="32"/>
          <w:szCs w:val="32"/>
        </w:rPr>
        <w:t>9</w:t>
      </w:r>
      <w:r>
        <w:rPr>
          <w:rFonts w:hint="eastAsia" w:ascii="Times New Roman" w:hAnsi="Times New Roman" w:eastAsia="仿宋" w:cs="Times New Roman"/>
          <w:color w:val="auto"/>
          <w:sz w:val="32"/>
          <w:szCs w:val="32"/>
        </w:rPr>
        <w:t>年，我部门机关运行经费共计安排</w:t>
      </w:r>
      <w:r>
        <w:rPr>
          <w:rFonts w:ascii="Times New Roman" w:hAnsi="Times New Roman" w:eastAsia="仿宋" w:cs="Times New Roman"/>
          <w:color w:val="auto"/>
          <w:sz w:val="32"/>
          <w:szCs w:val="32"/>
        </w:rPr>
        <w:t>7.36</w:t>
      </w:r>
      <w:r>
        <w:rPr>
          <w:rFonts w:hint="eastAsia" w:ascii="Times New Roman" w:hAnsi="Times New Roman" w:eastAsia="仿宋" w:cs="Times New Roman"/>
          <w:color w:val="auto"/>
          <w:sz w:val="32"/>
          <w:szCs w:val="32"/>
        </w:rPr>
        <w:t>元，主要用于保证机关正常运转的办公费、邮电费、差旅费、福利费等支出。</w:t>
      </w:r>
    </w:p>
    <w:p>
      <w:pPr>
        <w:autoSpaceDE w:val="0"/>
        <w:autoSpaceDN w:val="0"/>
        <w:adjustRightInd w:val="0"/>
        <w:ind w:left="198" w:firstLine="640" w:firstLineChars="200"/>
        <w:contextualSpacing/>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contextualSpacing/>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ascii="Times New Roman" w:hAnsi="Times New Roman" w:eastAsia="仿宋" w:cs="Times New Roman"/>
          <w:color w:val="auto"/>
          <w:sz w:val="32"/>
          <w:szCs w:val="32"/>
        </w:rPr>
        <w:t>9</w:t>
      </w:r>
      <w:r>
        <w:rPr>
          <w:rFonts w:hint="eastAsia" w:ascii="Times New Roman" w:hAnsi="Times New Roman" w:eastAsia="仿宋" w:cs="Times New Roman"/>
          <w:color w:val="auto"/>
          <w:sz w:val="32"/>
          <w:szCs w:val="32"/>
        </w:rPr>
        <w:t>年，（我部门）财政拨款“三公”经费预算安排</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万元，其中：因公出国（境）费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万元；公务用车购置及运维费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万元（其中：公务用车运行维护费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万元，公务用车购置费0万元)；公务接待费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万元。“三公”经费与上年持平，无增减变化。</w:t>
      </w:r>
    </w:p>
    <w:p>
      <w:pPr>
        <w:autoSpaceDE w:val="0"/>
        <w:autoSpaceDN w:val="0"/>
        <w:adjustRightInd w:val="0"/>
        <w:spacing w:line="560" w:lineRule="exact"/>
        <w:ind w:left="198" w:firstLine="640" w:firstLineChars="200"/>
        <w:contextualSpacing/>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spacing w:line="560" w:lineRule="exact"/>
        <w:ind w:left="198" w:firstLine="643" w:firstLineChars="200"/>
        <w:contextualSpacing/>
        <w:jc w:val="left"/>
        <w:rPr>
          <w:rFonts w:hint="eastAsia" w:ascii="Times New Roman" w:hAnsi="Times New Roman" w:eastAsia="仿宋" w:cs="Times New Roman"/>
          <w:b/>
          <w:color w:val="auto"/>
          <w:sz w:val="32"/>
          <w:szCs w:val="32"/>
        </w:rPr>
      </w:pPr>
      <w:r>
        <w:rPr>
          <w:rFonts w:ascii="Times New Roman" w:hAnsi="Times New Roman" w:eastAsia="仿宋" w:cs="Times New Roman"/>
          <w:b/>
          <w:color w:val="auto"/>
          <w:sz w:val="32"/>
          <w:szCs w:val="32"/>
        </w:rPr>
        <w:t>总体绩效目标：</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妇联2018年将围绕深入贯彻落实党的十九大精神, 响应中国妇女十一大发出的“巾帼建新功  共筑中国梦”的号召，引领激励广大妇女爱岗敬业，拼搏进取，为全面建成小康社会，实现中华民族伟大复兴的中国梦作出新的更大贡献。</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 xml:space="preserve"> (一)团结动员妇女参加经济社会建设，围绕中心，服务大局，完成县委县政府交办的工作任务，全县妇女精神面貌有较大改观，创业就业能力逐步增强，素质得到有效提升。</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 xml:space="preserve"> (二)维护妇女儿童合法权益促进妇女儿童发展，妇女综合素质和发展能力有较大提升，妇女儿童合法权益得到有效维护，男女平等基本国策宣传进一步深入人心。</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 xml:space="preserve"> (三)妇联综合业务管理，不断加强妇联组织自身建设，提升妇联干部服务妇女的能力和水平，保障妇女维权、妇女发展工作正常有序开展。</w:t>
      </w:r>
    </w:p>
    <w:p>
      <w:pPr>
        <w:spacing w:before="156" w:beforeLines="50" w:after="156" w:afterLines="50" w:line="560" w:lineRule="exact"/>
        <w:contextualSpacing/>
        <w:jc w:val="left"/>
        <w:rPr>
          <w:rFonts w:hint="eastAsia" w:ascii="仿宋" w:hAnsi="仿宋" w:eastAsia="仿宋"/>
          <w:b/>
          <w:color w:val="auto"/>
          <w:sz w:val="32"/>
          <w:szCs w:val="32"/>
        </w:rPr>
      </w:pPr>
      <w:r>
        <w:rPr>
          <w:rFonts w:hint="eastAsia" w:ascii="仿宋" w:hAnsi="仿宋" w:eastAsia="仿宋"/>
          <w:b/>
          <w:color w:val="auto"/>
          <w:sz w:val="32"/>
          <w:szCs w:val="32"/>
        </w:rPr>
        <w:t xml:space="preserve">    职责分类绩效目标：</w:t>
      </w:r>
    </w:p>
    <w:p>
      <w:pPr>
        <w:spacing w:before="156" w:beforeLines="50" w:after="156" w:afterLines="50" w:line="560" w:lineRule="exact"/>
        <w:ind w:firstLine="560"/>
        <w:contextualSpacing/>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2018年妇联将进一步深入贯彻习近平新时代中国特色社会主义思想和党的十九大精神，统一妇女思想，凝聚妇女力量，进行团结动员妇女参加经济社会建设，维护妇女儿童合法权益促进妇女儿童发展和妇联综合业务管理工作。使全县妇女精神面貌有较大改观，创业就业能力逐步增强，素质得到有效提升，妇女儿童合法权益得到有效维护提升，妇联干部服务妇女的能力和水平，在经济社会发展和社会生活中发挥妇女半边天作用。</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(一)团结动员妇女参加经济社会建设</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团结动员广大妇女积极投身五大建设，弘扬社会主义核心价值观，发扬“四自”精神，为全县经济社会发展作贡献。使妇女积极参与妇联组织围绕县委县政府中心工作开展的各项活动，精神面貌有较大改观，创业就业能力逐步增强，素质得到有效提升。</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我单位计划在“三八”国际妇女节期间进行表彰大会，预计表彰各典型100余人次；举行妇女素质大讲堂，培训妇女代表100余人；发放法律宣传页，进行法律宣传，普法15000余人次。通过这几项工作，激励广大妇女立足岗位，创先争优，自尊，自信，自立，自强，为推进全县经济社会发展做贡献。</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 xml:space="preserve"> (二)维护妇女儿童合法权益促进妇女儿童发展</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关注涉及妇女切身利益的热点、难点问题，及时向县委县政府提出对策建议；强化维权工作，帮扶困境群体。积极开展对妇女的科技文化及生产劳动技能等各类教育培训，使妇女综合素质和发展能力有较大提升，妇女儿童合法权益得到有效维护。</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1.维权服务。</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帮助权益受到侵害和困难的妇女儿童解决困难和问题，开展普法宣传教育，使广大妇女儿童的维权意识和维权能力得到提高，妇女儿童合法权益得到维护。</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 xml:space="preserve"> 2.教育培训与事业发展。</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开展对妇女的科技文化、生产劳动技能和家庭、家教、家风教育，引领妇女和家庭改变生活陋习，建立科学文明生活方式，树立良好家风，促进乡村文明，在全省农村面貌改造提升行动中发挥主力军作用。使妇女科技素质、经营管理能力、家庭教育水平得到提到。</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 xml:space="preserve"> (三)妇联综合业务管理</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开展基层组织示范创建，加强妇联组织自身建设。指导所属单位及各类协会工作。承办县委、县政府交办的有关工作。</w:t>
      </w:r>
    </w:p>
    <w:p>
      <w:pPr>
        <w:spacing w:before="156" w:beforeLines="50" w:after="156" w:afterLines="50" w:line="560" w:lineRule="exact"/>
        <w:ind w:firstLine="560"/>
        <w:contextualSpacing/>
        <w:rPr>
          <w:rFonts w:ascii="仿宋" w:hAnsi="仿宋" w:eastAsia="仿宋"/>
          <w:color w:val="auto"/>
          <w:sz w:val="32"/>
          <w:szCs w:val="32"/>
        </w:rPr>
      </w:pPr>
      <w:r>
        <w:rPr>
          <w:rFonts w:ascii="仿宋" w:hAnsi="仿宋" w:eastAsia="仿宋"/>
          <w:color w:val="auto"/>
          <w:sz w:val="32"/>
          <w:szCs w:val="32"/>
        </w:rPr>
        <w:t>我单位计划在2018年进行新一届乡村妇联干部培训100余人次，使妇联基层组织的队伍建设得到加强；制作妇女之家展板20块，使妇女之家政策深入基层，提高妇女知法懂法水平。</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eastAsia="方正小标宋_GBK"/>
          <w:color w:val="auto"/>
          <w:sz w:val="32"/>
        </w:rPr>
      </w:pPr>
      <w:bookmarkStart w:id="1" w:name="_Toc101566"/>
      <w:r>
        <w:rPr>
          <w:rFonts w:hint="eastAsia" w:ascii="方正小标宋_GBK" w:eastAsia="方正小标宋_GBK"/>
          <w:color w:val="auto"/>
          <w:sz w:val="32"/>
        </w:rPr>
        <w:t>部门职责-工作活动绩效目标</w:t>
      </w:r>
      <w:r>
        <w:rPr>
          <w:rStyle w:val="9"/>
          <w:rFonts w:ascii="方正小标宋_GBK" w:eastAsia="方正小标宋_GBK"/>
          <w:color w:val="auto"/>
          <w:sz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6"/>
        <w:gridCol w:w="1275"/>
        <w:gridCol w:w="3282"/>
        <w:gridCol w:w="2814"/>
        <w:gridCol w:w="1559"/>
        <w:gridCol w:w="75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6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713</w:t>
            </w:r>
            <w:r>
              <w:rPr>
                <w:rFonts w:hint="eastAsia" w:ascii="方正小标宋_GBK" w:eastAsia="方正小标宋_GBK"/>
                <w:color w:val="auto"/>
                <w:sz w:val="24"/>
              </w:rPr>
              <w:t>曲阳县妇女联合会</w:t>
            </w:r>
          </w:p>
        </w:tc>
        <w:tc>
          <w:tcPr>
            <w:tcW w:w="296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03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5"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3282"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81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55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6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036" w:type="dxa"/>
            <w:vMerge w:val="continue"/>
            <w:shd w:val="clear" w:color="auto" w:fill="auto"/>
            <w:vAlign w:val="center"/>
          </w:tcPr>
          <w:p>
            <w:pPr>
              <w:spacing w:line="300" w:lineRule="exact"/>
              <w:jc w:val="left"/>
              <w:outlineLvl w:val="0"/>
              <w:rPr>
                <w:color w:val="auto"/>
              </w:rPr>
            </w:pPr>
          </w:p>
        </w:tc>
        <w:tc>
          <w:tcPr>
            <w:tcW w:w="1275" w:type="dxa"/>
            <w:vMerge w:val="continue"/>
            <w:shd w:val="clear" w:color="auto" w:fill="auto"/>
            <w:vAlign w:val="center"/>
          </w:tcPr>
          <w:p>
            <w:pPr>
              <w:spacing w:line="300" w:lineRule="exact"/>
              <w:jc w:val="left"/>
              <w:outlineLvl w:val="0"/>
              <w:rPr>
                <w:color w:val="auto"/>
              </w:rPr>
            </w:pPr>
          </w:p>
        </w:tc>
        <w:tc>
          <w:tcPr>
            <w:tcW w:w="3282" w:type="dxa"/>
            <w:vMerge w:val="continue"/>
            <w:shd w:val="clear" w:color="auto" w:fill="auto"/>
            <w:vAlign w:val="center"/>
          </w:tcPr>
          <w:p>
            <w:pPr>
              <w:spacing w:line="300" w:lineRule="exact"/>
              <w:jc w:val="left"/>
              <w:outlineLvl w:val="0"/>
              <w:rPr>
                <w:color w:val="auto"/>
              </w:rPr>
            </w:pPr>
          </w:p>
        </w:tc>
        <w:tc>
          <w:tcPr>
            <w:tcW w:w="2814" w:type="dxa"/>
            <w:vMerge w:val="continue"/>
            <w:shd w:val="clear" w:color="auto" w:fill="auto"/>
            <w:vAlign w:val="center"/>
          </w:tcPr>
          <w:p>
            <w:pPr>
              <w:spacing w:line="300" w:lineRule="exact"/>
              <w:jc w:val="left"/>
              <w:outlineLvl w:val="0"/>
              <w:rPr>
                <w:color w:val="auto"/>
              </w:rPr>
            </w:pPr>
          </w:p>
        </w:tc>
        <w:tc>
          <w:tcPr>
            <w:tcW w:w="1559" w:type="dxa"/>
            <w:vMerge w:val="continue"/>
            <w:shd w:val="clear" w:color="auto" w:fill="auto"/>
            <w:vAlign w:val="center"/>
          </w:tcPr>
          <w:p>
            <w:pPr>
              <w:spacing w:line="300" w:lineRule="exact"/>
              <w:jc w:val="left"/>
              <w:outlineLvl w:val="0"/>
              <w:rPr>
                <w:color w:val="auto"/>
              </w:rPr>
            </w:pPr>
          </w:p>
        </w:tc>
        <w:tc>
          <w:tcPr>
            <w:tcW w:w="75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一、团结动员妇女参加经济社会建设</w:t>
            </w:r>
          </w:p>
        </w:tc>
        <w:tc>
          <w:tcPr>
            <w:tcW w:w="1275"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3.00</w:t>
            </w:r>
          </w:p>
        </w:tc>
        <w:tc>
          <w:tcPr>
            <w:tcW w:w="3282"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引导全区妇女听党话、跟党走，发扬</w:t>
            </w:r>
            <w:r>
              <w:rPr>
                <w:rFonts w:hint="cs" w:ascii="方正书宋_GBK" w:eastAsia="方正书宋_GBK"/>
                <w:color w:val="auto"/>
              </w:rPr>
              <w:t>“</w:t>
            </w:r>
            <w:r>
              <w:rPr>
                <w:rFonts w:hint="eastAsia" w:ascii="方正书宋_GBK" w:eastAsia="方正书宋_GBK"/>
                <w:color w:val="auto"/>
              </w:rPr>
              <w:t>四自</w:t>
            </w:r>
            <w:r>
              <w:rPr>
                <w:rFonts w:hint="cs" w:ascii="方正书宋_GBK" w:eastAsia="方正书宋_GBK"/>
                <w:color w:val="auto"/>
              </w:rPr>
              <w:t>”</w:t>
            </w:r>
            <w:r>
              <w:rPr>
                <w:rFonts w:hint="eastAsia" w:ascii="方正书宋_GBK" w:eastAsia="方正书宋_GBK"/>
                <w:color w:val="auto"/>
              </w:rPr>
              <w:t>精神，积极投身改革开放和社会主义经济、政治、文化、社会和生态文明建设，全面提高妇女素质，为建设经济区作贡献。</w:t>
            </w:r>
          </w:p>
        </w:tc>
        <w:tc>
          <w:tcPr>
            <w:tcW w:w="2814"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围绕中心，服务大局，完成区委区政府交办的工作任务，全区妇女精神面貌有较大改观，创业就业能力逐步增强，素质得到有效提升。</w:t>
            </w:r>
          </w:p>
        </w:tc>
        <w:tc>
          <w:tcPr>
            <w:tcW w:w="1559" w:type="dxa"/>
            <w:shd w:val="clear" w:color="auto" w:fill="auto"/>
            <w:vAlign w:val="center"/>
          </w:tcPr>
          <w:p>
            <w:pPr>
              <w:spacing w:line="300" w:lineRule="exact"/>
              <w:jc w:val="left"/>
              <w:rPr>
                <w:rFonts w:ascii="方正书宋_GBK" w:eastAsia="方正书宋_GBK"/>
                <w:color w:val="auto"/>
              </w:rPr>
            </w:pPr>
          </w:p>
        </w:tc>
        <w:tc>
          <w:tcPr>
            <w:tcW w:w="75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、团结动员妇女参加经济社会建设</w:t>
            </w:r>
          </w:p>
        </w:tc>
        <w:tc>
          <w:tcPr>
            <w:tcW w:w="1275" w:type="dxa"/>
            <w:vMerge w:val="restart"/>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3.00</w:t>
            </w:r>
          </w:p>
        </w:tc>
        <w:tc>
          <w:tcPr>
            <w:tcW w:w="3282"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团结动员广大妇女积极投身五大建设，弘扬社会主义核心价值观，发扬</w:t>
            </w:r>
            <w:r>
              <w:rPr>
                <w:rFonts w:hint="cs" w:ascii="方正书宋_GBK" w:eastAsia="方正书宋_GBK"/>
                <w:color w:val="auto"/>
              </w:rPr>
              <w:t>“</w:t>
            </w:r>
            <w:r>
              <w:rPr>
                <w:rFonts w:hint="eastAsia" w:ascii="方正书宋_GBK" w:eastAsia="方正书宋_GBK"/>
                <w:color w:val="auto"/>
              </w:rPr>
              <w:t>四自</w:t>
            </w:r>
            <w:r>
              <w:rPr>
                <w:rFonts w:hint="cs" w:ascii="方正书宋_GBK" w:eastAsia="方正书宋_GBK"/>
                <w:color w:val="auto"/>
              </w:rPr>
              <w:t>”</w:t>
            </w:r>
            <w:r>
              <w:rPr>
                <w:rFonts w:hint="eastAsia" w:ascii="方正书宋_GBK" w:eastAsia="方正书宋_GBK"/>
                <w:color w:val="auto"/>
              </w:rPr>
              <w:t>精神，为全区经济社会发展作贡献。</w:t>
            </w:r>
          </w:p>
        </w:tc>
        <w:tc>
          <w:tcPr>
            <w:tcW w:w="2814"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妇女积极参与妇联组织围绕区委区政府中心工作开展的各项活动，精神面貌有较大改观，创业就业能力逐步增强，素质得到有效提升。</w:t>
            </w:r>
          </w:p>
        </w:tc>
        <w:tc>
          <w:tcPr>
            <w:tcW w:w="1559"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表彰</w:t>
            </w:r>
            <w:r>
              <w:rPr>
                <w:rFonts w:hint="cs" w:ascii="方正书宋_GBK" w:eastAsia="方正书宋_GBK"/>
                <w:color w:val="auto"/>
              </w:rPr>
              <w:t>“</w:t>
            </w:r>
            <w:r>
              <w:rPr>
                <w:rFonts w:hint="eastAsia" w:ascii="方正书宋_GBK" w:eastAsia="方正书宋_GBK"/>
                <w:color w:val="auto"/>
              </w:rPr>
              <w:t>三八</w:t>
            </w:r>
            <w:r>
              <w:rPr>
                <w:rFonts w:hint="cs" w:ascii="方正书宋_GBK" w:eastAsia="方正书宋_GBK"/>
                <w:color w:val="auto"/>
              </w:rPr>
              <w:t>”</w:t>
            </w:r>
            <w:r>
              <w:rPr>
                <w:rFonts w:hint="eastAsia" w:ascii="方正书宋_GBK" w:eastAsia="方正书宋_GBK"/>
                <w:color w:val="auto"/>
              </w:rPr>
              <w:t>红旗手、红旗集体、巾帼建功先进个人优秀妇女部</w:t>
            </w:r>
          </w:p>
        </w:tc>
        <w:tc>
          <w:tcPr>
            <w:tcW w:w="75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注册巾帼志愿者人（人）</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扶助对象满意率</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帮扶妇女创业人数（人）</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二、维护妇女儿童合法权益促进妇女儿童发展</w:t>
            </w:r>
          </w:p>
        </w:tc>
        <w:tc>
          <w:tcPr>
            <w:tcW w:w="1275" w:type="dxa"/>
            <w:shd w:val="clear" w:color="auto" w:fill="auto"/>
            <w:vAlign w:val="center"/>
          </w:tcPr>
          <w:p>
            <w:pPr>
              <w:spacing w:line="300" w:lineRule="exact"/>
              <w:jc w:val="left"/>
              <w:rPr>
                <w:rFonts w:ascii="方正书宋_GBK" w:eastAsia="方正书宋_GBK"/>
                <w:color w:val="auto"/>
              </w:rPr>
            </w:pPr>
          </w:p>
        </w:tc>
        <w:tc>
          <w:tcPr>
            <w:tcW w:w="3282"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关注涉及妇女切身利益的热点、难点问题，及时向区委区政府提出对策建议；强化维权工作，帮扶困境群体。积极开展对妇女的科技文化及生产劳动技能等各类教育培训。</w:t>
            </w:r>
          </w:p>
        </w:tc>
        <w:tc>
          <w:tcPr>
            <w:tcW w:w="281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妇女综合素质和发展能力有较大提升。妇女儿童合法权益得到有效维护，男女平等基本国策宣传进一步深入人心。</w:t>
            </w:r>
          </w:p>
        </w:tc>
        <w:tc>
          <w:tcPr>
            <w:tcW w:w="1559" w:type="dxa"/>
            <w:shd w:val="clear" w:color="auto" w:fill="auto"/>
            <w:vAlign w:val="center"/>
          </w:tcPr>
          <w:p>
            <w:pPr>
              <w:spacing w:line="300" w:lineRule="exact"/>
              <w:jc w:val="left"/>
              <w:rPr>
                <w:rFonts w:hint="eastAsia" w:ascii="方正书宋_GBK" w:eastAsia="方正书宋_GBK"/>
                <w:color w:val="auto"/>
              </w:rPr>
            </w:pPr>
          </w:p>
        </w:tc>
        <w:tc>
          <w:tcPr>
            <w:tcW w:w="75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、维权服务</w:t>
            </w:r>
          </w:p>
        </w:tc>
        <w:tc>
          <w:tcPr>
            <w:tcW w:w="1275" w:type="dxa"/>
            <w:vMerge w:val="restart"/>
            <w:shd w:val="clear" w:color="auto" w:fill="auto"/>
            <w:vAlign w:val="center"/>
          </w:tcPr>
          <w:p>
            <w:pPr>
              <w:spacing w:line="300" w:lineRule="exact"/>
              <w:jc w:val="left"/>
              <w:rPr>
                <w:rFonts w:ascii="方正书宋_GBK" w:eastAsia="方正书宋_GBK"/>
                <w:color w:val="auto"/>
              </w:rPr>
            </w:pPr>
          </w:p>
        </w:tc>
        <w:tc>
          <w:tcPr>
            <w:tcW w:w="3282"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关注和研究涉及妇女切身利益的热点难点问题，向区委区政府提出对策建议；参与有关妇女儿童政策和法律、法规草案的拟定，教育引导妇女依法维权，对权益受到侵害的妇女儿童和困境妇女儿童提供帮助。</w:t>
            </w:r>
          </w:p>
        </w:tc>
        <w:tc>
          <w:tcPr>
            <w:tcW w:w="2814"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帮助权益受到侵害和困难的妇女儿童解决困难和问题，开展普法宣传教育，提高广大妇女儿童的维权意识和维权能力，维护妇女儿童合法权益。</w:t>
            </w: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妇女信访代理工作覆盖率</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法律援助妇女侵权案率</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维权服务对象满意度</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、教育培训与事业发展</w:t>
            </w:r>
          </w:p>
        </w:tc>
        <w:tc>
          <w:tcPr>
            <w:tcW w:w="1275" w:type="dxa"/>
            <w:vMerge w:val="restart"/>
            <w:shd w:val="clear" w:color="auto" w:fill="auto"/>
            <w:vAlign w:val="center"/>
          </w:tcPr>
          <w:p>
            <w:pPr>
              <w:spacing w:line="300" w:lineRule="exact"/>
              <w:jc w:val="left"/>
              <w:rPr>
                <w:rFonts w:ascii="方正书宋_GBK" w:eastAsia="方正书宋_GBK"/>
                <w:color w:val="auto"/>
              </w:rPr>
            </w:pPr>
          </w:p>
        </w:tc>
        <w:tc>
          <w:tcPr>
            <w:tcW w:w="3282"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开展对妇女的科技文化、生产劳动技能和家庭、家教、家风教育。</w:t>
            </w:r>
          </w:p>
        </w:tc>
        <w:tc>
          <w:tcPr>
            <w:tcW w:w="2814"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提高妇女科技素质、经营管理能力、家庭教育水平。</w:t>
            </w: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培训达标率</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培养妇女致富带头人数</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培训对象满意度</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三、妇联综合业务管理</w:t>
            </w:r>
          </w:p>
        </w:tc>
        <w:tc>
          <w:tcPr>
            <w:tcW w:w="1275"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2.00</w:t>
            </w:r>
          </w:p>
        </w:tc>
        <w:tc>
          <w:tcPr>
            <w:tcW w:w="3282"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加强妇联基层组织建设和机关党建，做好机关基础设施建设与维护，推进机关信息化建设，做好区政府妇儿工委办公室工作，指导所属事业单位发展，为妇女儿童事业发展提供有力保障。</w:t>
            </w:r>
          </w:p>
        </w:tc>
        <w:tc>
          <w:tcPr>
            <w:tcW w:w="281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不断加强妇联组织自身建设，提升妇联干部服务妇女的能力和水平，保障妇女维权、妇女发展工作正常有序开展</w:t>
            </w:r>
          </w:p>
        </w:tc>
        <w:tc>
          <w:tcPr>
            <w:tcW w:w="1559" w:type="dxa"/>
            <w:shd w:val="clear" w:color="auto" w:fill="auto"/>
            <w:vAlign w:val="center"/>
          </w:tcPr>
          <w:p>
            <w:pPr>
              <w:spacing w:line="300" w:lineRule="exact"/>
              <w:jc w:val="left"/>
              <w:rPr>
                <w:rFonts w:hint="eastAsia" w:ascii="方正书宋_GBK" w:eastAsia="方正书宋_GBK"/>
                <w:color w:val="auto"/>
              </w:rPr>
            </w:pPr>
          </w:p>
        </w:tc>
        <w:tc>
          <w:tcPr>
            <w:tcW w:w="75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、综合业务管理</w:t>
            </w:r>
          </w:p>
        </w:tc>
        <w:tc>
          <w:tcPr>
            <w:tcW w:w="1275" w:type="dxa"/>
            <w:vMerge w:val="restart"/>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2.00</w:t>
            </w:r>
          </w:p>
        </w:tc>
        <w:tc>
          <w:tcPr>
            <w:tcW w:w="3282"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w:t>
            </w:r>
            <w:r>
              <w:rPr>
                <w:rFonts w:hint="cs" w:ascii="方正书宋_GBK" w:eastAsia="方正书宋_GBK"/>
                <w:color w:val="auto"/>
              </w:rPr>
              <w:t>”</w:t>
            </w:r>
            <w:r>
              <w:rPr>
                <w:rFonts w:hint="eastAsia" w:ascii="方正书宋_GBK" w:eastAsia="方正书宋_GBK"/>
                <w:color w:val="auto"/>
              </w:rPr>
              <w:t>三有两突出</w:t>
            </w:r>
            <w:r>
              <w:rPr>
                <w:rFonts w:hint="cs" w:ascii="方正书宋_GBK" w:eastAsia="方正书宋_GBK"/>
                <w:color w:val="auto"/>
              </w:rPr>
              <w:t>“</w:t>
            </w:r>
            <w:r>
              <w:rPr>
                <w:rFonts w:hint="eastAsia" w:ascii="方正书宋_GBK" w:eastAsia="方正书宋_GBK"/>
                <w:color w:val="auto"/>
              </w:rPr>
              <w:t>基层组织示范创建，加强妇联组织自身建设。加强与社会各界的联系，推动全社会为妇女儿童办实事。指导所属单位及各类协会工作。承办区委、区政府交办的有关工作。</w:t>
            </w:r>
          </w:p>
        </w:tc>
        <w:tc>
          <w:tcPr>
            <w:tcW w:w="2814"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妇联基层组织的组织、阵地、队伍建设等得到加强，妇联干部工作能力和服务水平提高。</w:t>
            </w: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创建示范基层组织数</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创建区级示范妇女之家（家）</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建设区级示范儿童之家数量</w:t>
            </w:r>
            <w:r>
              <w:rPr>
                <w:rFonts w:ascii="方正书宋_GBK" w:eastAsia="方正书宋_GBK"/>
                <w:color w:val="auto"/>
              </w:rPr>
              <w:t>(</w:t>
            </w:r>
            <w:r>
              <w:rPr>
                <w:rFonts w:hint="eastAsia" w:ascii="方正书宋_GBK" w:eastAsia="方正书宋_GBK"/>
                <w:color w:val="auto"/>
              </w:rPr>
              <w:t>个）</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036" w:type="dxa"/>
            <w:vMerge w:val="continue"/>
            <w:shd w:val="clear" w:color="auto" w:fill="auto"/>
            <w:vAlign w:val="center"/>
          </w:tcPr>
          <w:p>
            <w:pPr>
              <w:spacing w:line="300" w:lineRule="exact"/>
              <w:jc w:val="left"/>
              <w:rPr>
                <w:rFonts w:hint="eastAsia" w:ascii="方正书宋_GBK" w:eastAsia="方正书宋_GBK"/>
                <w:b/>
                <w:color w:val="auto"/>
              </w:rPr>
            </w:pPr>
          </w:p>
        </w:tc>
        <w:tc>
          <w:tcPr>
            <w:tcW w:w="1275" w:type="dxa"/>
            <w:vMerge w:val="continue"/>
            <w:shd w:val="clear" w:color="auto" w:fill="auto"/>
            <w:vAlign w:val="center"/>
          </w:tcPr>
          <w:p>
            <w:pPr>
              <w:spacing w:line="300" w:lineRule="exact"/>
              <w:jc w:val="left"/>
              <w:rPr>
                <w:rFonts w:ascii="方正书宋_GBK" w:eastAsia="方正书宋_GBK"/>
                <w:color w:val="auto"/>
              </w:rPr>
            </w:pPr>
          </w:p>
        </w:tc>
        <w:tc>
          <w:tcPr>
            <w:tcW w:w="3282" w:type="dxa"/>
            <w:vMerge w:val="continue"/>
            <w:shd w:val="clear" w:color="auto" w:fill="auto"/>
            <w:vAlign w:val="center"/>
          </w:tcPr>
          <w:p>
            <w:pPr>
              <w:spacing w:line="300" w:lineRule="exact"/>
              <w:jc w:val="left"/>
              <w:rPr>
                <w:rFonts w:hint="eastAsia" w:ascii="方正书宋_GBK" w:eastAsia="方正书宋_GBK"/>
                <w:color w:val="auto"/>
              </w:rPr>
            </w:pPr>
          </w:p>
        </w:tc>
        <w:tc>
          <w:tcPr>
            <w:tcW w:w="2814" w:type="dxa"/>
            <w:vMerge w:val="continue"/>
            <w:shd w:val="clear" w:color="auto" w:fill="auto"/>
            <w:vAlign w:val="center"/>
          </w:tcPr>
          <w:p>
            <w:pPr>
              <w:spacing w:line="300" w:lineRule="exact"/>
              <w:jc w:val="left"/>
              <w:rPr>
                <w:rFonts w:hint="eastAsia" w:ascii="方正书宋_GBK" w:eastAsia="方正书宋_GBK"/>
                <w:color w:val="auto"/>
              </w:rPr>
            </w:pPr>
          </w:p>
        </w:tc>
        <w:tc>
          <w:tcPr>
            <w:tcW w:w="155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培训对象满意度</w:t>
            </w:r>
          </w:p>
        </w:tc>
        <w:tc>
          <w:tcPr>
            <w:tcW w:w="75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&lt;75%</w:t>
            </w:r>
          </w:p>
        </w:tc>
      </w:tr>
    </w:tbl>
    <w:p>
      <w:pPr>
        <w:spacing w:line="300" w:lineRule="exact"/>
        <w:jc w:val="left"/>
        <w:outlineLvl w:val="0"/>
        <w:rPr>
          <w:rFonts w:hint="eastAsia"/>
          <w:color w:val="auto"/>
        </w:rPr>
        <w:sectPr>
          <w:pgSz w:w="16839" w:h="11907" w:orient="landscape"/>
          <w:pgMar w:top="1020" w:right="1361" w:bottom="1020" w:left="1361" w:header="851" w:footer="992" w:gutter="0"/>
          <w:cols w:space="720" w:num="1"/>
          <w:docGrid w:type="lines" w:linePitch="312" w:charSpace="0"/>
        </w:sectPr>
      </w:pPr>
      <w:r>
        <w:rPr>
          <w:rFonts w:hint="eastAsia" w:ascii="Times New Roman" w:hAnsi="Times New Roman" w:eastAsia="仿宋" w:cs="Times New Roman"/>
          <w:b/>
          <w:color w:val="auto"/>
          <w:sz w:val="32"/>
          <w:szCs w:val="32"/>
        </w:rPr>
        <w:t xml:space="preserve"> </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2019年，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安排政府采购预算1.20万元。具体内容见下表。</w:t>
      </w:r>
      <w:bookmarkEnd w:id="2"/>
    </w:p>
    <w:p>
      <w:pPr>
        <w:jc w:val="center"/>
        <w:outlineLvl w:val="0"/>
        <w:rPr>
          <w:rFonts w:hint="eastAsia" w:ascii="方正小标宋_GBK" w:eastAsia="方正小标宋_GBK"/>
          <w:color w:val="auto"/>
          <w:sz w:val="32"/>
        </w:rPr>
      </w:pPr>
      <w:bookmarkStart w:id="3" w:name="_Toc101572"/>
      <w:r>
        <w:rPr>
          <w:rFonts w:hint="eastAsia" w:ascii="方正小标宋_GBK" w:eastAsia="方正小标宋_GBK"/>
          <w:color w:val="auto"/>
          <w:sz w:val="32"/>
        </w:rPr>
        <w:t>部门政府采购预算</w:t>
      </w:r>
      <w:bookmarkEnd w:id="3"/>
    </w:p>
    <w:tbl>
      <w:tblPr>
        <w:tblStyle w:val="7"/>
        <w:tblW w:w="137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1037"/>
        <w:gridCol w:w="919"/>
        <w:gridCol w:w="930"/>
        <w:gridCol w:w="718"/>
        <w:gridCol w:w="718"/>
        <w:gridCol w:w="800"/>
        <w:gridCol w:w="908"/>
        <w:gridCol w:w="908"/>
        <w:gridCol w:w="908"/>
        <w:gridCol w:w="908"/>
        <w:gridCol w:w="910"/>
        <w:gridCol w:w="910"/>
        <w:gridCol w:w="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43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713</w:t>
            </w:r>
            <w:r>
              <w:rPr>
                <w:rFonts w:hint="eastAsia" w:ascii="方正小标宋_GBK" w:eastAsia="方正小标宋_GBK"/>
                <w:color w:val="auto"/>
                <w:sz w:val="24"/>
              </w:rPr>
              <w:t>曲阳县妇女联合会</w:t>
            </w:r>
          </w:p>
        </w:tc>
        <w:tc>
          <w:tcPr>
            <w:tcW w:w="632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346"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1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3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1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1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0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321"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0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3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19" w:type="dxa"/>
            <w:vMerge w:val="continue"/>
            <w:shd w:val="clear" w:color="auto" w:fill="auto"/>
            <w:vAlign w:val="center"/>
          </w:tcPr>
          <w:p>
            <w:pPr>
              <w:spacing w:line="300" w:lineRule="exact"/>
              <w:jc w:val="left"/>
              <w:outlineLvl w:val="0"/>
              <w:rPr>
                <w:color w:val="auto"/>
              </w:rPr>
            </w:pPr>
          </w:p>
        </w:tc>
        <w:tc>
          <w:tcPr>
            <w:tcW w:w="930" w:type="dxa"/>
            <w:vMerge w:val="continue"/>
            <w:shd w:val="clear" w:color="auto" w:fill="auto"/>
            <w:vAlign w:val="center"/>
          </w:tcPr>
          <w:p>
            <w:pPr>
              <w:spacing w:line="300" w:lineRule="exact"/>
              <w:jc w:val="left"/>
              <w:outlineLvl w:val="0"/>
              <w:rPr>
                <w:color w:val="auto"/>
              </w:rPr>
            </w:pPr>
          </w:p>
        </w:tc>
        <w:tc>
          <w:tcPr>
            <w:tcW w:w="718" w:type="dxa"/>
            <w:vMerge w:val="continue"/>
            <w:shd w:val="clear" w:color="auto" w:fill="auto"/>
            <w:vAlign w:val="center"/>
          </w:tcPr>
          <w:p>
            <w:pPr>
              <w:spacing w:line="300" w:lineRule="exact"/>
              <w:jc w:val="left"/>
              <w:outlineLvl w:val="0"/>
              <w:rPr>
                <w:color w:val="auto"/>
              </w:rPr>
            </w:pPr>
          </w:p>
        </w:tc>
        <w:tc>
          <w:tcPr>
            <w:tcW w:w="718" w:type="dxa"/>
            <w:vMerge w:val="continue"/>
            <w:shd w:val="clear" w:color="auto" w:fill="auto"/>
            <w:vAlign w:val="center"/>
          </w:tcPr>
          <w:p>
            <w:pPr>
              <w:spacing w:line="300" w:lineRule="exact"/>
              <w:jc w:val="left"/>
              <w:outlineLvl w:val="0"/>
              <w:rPr>
                <w:color w:val="auto"/>
              </w:rPr>
            </w:pPr>
          </w:p>
        </w:tc>
        <w:tc>
          <w:tcPr>
            <w:tcW w:w="800" w:type="dxa"/>
            <w:vMerge w:val="continue"/>
            <w:shd w:val="clear" w:color="auto" w:fill="auto"/>
            <w:vAlign w:val="center"/>
          </w:tcPr>
          <w:p>
            <w:pPr>
              <w:spacing w:line="300" w:lineRule="exact"/>
              <w:jc w:val="left"/>
              <w:outlineLvl w:val="0"/>
              <w:rPr>
                <w:color w:val="auto"/>
              </w:rPr>
            </w:pPr>
          </w:p>
        </w:tc>
        <w:tc>
          <w:tcPr>
            <w:tcW w:w="90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544"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86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09" w:type="dxa"/>
            <w:vMerge w:val="continue"/>
            <w:shd w:val="clear" w:color="auto" w:fill="auto"/>
            <w:vAlign w:val="center"/>
          </w:tcPr>
          <w:p>
            <w:pPr>
              <w:spacing w:line="300" w:lineRule="exact"/>
              <w:jc w:val="left"/>
              <w:outlineLvl w:val="0"/>
              <w:rPr>
                <w:color w:val="auto"/>
              </w:rPr>
            </w:pPr>
          </w:p>
        </w:tc>
        <w:tc>
          <w:tcPr>
            <w:tcW w:w="1037" w:type="dxa"/>
            <w:vMerge w:val="continue"/>
            <w:shd w:val="clear" w:color="auto" w:fill="auto"/>
            <w:vAlign w:val="center"/>
          </w:tcPr>
          <w:p>
            <w:pPr>
              <w:spacing w:line="300" w:lineRule="exact"/>
              <w:jc w:val="left"/>
              <w:outlineLvl w:val="0"/>
              <w:rPr>
                <w:color w:val="auto"/>
              </w:rPr>
            </w:pPr>
          </w:p>
        </w:tc>
        <w:tc>
          <w:tcPr>
            <w:tcW w:w="919" w:type="dxa"/>
            <w:vMerge w:val="continue"/>
            <w:shd w:val="clear" w:color="auto" w:fill="auto"/>
            <w:vAlign w:val="center"/>
          </w:tcPr>
          <w:p>
            <w:pPr>
              <w:spacing w:line="300" w:lineRule="exact"/>
              <w:jc w:val="left"/>
              <w:outlineLvl w:val="0"/>
              <w:rPr>
                <w:color w:val="auto"/>
              </w:rPr>
            </w:pPr>
          </w:p>
        </w:tc>
        <w:tc>
          <w:tcPr>
            <w:tcW w:w="930" w:type="dxa"/>
            <w:vMerge w:val="continue"/>
            <w:shd w:val="clear" w:color="auto" w:fill="auto"/>
            <w:vAlign w:val="center"/>
          </w:tcPr>
          <w:p>
            <w:pPr>
              <w:spacing w:line="300" w:lineRule="exact"/>
              <w:jc w:val="left"/>
              <w:outlineLvl w:val="0"/>
              <w:rPr>
                <w:color w:val="auto"/>
              </w:rPr>
            </w:pPr>
          </w:p>
        </w:tc>
        <w:tc>
          <w:tcPr>
            <w:tcW w:w="718" w:type="dxa"/>
            <w:vMerge w:val="continue"/>
            <w:shd w:val="clear" w:color="auto" w:fill="auto"/>
            <w:vAlign w:val="center"/>
          </w:tcPr>
          <w:p>
            <w:pPr>
              <w:spacing w:line="300" w:lineRule="exact"/>
              <w:jc w:val="left"/>
              <w:outlineLvl w:val="0"/>
              <w:rPr>
                <w:color w:val="auto"/>
              </w:rPr>
            </w:pPr>
          </w:p>
        </w:tc>
        <w:tc>
          <w:tcPr>
            <w:tcW w:w="718" w:type="dxa"/>
            <w:vMerge w:val="continue"/>
            <w:shd w:val="clear" w:color="auto" w:fill="auto"/>
            <w:vAlign w:val="center"/>
          </w:tcPr>
          <w:p>
            <w:pPr>
              <w:spacing w:line="300" w:lineRule="exact"/>
              <w:jc w:val="left"/>
              <w:outlineLvl w:val="0"/>
              <w:rPr>
                <w:color w:val="auto"/>
              </w:rPr>
            </w:pPr>
          </w:p>
        </w:tc>
        <w:tc>
          <w:tcPr>
            <w:tcW w:w="800" w:type="dxa"/>
            <w:vMerge w:val="continue"/>
            <w:shd w:val="clear" w:color="auto" w:fill="auto"/>
            <w:vAlign w:val="center"/>
          </w:tcPr>
          <w:p>
            <w:pPr>
              <w:spacing w:line="300" w:lineRule="exact"/>
              <w:jc w:val="left"/>
              <w:outlineLvl w:val="0"/>
              <w:rPr>
                <w:color w:val="auto"/>
              </w:rPr>
            </w:pPr>
          </w:p>
        </w:tc>
        <w:tc>
          <w:tcPr>
            <w:tcW w:w="908" w:type="dxa"/>
            <w:vMerge w:val="continue"/>
            <w:shd w:val="clear" w:color="auto" w:fill="auto"/>
            <w:vAlign w:val="center"/>
          </w:tcPr>
          <w:p>
            <w:pPr>
              <w:spacing w:line="300" w:lineRule="exact"/>
              <w:jc w:val="left"/>
              <w:outlineLvl w:val="0"/>
              <w:rPr>
                <w:color w:val="auto"/>
              </w:rPr>
            </w:pPr>
          </w:p>
        </w:tc>
        <w:tc>
          <w:tcPr>
            <w:tcW w:w="90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0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0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10"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10"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869"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37" w:type="dxa"/>
            <w:shd w:val="clear" w:color="auto" w:fill="auto"/>
            <w:vAlign w:val="center"/>
          </w:tcPr>
          <w:p>
            <w:pPr>
              <w:spacing w:line="300" w:lineRule="exact"/>
              <w:jc w:val="right"/>
              <w:rPr>
                <w:rFonts w:ascii="方正书宋_GBK" w:eastAsia="方正书宋_GBK"/>
                <w:b/>
                <w:color w:val="auto"/>
              </w:rPr>
            </w:pPr>
          </w:p>
        </w:tc>
        <w:tc>
          <w:tcPr>
            <w:tcW w:w="919" w:type="dxa"/>
            <w:shd w:val="clear" w:color="auto" w:fill="auto"/>
            <w:vAlign w:val="center"/>
          </w:tcPr>
          <w:p>
            <w:pPr>
              <w:spacing w:line="300" w:lineRule="exact"/>
              <w:jc w:val="left"/>
              <w:rPr>
                <w:rFonts w:ascii="方正书宋_GBK" w:eastAsia="方正书宋_GBK"/>
                <w:b/>
                <w:color w:val="auto"/>
              </w:rPr>
            </w:pPr>
          </w:p>
        </w:tc>
        <w:tc>
          <w:tcPr>
            <w:tcW w:w="930" w:type="dxa"/>
            <w:shd w:val="clear" w:color="auto" w:fill="auto"/>
            <w:vAlign w:val="center"/>
          </w:tcPr>
          <w:p>
            <w:pPr>
              <w:spacing w:line="300" w:lineRule="exact"/>
              <w:jc w:val="left"/>
              <w:rPr>
                <w:rFonts w:ascii="方正书宋_GBK" w:eastAsia="方正书宋_GBK"/>
                <w:b/>
                <w:color w:val="auto"/>
              </w:rPr>
            </w:pPr>
          </w:p>
        </w:tc>
        <w:tc>
          <w:tcPr>
            <w:tcW w:w="718" w:type="dxa"/>
            <w:shd w:val="clear" w:color="auto" w:fill="auto"/>
            <w:vAlign w:val="center"/>
          </w:tcPr>
          <w:p>
            <w:pPr>
              <w:spacing w:line="300" w:lineRule="exact"/>
              <w:jc w:val="left"/>
              <w:rPr>
                <w:rFonts w:ascii="方正书宋_GBK" w:eastAsia="方正书宋_GBK"/>
                <w:b/>
                <w:color w:val="auto"/>
              </w:rPr>
            </w:pPr>
          </w:p>
        </w:tc>
        <w:tc>
          <w:tcPr>
            <w:tcW w:w="718" w:type="dxa"/>
            <w:shd w:val="clear" w:color="auto" w:fill="auto"/>
            <w:vAlign w:val="center"/>
          </w:tcPr>
          <w:p>
            <w:pPr>
              <w:spacing w:line="300" w:lineRule="exact"/>
              <w:jc w:val="right"/>
              <w:rPr>
                <w:rFonts w:ascii="方正书宋_GBK" w:eastAsia="方正书宋_GBK"/>
                <w:b/>
                <w:color w:val="auto"/>
              </w:rPr>
            </w:pPr>
          </w:p>
        </w:tc>
        <w:tc>
          <w:tcPr>
            <w:tcW w:w="800" w:type="dxa"/>
            <w:shd w:val="clear" w:color="auto" w:fill="auto"/>
            <w:vAlign w:val="center"/>
          </w:tcPr>
          <w:p>
            <w:pPr>
              <w:spacing w:line="300" w:lineRule="exact"/>
              <w:jc w:val="right"/>
              <w:rPr>
                <w:rFonts w:ascii="方正书宋_GBK" w:eastAsia="方正书宋_GBK"/>
                <w:b/>
                <w:color w:val="auto"/>
              </w:rPr>
            </w:pPr>
          </w:p>
        </w:tc>
        <w:tc>
          <w:tcPr>
            <w:tcW w:w="908"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1.20</w:t>
            </w:r>
          </w:p>
        </w:tc>
        <w:tc>
          <w:tcPr>
            <w:tcW w:w="908"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1.20</w:t>
            </w:r>
          </w:p>
        </w:tc>
        <w:tc>
          <w:tcPr>
            <w:tcW w:w="908"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1.20</w:t>
            </w:r>
          </w:p>
        </w:tc>
        <w:tc>
          <w:tcPr>
            <w:tcW w:w="908" w:type="dxa"/>
            <w:shd w:val="clear" w:color="auto" w:fill="auto"/>
            <w:vAlign w:val="center"/>
          </w:tcPr>
          <w:p>
            <w:pPr>
              <w:spacing w:line="300" w:lineRule="exact"/>
              <w:jc w:val="right"/>
              <w:rPr>
                <w:rFonts w:ascii="方正书宋_GBK" w:eastAsia="方正书宋_GBK"/>
                <w:b/>
                <w:color w:val="auto"/>
              </w:rPr>
            </w:pPr>
          </w:p>
        </w:tc>
        <w:tc>
          <w:tcPr>
            <w:tcW w:w="910" w:type="dxa"/>
            <w:shd w:val="clear" w:color="auto" w:fill="auto"/>
            <w:vAlign w:val="center"/>
          </w:tcPr>
          <w:p>
            <w:pPr>
              <w:spacing w:line="300" w:lineRule="exact"/>
              <w:jc w:val="right"/>
              <w:rPr>
                <w:rFonts w:ascii="方正书宋_GBK" w:eastAsia="方正书宋_GBK"/>
                <w:b/>
                <w:color w:val="auto"/>
              </w:rPr>
            </w:pPr>
          </w:p>
        </w:tc>
        <w:tc>
          <w:tcPr>
            <w:tcW w:w="910" w:type="dxa"/>
            <w:shd w:val="clear" w:color="auto" w:fill="auto"/>
            <w:vAlign w:val="center"/>
          </w:tcPr>
          <w:p>
            <w:pPr>
              <w:spacing w:line="300" w:lineRule="exact"/>
              <w:jc w:val="right"/>
              <w:rPr>
                <w:rFonts w:ascii="方正书宋_GBK" w:eastAsia="方正书宋_GBK"/>
                <w:b/>
                <w:color w:val="auto"/>
              </w:rPr>
            </w:pPr>
          </w:p>
        </w:tc>
        <w:tc>
          <w:tcPr>
            <w:tcW w:w="869"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曲阳县妇女联合会小计</w:t>
            </w:r>
          </w:p>
        </w:tc>
        <w:tc>
          <w:tcPr>
            <w:tcW w:w="1037" w:type="dxa"/>
            <w:shd w:val="clear" w:color="auto" w:fill="auto"/>
            <w:vAlign w:val="center"/>
          </w:tcPr>
          <w:p>
            <w:pPr>
              <w:spacing w:line="300" w:lineRule="exact"/>
              <w:jc w:val="right"/>
              <w:rPr>
                <w:rFonts w:ascii="方正书宋_GBK" w:eastAsia="方正书宋_GBK"/>
                <w:b/>
                <w:color w:val="auto"/>
              </w:rPr>
            </w:pPr>
          </w:p>
        </w:tc>
        <w:tc>
          <w:tcPr>
            <w:tcW w:w="919" w:type="dxa"/>
            <w:shd w:val="clear" w:color="auto" w:fill="auto"/>
            <w:vAlign w:val="center"/>
          </w:tcPr>
          <w:p>
            <w:pPr>
              <w:spacing w:line="300" w:lineRule="exact"/>
              <w:jc w:val="left"/>
              <w:rPr>
                <w:rFonts w:ascii="方正书宋_GBK" w:eastAsia="方正书宋_GBK"/>
                <w:b/>
                <w:color w:val="auto"/>
              </w:rPr>
            </w:pPr>
          </w:p>
        </w:tc>
        <w:tc>
          <w:tcPr>
            <w:tcW w:w="930" w:type="dxa"/>
            <w:shd w:val="clear" w:color="auto" w:fill="auto"/>
            <w:vAlign w:val="center"/>
          </w:tcPr>
          <w:p>
            <w:pPr>
              <w:spacing w:line="300" w:lineRule="exact"/>
              <w:jc w:val="left"/>
              <w:rPr>
                <w:rFonts w:ascii="方正书宋_GBK" w:eastAsia="方正书宋_GBK"/>
                <w:b/>
                <w:color w:val="auto"/>
              </w:rPr>
            </w:pPr>
          </w:p>
        </w:tc>
        <w:tc>
          <w:tcPr>
            <w:tcW w:w="718" w:type="dxa"/>
            <w:shd w:val="clear" w:color="auto" w:fill="auto"/>
            <w:vAlign w:val="center"/>
          </w:tcPr>
          <w:p>
            <w:pPr>
              <w:spacing w:line="300" w:lineRule="exact"/>
              <w:jc w:val="left"/>
              <w:rPr>
                <w:rFonts w:ascii="方正书宋_GBK" w:eastAsia="方正书宋_GBK"/>
                <w:b/>
                <w:color w:val="auto"/>
              </w:rPr>
            </w:pPr>
          </w:p>
        </w:tc>
        <w:tc>
          <w:tcPr>
            <w:tcW w:w="718" w:type="dxa"/>
            <w:shd w:val="clear" w:color="auto" w:fill="auto"/>
            <w:vAlign w:val="center"/>
          </w:tcPr>
          <w:p>
            <w:pPr>
              <w:spacing w:line="300" w:lineRule="exact"/>
              <w:jc w:val="right"/>
              <w:rPr>
                <w:rFonts w:ascii="方正书宋_GBK" w:eastAsia="方正书宋_GBK"/>
                <w:b/>
                <w:color w:val="auto"/>
              </w:rPr>
            </w:pPr>
          </w:p>
        </w:tc>
        <w:tc>
          <w:tcPr>
            <w:tcW w:w="800" w:type="dxa"/>
            <w:shd w:val="clear" w:color="auto" w:fill="auto"/>
            <w:vAlign w:val="center"/>
          </w:tcPr>
          <w:p>
            <w:pPr>
              <w:spacing w:line="300" w:lineRule="exact"/>
              <w:jc w:val="right"/>
              <w:rPr>
                <w:rFonts w:ascii="方正书宋_GBK" w:eastAsia="方正书宋_GBK"/>
                <w:b/>
                <w:color w:val="auto"/>
              </w:rPr>
            </w:pPr>
          </w:p>
        </w:tc>
        <w:tc>
          <w:tcPr>
            <w:tcW w:w="908"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1.20</w:t>
            </w:r>
          </w:p>
        </w:tc>
        <w:tc>
          <w:tcPr>
            <w:tcW w:w="908"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1.20</w:t>
            </w:r>
          </w:p>
        </w:tc>
        <w:tc>
          <w:tcPr>
            <w:tcW w:w="908"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1.20</w:t>
            </w:r>
          </w:p>
        </w:tc>
        <w:tc>
          <w:tcPr>
            <w:tcW w:w="908" w:type="dxa"/>
            <w:shd w:val="clear" w:color="auto" w:fill="auto"/>
            <w:vAlign w:val="center"/>
          </w:tcPr>
          <w:p>
            <w:pPr>
              <w:spacing w:line="300" w:lineRule="exact"/>
              <w:jc w:val="right"/>
              <w:rPr>
                <w:rFonts w:ascii="方正书宋_GBK" w:eastAsia="方正书宋_GBK"/>
                <w:b/>
                <w:color w:val="auto"/>
              </w:rPr>
            </w:pPr>
          </w:p>
        </w:tc>
        <w:tc>
          <w:tcPr>
            <w:tcW w:w="910" w:type="dxa"/>
            <w:shd w:val="clear" w:color="auto" w:fill="auto"/>
            <w:vAlign w:val="center"/>
          </w:tcPr>
          <w:p>
            <w:pPr>
              <w:spacing w:line="300" w:lineRule="exact"/>
              <w:jc w:val="right"/>
              <w:rPr>
                <w:rFonts w:ascii="方正书宋_GBK" w:eastAsia="方正书宋_GBK"/>
                <w:b/>
                <w:color w:val="auto"/>
              </w:rPr>
            </w:pPr>
          </w:p>
        </w:tc>
        <w:tc>
          <w:tcPr>
            <w:tcW w:w="910" w:type="dxa"/>
            <w:shd w:val="clear" w:color="auto" w:fill="auto"/>
            <w:vAlign w:val="center"/>
          </w:tcPr>
          <w:p>
            <w:pPr>
              <w:spacing w:line="300" w:lineRule="exact"/>
              <w:jc w:val="right"/>
              <w:rPr>
                <w:rFonts w:ascii="方正书宋_GBK" w:eastAsia="方正书宋_GBK"/>
                <w:b/>
                <w:color w:val="auto"/>
              </w:rPr>
            </w:pPr>
          </w:p>
        </w:tc>
        <w:tc>
          <w:tcPr>
            <w:tcW w:w="869"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09"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县妇联妇女之家建设</w:t>
            </w:r>
          </w:p>
        </w:tc>
        <w:tc>
          <w:tcPr>
            <w:tcW w:w="10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19"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广告服务</w:t>
            </w:r>
          </w:p>
        </w:tc>
        <w:tc>
          <w:tcPr>
            <w:tcW w:w="93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C0806</w:t>
            </w:r>
          </w:p>
        </w:tc>
        <w:tc>
          <w:tcPr>
            <w:tcW w:w="718" w:type="dxa"/>
            <w:shd w:val="clear" w:color="auto" w:fill="auto"/>
            <w:vAlign w:val="center"/>
          </w:tcPr>
          <w:p>
            <w:pPr>
              <w:spacing w:line="300" w:lineRule="exact"/>
              <w:jc w:val="left"/>
              <w:rPr>
                <w:rFonts w:ascii="方正书宋_GBK" w:eastAsia="方正书宋_GBK"/>
                <w:color w:val="auto"/>
              </w:rPr>
            </w:pPr>
          </w:p>
        </w:tc>
        <w:tc>
          <w:tcPr>
            <w:tcW w:w="71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0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1.20</w:t>
            </w:r>
          </w:p>
        </w:tc>
        <w:tc>
          <w:tcPr>
            <w:tcW w:w="90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1.20</w:t>
            </w:r>
          </w:p>
        </w:tc>
        <w:tc>
          <w:tcPr>
            <w:tcW w:w="90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1.20</w:t>
            </w:r>
          </w:p>
        </w:tc>
        <w:tc>
          <w:tcPr>
            <w:tcW w:w="90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1.20</w:t>
            </w:r>
          </w:p>
        </w:tc>
        <w:tc>
          <w:tcPr>
            <w:tcW w:w="908" w:type="dxa"/>
            <w:shd w:val="clear" w:color="auto" w:fill="auto"/>
            <w:vAlign w:val="center"/>
          </w:tcPr>
          <w:p>
            <w:pPr>
              <w:spacing w:line="300" w:lineRule="exact"/>
              <w:jc w:val="right"/>
              <w:rPr>
                <w:rFonts w:ascii="方正书宋_GBK" w:eastAsia="方正书宋_GBK"/>
                <w:color w:val="auto"/>
              </w:rPr>
            </w:pPr>
          </w:p>
        </w:tc>
        <w:tc>
          <w:tcPr>
            <w:tcW w:w="910" w:type="dxa"/>
            <w:shd w:val="clear" w:color="auto" w:fill="auto"/>
            <w:vAlign w:val="center"/>
          </w:tcPr>
          <w:p>
            <w:pPr>
              <w:spacing w:line="300" w:lineRule="exact"/>
              <w:jc w:val="right"/>
              <w:rPr>
                <w:rFonts w:ascii="方正书宋_GBK" w:eastAsia="方正书宋_GBK"/>
                <w:color w:val="auto"/>
              </w:rPr>
            </w:pPr>
          </w:p>
        </w:tc>
        <w:tc>
          <w:tcPr>
            <w:tcW w:w="910" w:type="dxa"/>
            <w:shd w:val="clear" w:color="auto" w:fill="auto"/>
            <w:vAlign w:val="center"/>
          </w:tcPr>
          <w:p>
            <w:pPr>
              <w:spacing w:line="300" w:lineRule="exact"/>
              <w:jc w:val="right"/>
              <w:rPr>
                <w:rFonts w:ascii="方正书宋_GBK" w:eastAsia="方正书宋_GBK"/>
                <w:color w:val="auto"/>
              </w:rPr>
            </w:pPr>
          </w:p>
        </w:tc>
        <w:tc>
          <w:tcPr>
            <w:tcW w:w="869" w:type="dxa"/>
            <w:shd w:val="clear" w:color="auto" w:fill="auto"/>
            <w:vAlign w:val="center"/>
          </w:tcPr>
          <w:p>
            <w:pPr>
              <w:spacing w:line="300" w:lineRule="exact"/>
              <w:jc w:val="right"/>
              <w:rPr>
                <w:rFonts w:ascii="方正书宋_GBK" w:eastAsia="方正书宋_GBK"/>
                <w:color w:val="auto"/>
              </w:rPr>
            </w:pPr>
          </w:p>
        </w:tc>
      </w:tr>
    </w:tbl>
    <w:p>
      <w:pPr>
        <w:ind w:firstLine="640" w:firstLineChars="200"/>
        <w:outlineLvl w:val="0"/>
        <w:rPr>
          <w:rFonts w:hint="eastAsia" w:ascii="Times New Roman" w:hAnsi="Times New Roman" w:eastAsia="仿宋" w:cs="Times New Roman"/>
          <w:color w:val="auto"/>
          <w:sz w:val="32"/>
          <w:szCs w:val="24"/>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rPr>
        <w:t>曲阳县妇女联合会</w:t>
      </w:r>
      <w:r>
        <w:rPr>
          <w:rFonts w:ascii="Times New Roman" w:hAnsi="Times New Roman" w:eastAsia="仿宋" w:cs="Times New Roman"/>
          <w:color w:val="auto"/>
          <w:sz w:val="32"/>
          <w:szCs w:val="32"/>
        </w:rPr>
        <w:t>上年末固定资产金额为2.19万元（详见下表）</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本年度我单位无固定资产购置项目。</w:t>
      </w:r>
    </w:p>
    <w:tbl>
      <w:tblPr>
        <w:tblStyle w:val="7"/>
        <w:tblW w:w="13600" w:type="dxa"/>
        <w:tblInd w:w="93" w:type="dxa"/>
        <w:tblLayout w:type="fixed"/>
        <w:tblCellMar>
          <w:top w:w="0" w:type="dxa"/>
          <w:left w:w="108" w:type="dxa"/>
          <w:bottom w:w="0" w:type="dxa"/>
          <w:right w:w="108" w:type="dxa"/>
        </w:tblCellMar>
      </w:tblPr>
      <w:tblGrid>
        <w:gridCol w:w="5269"/>
        <w:gridCol w:w="3182"/>
        <w:gridCol w:w="5149"/>
      </w:tblGrid>
      <w:tr>
        <w:tblPrEx>
          <w:tblLayout w:type="fixed"/>
          <w:tblCellMar>
            <w:top w:w="0" w:type="dxa"/>
            <w:left w:w="108" w:type="dxa"/>
            <w:bottom w:w="0" w:type="dxa"/>
            <w:right w:w="108" w:type="dxa"/>
          </w:tblCellMar>
        </w:tblPrEx>
        <w:trPr>
          <w:trHeight w:val="370" w:hRule="atLeast"/>
        </w:trPr>
        <w:tc>
          <w:tcPr>
            <w:tcW w:w="13600"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p>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曲阳县县直部门固定资产占用情况表</w:t>
            </w:r>
          </w:p>
        </w:tc>
      </w:tr>
      <w:tr>
        <w:tblPrEx>
          <w:tblLayout w:type="fixed"/>
          <w:tblCellMar>
            <w:top w:w="0" w:type="dxa"/>
            <w:left w:w="108" w:type="dxa"/>
            <w:bottom w:w="0" w:type="dxa"/>
            <w:right w:w="108" w:type="dxa"/>
          </w:tblCellMar>
        </w:tblPrEx>
        <w:trPr>
          <w:trHeight w:val="267" w:hRule="atLeast"/>
        </w:trPr>
        <w:tc>
          <w:tcPr>
            <w:tcW w:w="8451"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曲阳县妇女联合会</w:t>
            </w:r>
          </w:p>
        </w:tc>
        <w:tc>
          <w:tcPr>
            <w:tcW w:w="5149"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截止时间：2018年12月31日</w:t>
            </w:r>
          </w:p>
        </w:tc>
      </w:tr>
      <w:tr>
        <w:tblPrEx>
          <w:tblLayout w:type="fixed"/>
          <w:tblCellMar>
            <w:top w:w="0" w:type="dxa"/>
            <w:left w:w="108" w:type="dxa"/>
            <w:bottom w:w="0" w:type="dxa"/>
            <w:right w:w="108" w:type="dxa"/>
          </w:tblCellMar>
        </w:tblPrEx>
        <w:trPr>
          <w:trHeight w:val="338" w:hRule="atLeast"/>
        </w:trPr>
        <w:tc>
          <w:tcPr>
            <w:tcW w:w="5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338" w:hRule="atLeast"/>
        </w:trPr>
        <w:tc>
          <w:tcPr>
            <w:tcW w:w="526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4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2.19</w:t>
            </w:r>
          </w:p>
        </w:tc>
      </w:tr>
      <w:tr>
        <w:tblPrEx>
          <w:tblLayout w:type="fixed"/>
          <w:tblCellMar>
            <w:top w:w="0" w:type="dxa"/>
            <w:left w:w="108" w:type="dxa"/>
            <w:bottom w:w="0" w:type="dxa"/>
            <w:right w:w="108" w:type="dxa"/>
          </w:tblCellMar>
        </w:tblPrEx>
        <w:trPr>
          <w:trHeight w:val="338" w:hRule="atLeast"/>
        </w:trPr>
        <w:tc>
          <w:tcPr>
            <w:tcW w:w="526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0</w:t>
            </w:r>
          </w:p>
        </w:tc>
        <w:tc>
          <w:tcPr>
            <w:tcW w:w="514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0</w:t>
            </w:r>
          </w:p>
        </w:tc>
      </w:tr>
      <w:tr>
        <w:tblPrEx>
          <w:tblLayout w:type="fixed"/>
          <w:tblCellMar>
            <w:top w:w="0" w:type="dxa"/>
            <w:left w:w="108" w:type="dxa"/>
            <w:bottom w:w="0" w:type="dxa"/>
            <w:right w:w="108" w:type="dxa"/>
          </w:tblCellMar>
        </w:tblPrEx>
        <w:trPr>
          <w:trHeight w:val="338" w:hRule="atLeast"/>
        </w:trPr>
        <w:tc>
          <w:tcPr>
            <w:tcW w:w="526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0</w:t>
            </w:r>
          </w:p>
        </w:tc>
        <w:tc>
          <w:tcPr>
            <w:tcW w:w="514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0</w:t>
            </w:r>
          </w:p>
        </w:tc>
      </w:tr>
      <w:tr>
        <w:tblPrEx>
          <w:tblLayout w:type="fixed"/>
          <w:tblCellMar>
            <w:top w:w="0" w:type="dxa"/>
            <w:left w:w="108" w:type="dxa"/>
            <w:bottom w:w="0" w:type="dxa"/>
            <w:right w:w="108" w:type="dxa"/>
          </w:tblCellMar>
        </w:tblPrEx>
        <w:trPr>
          <w:trHeight w:val="338" w:hRule="atLeast"/>
        </w:trPr>
        <w:tc>
          <w:tcPr>
            <w:tcW w:w="526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0</w:t>
            </w:r>
          </w:p>
        </w:tc>
        <w:tc>
          <w:tcPr>
            <w:tcW w:w="514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0</w:t>
            </w:r>
          </w:p>
        </w:tc>
      </w:tr>
      <w:tr>
        <w:tblPrEx>
          <w:tblLayout w:type="fixed"/>
          <w:tblCellMar>
            <w:top w:w="0" w:type="dxa"/>
            <w:left w:w="108" w:type="dxa"/>
            <w:bottom w:w="0" w:type="dxa"/>
            <w:right w:w="108" w:type="dxa"/>
          </w:tblCellMar>
        </w:tblPrEx>
        <w:trPr>
          <w:trHeight w:val="338" w:hRule="atLeast"/>
        </w:trPr>
        <w:tc>
          <w:tcPr>
            <w:tcW w:w="526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4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0</w:t>
            </w:r>
          </w:p>
        </w:tc>
      </w:tr>
      <w:tr>
        <w:tblPrEx>
          <w:tblLayout w:type="fixed"/>
          <w:tblCellMar>
            <w:top w:w="0" w:type="dxa"/>
            <w:left w:w="108" w:type="dxa"/>
            <w:bottom w:w="0" w:type="dxa"/>
            <w:right w:w="108" w:type="dxa"/>
          </w:tblCellMar>
        </w:tblPrEx>
        <w:trPr>
          <w:trHeight w:val="338" w:hRule="atLeast"/>
        </w:trPr>
        <w:tc>
          <w:tcPr>
            <w:tcW w:w="526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4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2.19</w:t>
            </w:r>
          </w:p>
        </w:tc>
      </w:tr>
    </w:tbl>
    <w:p>
      <w:pPr>
        <w:autoSpaceDE w:val="0"/>
        <w:autoSpaceDN w:val="0"/>
        <w:adjustRightInd w:val="0"/>
        <w:spacing w:line="520" w:lineRule="exact"/>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级财政当年拨付的资金。</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方正楷体_GBK">
    <w:altName w:val="宋体"/>
    <w:panose1 w:val="00000000000000000000"/>
    <w:charset w:val="86"/>
    <w:family w:val="moder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rPr>
      </w:pPr>
      <w:r>
        <w:rPr>
          <w:rStyle w:val="9"/>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A5724"/>
    <w:rsid w:val="000B6658"/>
    <w:rsid w:val="0013228E"/>
    <w:rsid w:val="0027733F"/>
    <w:rsid w:val="002E4731"/>
    <w:rsid w:val="002E65A2"/>
    <w:rsid w:val="002F3498"/>
    <w:rsid w:val="003277EC"/>
    <w:rsid w:val="00456D84"/>
    <w:rsid w:val="00537F3E"/>
    <w:rsid w:val="00621DB1"/>
    <w:rsid w:val="00657CF5"/>
    <w:rsid w:val="00687E75"/>
    <w:rsid w:val="006D7083"/>
    <w:rsid w:val="007B0F2A"/>
    <w:rsid w:val="008003BA"/>
    <w:rsid w:val="00817B30"/>
    <w:rsid w:val="0085745B"/>
    <w:rsid w:val="008C091D"/>
    <w:rsid w:val="00CB7F01"/>
    <w:rsid w:val="00E57005"/>
    <w:rsid w:val="00F171F2"/>
    <w:rsid w:val="00FC112A"/>
    <w:rsid w:val="21BB7D9F"/>
    <w:rsid w:val="41B54936"/>
    <w:rsid w:val="4CBA3672"/>
    <w:rsid w:val="75F422BE"/>
    <w:rsid w:val="7DB177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footnote text"/>
    <w:basedOn w:val="1"/>
    <w:link w:val="15"/>
    <w:semiHidden/>
    <w:uiPriority w:val="0"/>
    <w:pPr>
      <w:snapToGrid w:val="0"/>
      <w:jc w:val="left"/>
    </w:pPr>
    <w:rPr>
      <w:rFonts w:ascii="Times New Roman" w:hAnsi="Times New Roman" w:cs="Times New Roman"/>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basedOn w:val="8"/>
    <w:semiHidden/>
    <w:qFormat/>
    <w:uiPriority w:val="0"/>
    <w:rPr>
      <w:vertAlign w:val="superscript"/>
    </w:rPr>
  </w:style>
  <w:style w:type="character" w:customStyle="1" w:styleId="10">
    <w:name w:val="页脚 字符"/>
    <w:link w:val="2"/>
    <w:semiHidden/>
    <w:qFormat/>
    <w:uiPriority w:val="0"/>
    <w:rPr>
      <w:rFonts w:ascii="Times New Roman" w:hAnsi="Times New Roman" w:eastAsia="宋体" w:cs="Times New Roman"/>
      <w:sz w:val="18"/>
      <w:szCs w:val="18"/>
    </w:rPr>
  </w:style>
  <w:style w:type="character" w:customStyle="1" w:styleId="11">
    <w:name w:val="页眉 字符"/>
    <w:link w:val="3"/>
    <w:semiHidden/>
    <w:qFormat/>
    <w:uiPriority w:val="0"/>
    <w:rPr>
      <w:rFonts w:ascii="Times New Roman" w:hAnsi="Times New Roman" w:eastAsia="宋体" w:cs="Times New Roman"/>
      <w:sz w:val="18"/>
      <w:szCs w:val="18"/>
    </w:rPr>
  </w:style>
  <w:style w:type="paragraph" w:customStyle="1" w:styleId="12">
    <w:name w:val="Char"/>
    <w:basedOn w:val="1"/>
    <w:qFormat/>
    <w:uiPriority w:val="0"/>
    <w:rPr>
      <w:rFonts w:ascii="Times New Roman" w:hAnsi="Times New Roman" w:cs="Times New Roman"/>
      <w:szCs w:val="24"/>
    </w:rPr>
  </w:style>
  <w:style w:type="paragraph" w:customStyle="1" w:styleId="13">
    <w:name w:val="List Paragraph"/>
    <w:basedOn w:val="1"/>
    <w:qFormat/>
    <w:uiPriority w:val="34"/>
    <w:pPr>
      <w:ind w:firstLine="420" w:firstLineChars="200"/>
    </w:pPr>
  </w:style>
  <w:style w:type="paragraph" w:customStyle="1" w:styleId="1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15">
    <w:name w:val="脚注文本 字符"/>
    <w:basedOn w:val="8"/>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766</Words>
  <Characters>4370</Characters>
  <Lines>36</Lines>
  <Paragraphs>10</Paragraphs>
  <TotalTime>0</TotalTime>
  <ScaleCrop>false</ScaleCrop>
  <LinksUpToDate>false</LinksUpToDate>
  <CharactersWithSpaces>5126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RovN</cp:lastModifiedBy>
  <cp:lastPrinted>2017-02-09T01:57:00Z</cp:lastPrinted>
  <dcterms:modified xsi:type="dcterms:W3CDTF">2023-11-08T06:01:15Z</dcterms:modified>
  <dc:title>Administrator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