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曲商字（202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）第7号                 签发人: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张学用</w:t>
      </w: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220" w:lineRule="atLeas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曲阳县商务局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关于印发202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年“双随机、一公开”监管工作实施方案的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通 知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  <w:lang w:bidi="ar"/>
        </w:rPr>
      </w:pPr>
    </w:p>
    <w:p>
      <w:pPr>
        <w:widowControl/>
        <w:spacing w:line="450" w:lineRule="atLeast"/>
        <w:ind w:firstLine="640" w:firstLineChars="20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为认真贯彻落实上级部门关于“双随机、一公开”监管工作的部署要求，持续优化营商环境，进一步深化“放管服”改革，推进“双随机、一公开”监管与企业信用风险分级分类深度融合，实现商务部门内部联合“双随机、一公开”监管抽查事项全覆盖、监管方式常态化、抽查检查规范化精准化，制定本方案。</w:t>
      </w:r>
    </w:p>
    <w:p>
      <w:pPr>
        <w:widowControl/>
        <w:spacing w:line="450" w:lineRule="atLeast"/>
        <w:ind w:firstLine="736" w:firstLineChars="23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一、工作目标</w:t>
      </w:r>
    </w:p>
    <w:p>
      <w:pPr>
        <w:widowControl/>
        <w:spacing w:line="450" w:lineRule="atLeast"/>
        <w:ind w:firstLine="640" w:firstLineChars="20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进一步完善我县商务系统内部“双随机、一公开”监管工作机制，加强“双随机、一公开”监管规范化建设，确保“双随机、一公开”监管全覆盖、常态化、规范化。综合运用企业信用风险分级分类结果，大力实施差异化随机抽查，提高抽查检查发现问题率，提升监管的精准性和靶向性。全县年度抽查企业占比达到3%以上,抽查结果公示率达到100%,抽查检查发现问题后续处理到位，联合惩戒到位。</w:t>
      </w:r>
    </w:p>
    <w:p>
      <w:pPr>
        <w:widowControl/>
        <w:spacing w:line="450" w:lineRule="atLeast"/>
        <w:ind w:firstLine="42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二、主要工作任务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（一）完善“一单两库”。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业务股室要在新的河北省双随机监管工作平台（以下简称新平台）上线运行后，及时结合“三定”规定明确的监管职责，对照全系统随机抽查事项清单，对涉及本业务条线监管事权的事项进行认领，为开展随机抽查打好基础。各相关股、所要对检查对象名录库和执法检查人员名录库实施动态调整，结合行业分类、重点领域和监管工作需求，对检查对象名录库进行分类标注；综合考虑执法队伍实际、内部职能划分、执法人员专长等因素，对执法人员名录进行分类标注，对确需委托专业人员（机构）参加抽查，也要通过分类标注方式建立专门的专家库，提升人员匹配的科学性、精准性，确保抽查检查的高效性。此项工作要于3月底前完成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（二）规范抽查检查工作程序。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依据省、市局的工作安排，结合我县实际与工作需求，各业务股室条线有具体双随机抽查工作计划安排的，要严格按照规范化要求，履行相关工作程序，报县局备案。各股、所要严格按照程序实施随机抽查检查。根据所涉及到的抽查对象范围和检查事项，通过河北省双随机监管工作平台，从检查对象名录库中随机抽取检查对象，抽取的过程要确保公开、公正，并根据实际情况随机匹配执法检查人员。涉及专业领域的，可以委托有资质的机构开展检验检测、财务审计、调查咨询等工作，或依法采用相关机构作出的鉴定结论。要严格按照《随机抽查工作规范——河北省地方标准》开展抽查检查，规范随机抽查工作程序。抽查结束后，要及时将相关抽查资料归档，确保档案资料齐全，签字完整，提高“双随机、一公开”监管规范化水平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（三）加强系统内部联合抽查，提升监管精准性。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结合行业领域特点和被检查对象所涉及抽查事项的交集度，科学合理组织开展系统内部联合抽查，实现“进一次门，查多项事”，减少对企业正常经营的干扰。要充分运用企业信用风险分级分类结果，根据不同信用风险等级实施差异化抽查，提高抽查检查问题发现率，确保“双随机”抽查的精准性和震慑力，推进智慧监管、精准监管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（四）强化结果运用，做好后续处置。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要本着“谁检查、谁录入、谁公示”的原则，在检查结束后 20 个工作日内录入检查结果并向社会公示。要认真做好随机抽查后续处置工作，及时将后续处理结果录入平台，涉及其他部门监管职责的要及时抄告、移送，涉嫌犯罪的要移送司法机关，防止后续监管脱节。要对抽查中发现的违法违规行为加大惩戒力度，实施联合惩戒，促进“双随机、一公开”监管与信用监管有效衔接，增强市场主体诚信守法经营意识。市局、县局将在每次抽查任务结束后，通过对抽查工作进行回访、调取后台抽查数据等方式进行督导，督导情况视情通报全系统，并作为年度考核依据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（五）加大宣传培训力度。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要加大对“双随机、一公开”监管政策的宣传力度，多种形式宣传解读推进“双随机、一公开”监管工作的重大意义和政策措施，将双随机抽查的操作流程、检查标准、失信行为惩戒等向社会、市场主体开展普法宣传，提高市场主体对双随机抽查的认知度，促进全社会对监管对象、政府监管行为的监督。要加强基层执法人员业务培训，重点抓好随机抽查工作规范——河北省地方标准、抽查检查工作指引等内容培训，提升基层执法人员各领域抽查检查水平和发现问题能力。同时，以新平台上线为契机，着重抓好新平台操作使用培训，培养一批业务能力强、综合素质高、“一专多能”的执法人员。</w:t>
      </w:r>
    </w:p>
    <w:p>
      <w:pPr>
        <w:widowControl/>
        <w:spacing w:line="450" w:lineRule="atLeast"/>
        <w:ind w:firstLine="420"/>
        <w:jc w:val="lef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三、工作要求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（一）加强组织领导。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为加强我局“双随机、一公开”监管工作的组织领导，县局成立由局长为组长、各业务主管局长任副组长,各股、所长为成员的“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eastAsia="zh-CN" w:bidi="ar"/>
        </w:rPr>
        <w:t>双随机、一公开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”工作领导小组，各相关股、所要进一步增强责任意识，按照抽查计划和具体实施方案，细化工作目标任务，完善工作机制，扎实推进本地“双随机、一公开”监管工作，确保工作取得实效。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（二）严格督导问效。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县局要坚持问题导向和目标导向，运用跟踪问效、督导检查等措施，督促基层分局按计划、按时限扎实推进工作。要探索建立双随机抽查工作回访制度，对回访中发现抽查检查走形式、随意录入检查结果等问题，要予以问责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（三）强化责任担当。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股室要进一步增强责任意识，科学、严谨制定每期随机抽查工作实施方案，抽查前要组织参与检查的执法人员进行相关业务培训，执法检查人员要本着对检查对象、检查结果负责的原则，严格按照确定的时间、抽查事项、检查流程和相关要求认真开展抽查检查，严防滥用职权、徇私舞弊等现象发生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color w:val="333333"/>
          <w:kern w:val="0"/>
          <w:sz w:val="32"/>
          <w:szCs w:val="32"/>
          <w:lang w:bidi="ar"/>
        </w:rPr>
        <w:t>（四）注重情况反馈。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各单位要按照信息报送制度要求，及时报送“双随机、一公开”工作进展情况，对随机抽查、平台使用中遇到的问题及工作中好的经验做法，及时反馈县局信用监管股。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联系人：杜 策   电话：4262566</w:t>
      </w:r>
    </w:p>
    <w:p>
      <w:pPr>
        <w:widowControl/>
        <w:spacing w:line="450" w:lineRule="atLeast"/>
        <w:ind w:firstLine="420"/>
        <w:jc w:val="left"/>
        <w:rPr>
          <w:rFonts w:ascii="仿宋_GB2312" w:hAnsi="仿宋" w:eastAsia="仿宋_GB2312" w:cs="仿宋"/>
          <w:color w:val="333333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lang w:bidi="ar"/>
        </w:rPr>
        <w:t>邮   箱：qyswj2008@126.com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ind w:left="960" w:hanging="960" w:hanging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附件：曲阳县商务局“双随机、一公开”监管工作领导小组名单</w:t>
      </w:r>
    </w:p>
    <w:p>
      <w:pPr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曲阳县商务局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“双随机、一公开”监管工作领导小组名单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商志朴    商务局局长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张学用    商务局副局长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刘国平    法治办主任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刘献伟    执法一中队队长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  勇    执法二中队队长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冯会昌    执法三中队队长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赵瑞航    执法四中队队长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领导小组下设办公室，办公室设在法治办。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00AA04DF"/>
    <w:rsid w:val="002B111D"/>
    <w:rsid w:val="00361352"/>
    <w:rsid w:val="008F59E0"/>
    <w:rsid w:val="00AA04DF"/>
    <w:rsid w:val="00AF015C"/>
    <w:rsid w:val="00E6090F"/>
    <w:rsid w:val="00FB3A9E"/>
    <w:rsid w:val="01221944"/>
    <w:rsid w:val="0693050A"/>
    <w:rsid w:val="3A9809CC"/>
    <w:rsid w:val="51D3057A"/>
    <w:rsid w:val="5D3635FE"/>
    <w:rsid w:val="78033155"/>
    <w:rsid w:val="7F0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9B-8AA7-48ED-B6B9-67AF450D5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2401</Words>
  <Characters>2439</Characters>
  <Lines>1</Lines>
  <Paragraphs>5</Paragraphs>
  <TotalTime>57</TotalTime>
  <ScaleCrop>false</ScaleCrop>
  <LinksUpToDate>false</LinksUpToDate>
  <CharactersWithSpaces>2505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2022-03-09T06:52:00Z</dcterms:created>
  <dc:creator>Administrator.SKY-20190425MVF</dc:creator>
  <cp:lastModifiedBy>Administrator</cp:lastModifiedBy>
  <cp:lastPrinted>2022-10-18T03:07:00Z</cp:lastPrinted>
  <dcterms:modified xsi:type="dcterms:W3CDTF">2024-01-15T02:19:14Z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2591A32638DB4C9C848DEE5226191E45_13</vt:lpwstr>
  </property>
</Properties>
</file>