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5" w:lineRule="atLeast"/>
        <w:jc w:val="center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</w:p>
    <w:p>
      <w:pPr>
        <w:pStyle w:val="4"/>
        <w:spacing w:line="555" w:lineRule="atLeast"/>
        <w:jc w:val="center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</w:p>
    <w:p>
      <w:pPr>
        <w:pStyle w:val="4"/>
        <w:spacing w:line="555" w:lineRule="atLeast"/>
        <w:jc w:val="center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</w:p>
    <w:p>
      <w:pPr>
        <w:pStyle w:val="4"/>
        <w:spacing w:line="555" w:lineRule="atLeast"/>
        <w:jc w:val="center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</w:p>
    <w:p>
      <w:pPr>
        <w:pStyle w:val="4"/>
        <w:spacing w:line="555" w:lineRule="atLeast"/>
        <w:jc w:val="center"/>
        <w:rPr>
          <w:rFonts w:hint="eastAsia" w:ascii="方正小标宋简体" w:hAnsi="&amp;quot" w:eastAsia="方正小标宋简体"/>
          <w:color w:val="FF0000"/>
          <w:sz w:val="36"/>
          <w:szCs w:val="36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u w:val="none"/>
        </w:rPr>
        <w:t>曲农查〔202</w:t>
      </w:r>
      <w:r>
        <w:rPr>
          <w:rFonts w:hint="eastAsia" w:ascii="仿宋_GB2312" w:hAnsi="&amp;quot" w:eastAsia="仿宋_GB2312"/>
          <w:color w:val="555555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&amp;quot" w:eastAsia="仿宋_GB2312"/>
          <w:color w:val="555555"/>
          <w:sz w:val="32"/>
          <w:szCs w:val="32"/>
          <w:u w:val="none"/>
        </w:rPr>
        <w:t>〕1号</w:t>
      </w:r>
    </w:p>
    <w:p>
      <w:pPr>
        <w:pStyle w:val="4"/>
        <w:spacing w:line="555" w:lineRule="atLeast"/>
        <w:jc w:val="center"/>
        <w:rPr>
          <w:rFonts w:hint="eastAsia" w:ascii="&amp;quot" w:hAnsi="&amp;quot"/>
          <w:color w:val="FF0000"/>
          <w:sz w:val="36"/>
          <w:szCs w:val="36"/>
        </w:rPr>
      </w:pPr>
      <w:r>
        <w:rPr>
          <w:rFonts w:hint="eastAsia" w:ascii="方正小标宋简体" w:hAnsi="&amp;quot" w:eastAsia="方正小标宋简体"/>
          <w:color w:val="FF0000"/>
          <w:sz w:val="36"/>
          <w:szCs w:val="36"/>
        </w:rPr>
        <w:t>202</w:t>
      </w:r>
      <w:r>
        <w:rPr>
          <w:rFonts w:hint="eastAsia" w:ascii="方正小标宋简体" w:hAnsi="&amp;quot" w:eastAsia="方正小标宋简体"/>
          <w:color w:val="FF0000"/>
          <w:sz w:val="36"/>
          <w:szCs w:val="36"/>
          <w:lang w:val="en-US" w:eastAsia="zh-CN"/>
        </w:rPr>
        <w:t>4</w:t>
      </w:r>
      <w:r>
        <w:rPr>
          <w:rFonts w:hint="eastAsia" w:ascii="方正小标宋简体" w:hAnsi="&amp;quot" w:eastAsia="方正小标宋简体"/>
          <w:color w:val="FF0000"/>
          <w:sz w:val="36"/>
          <w:szCs w:val="36"/>
        </w:rPr>
        <w:t>年度“双随机、一公开”抽查工作计划</w:t>
      </w:r>
    </w:p>
    <w:p>
      <w:pPr>
        <w:pStyle w:val="4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为全面加强事中事后监管，规范行政执法行为，优化经济社会发展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环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境，根据县双随机办公室工作要求，结合我县农业农村监管领域工作实际，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制定本计划。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一、总体要求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以习近平新时代中国特色社会主义思想为指导，认真落实党中央、国务院、上级党委、政府决策部署，切实转变监管理念，创新监管方式，实行抽查事项清单管理，避免多头执法、重复检查，规范执法行为，提高监管效能，减轻企业负担，强化信用支撑，进一步营造公平竞争的市场环境和法治化、便利化的营商环境。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二、工作目标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健全以“双随机、一公开”监管为基本手段、以重点监管为补充、以信用监管为基础的新型监管机制，通过全面开展“双随机、一公开”部门联合抽查，切实做到公平公正、公开透明、监管到位、执法必严，使守法守信者畅行天下、违法失信者寸步难行，对违法者“利剑高悬”，对守法者“无事不扰”，增强市场主体信用意识和自我约束力，以监管方式创新提升事中事后监管效能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三、抽查任务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见附件。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四、组织实施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</w:t>
      </w:r>
      <w:r>
        <w:rPr>
          <w:rFonts w:hint="eastAsia" w:ascii="楷体" w:hAnsi="楷体" w:eastAsia="楷体"/>
          <w:color w:val="555555"/>
          <w:sz w:val="32"/>
          <w:szCs w:val="32"/>
        </w:rPr>
        <w:t>1.抽查时间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202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4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年3月1日至202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&amp;quot" w:eastAsia="仿宋_GB2312"/>
          <w:color w:val="555555"/>
          <w:sz w:val="32"/>
          <w:szCs w:val="32"/>
        </w:rPr>
        <w:t>年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10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月31日。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2.随机抽查对象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（1）抽查对象由曲阳县农业农村局从执法检查对象名录库中随机抽取。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（2）抽查人员由曲阳县农业农村局从执法检查人员名录库中随机抽取。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Fonts w:ascii="Calibri" w:hAnsi="Calibri" w:eastAsia="楷体" w:cs="Calibri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3.抽查内容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农作物种子质量、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种畜禽质量、</w:t>
      </w: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养殖场档案、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生鲜乳收购许可证、饲料和饲料添加剂生产企业、兽药、畜禽定点屠宰企业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水生野生动物及其制品保护利用活动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Style w:val="7"/>
          <w:rFonts w:ascii="Calibri" w:hAnsi="Calibri" w:eastAsia="楷体" w:cs="Calibri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4.抽查比例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    随机抽查比例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根据抽查要求确定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 </w:t>
      </w:r>
      <w:r>
        <w:rPr>
          <w:rFonts w:hint="eastAsia" w:ascii="楷体" w:hAnsi="楷体" w:eastAsia="楷体"/>
          <w:color w:val="555555"/>
          <w:sz w:val="32"/>
          <w:szCs w:val="32"/>
        </w:rPr>
        <w:t>5.抽查方式</w:t>
      </w:r>
    </w:p>
    <w:p>
      <w:pPr>
        <w:pStyle w:val="4"/>
        <w:spacing w:before="0" w:beforeAutospacing="0" w:after="0" w:afterAutospacing="0" w:line="555" w:lineRule="atLeast"/>
        <w:ind w:firstLine="420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随机抽查采取现场检查，查阅资料等方式进行。</w:t>
      </w:r>
    </w:p>
    <w:p>
      <w:pPr>
        <w:pStyle w:val="4"/>
        <w:spacing w:before="0" w:beforeAutospacing="0" w:after="0" w:afterAutospacing="0" w:line="555" w:lineRule="atLeast"/>
        <w:ind w:firstLine="321" w:firstLineChars="100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6.抽查结果运用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    对抽查发现的违法行为，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要依法定程序及时处理，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要依法依规加大惩处力度，形成有效震慑，增强检查对象守法的自觉性。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对抽查中发现的不属于本部门监管职责范围的违法行为，要及时通报有权监管部门，涉嫌犯罪的，要依法移送司法机关。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五、工作要求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一）加强领导，提高认识。相关各科室要将“双随机”抽查列入年度工作的重要议事日程，切实加强对随机抽查工作的组织领导，精心组织，周密部署，明确工作任务，科学合理分工，确保随机抽查工作取得明显实效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（二）加强沟通联系，密切协调配合。各科室要按照农业农村局统一部署，密切协作，积极配合，按照分工，做好联合抽查的组织实施，确保联合抽查有序开展。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（三）做好信息公示，促进信用监管。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要做好检查结果的公示，严格按照《202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年度曲阳县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“双随机、一公开”监管工作实施方案》的要求，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及时向社会公示，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接受社会监督，促进形成企业诚信自律的社会氛围。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YTI5N2NiMTg5MjIyOTZiY2RhMjIzMjFjYzQ1OTgifQ=="/>
  </w:docVars>
  <w:rsids>
    <w:rsidRoot w:val="00B118E0"/>
    <w:rsid w:val="000F623B"/>
    <w:rsid w:val="002F2973"/>
    <w:rsid w:val="00402C5F"/>
    <w:rsid w:val="007232A8"/>
    <w:rsid w:val="007B6084"/>
    <w:rsid w:val="00842D82"/>
    <w:rsid w:val="008E07BD"/>
    <w:rsid w:val="00937832"/>
    <w:rsid w:val="00AD3E49"/>
    <w:rsid w:val="00B118E0"/>
    <w:rsid w:val="00B91304"/>
    <w:rsid w:val="00C12611"/>
    <w:rsid w:val="00CE6BB3"/>
    <w:rsid w:val="00D2039A"/>
    <w:rsid w:val="00D25660"/>
    <w:rsid w:val="00E05D6D"/>
    <w:rsid w:val="322219E6"/>
    <w:rsid w:val="49277CCF"/>
    <w:rsid w:val="6A3D078F"/>
    <w:rsid w:val="6CD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1038</Characters>
  <Lines>8</Lines>
  <Paragraphs>2</Paragraphs>
  <TotalTime>5</TotalTime>
  <ScaleCrop>false</ScaleCrop>
  <LinksUpToDate>false</LinksUpToDate>
  <CharactersWithSpaces>1105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2021-12-08T23:54:00Z</dcterms:created>
  <dc:creator>执法一中队</dc:creator>
  <cp:lastModifiedBy>无味</cp:lastModifiedBy>
  <cp:lastPrinted>2023-05-09T01:55:00Z</cp:lastPrinted>
  <dcterms:modified xsi:type="dcterms:W3CDTF">2024-01-19T01:20:08Z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8458E842877843C68499FEA2AE4A6524_13</vt:lpwstr>
  </property>
</Properties>
</file>