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779" w:lineRule="atLeast"/>
        <w:ind w:firstLine="0"/>
        <w:jc w:val="center"/>
        <w:rPr>
          <w:rFonts w:ascii="Microsoft YaHei" w:eastAsia="Microsoft YaHei" w:hint="eastAsia"/>
          <w:b/>
          <w:bCs/>
          <w:color w:val="000000"/>
          <w:sz w:val="41"/>
          <w:szCs w:val="41"/>
        </w:rPr>
      </w:pPr>
      <w:r>
        <w:rPr>
          <w:rFonts w:ascii="Microsoft YaHei" w:eastAsia="Microsoft YaHei" w:hint="eastAsia"/>
          <w:b/>
          <w:bCs/>
          <w:i w:val="0"/>
          <w:iCs w:val="0"/>
          <w:caps w:val="0"/>
          <w:smallCaps w:val="0"/>
          <w:vanish w:val="0"/>
          <w:color w:val="000000"/>
          <w:spacing w:val="0"/>
          <w:sz w:val="41"/>
          <w:szCs w:val="41"/>
        </w:rPr>
        <w:t>保定市</w:t>
      </w:r>
      <w:r>
        <w:rPr>
          <w:rFonts w:ascii="Microsoft YaHei" w:eastAsia="Microsoft YaHei"/>
          <w:b/>
          <w:bCs/>
          <w:i w:val="0"/>
          <w:iCs w:val="0"/>
          <w:caps w:val="0"/>
          <w:smallCaps w:val="0"/>
          <w:vanish w:val="0"/>
          <w:color w:val="000000"/>
          <w:spacing w:val="0"/>
          <w:sz w:val="41"/>
          <w:szCs w:val="41"/>
        </w:rPr>
        <w:t>曲阳县</w:t>
      </w:r>
      <w:r>
        <w:rPr>
          <w:rFonts w:ascii="Microsoft YaHei" w:eastAsia="Microsoft YaHei" w:hint="eastAsia"/>
          <w:b/>
          <w:bCs/>
          <w:i w:val="0"/>
          <w:iCs w:val="0"/>
          <w:caps w:val="0"/>
          <w:smallCaps w:val="0"/>
          <w:vanish w:val="0"/>
          <w:color w:val="000000"/>
          <w:spacing w:val="0"/>
          <w:sz w:val="41"/>
          <w:szCs w:val="41"/>
        </w:rPr>
        <w:t>审计局监督领域轻微违法行为包容免罚清单</w:t>
      </w:r>
    </w:p>
    <w:tbl>
      <w:tblPr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5" w:space="0" w:color="auto"/>
          <w:insideV w:val="outset" w:sz="5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243"/>
        <w:gridCol w:w="6012"/>
        <w:gridCol w:w="2765"/>
        <w:gridCol w:w="2765"/>
      </w:tblGrid>
      <w:t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 w:right="0"/>
              <w:jc w:val="center"/>
              <w:rPr>
                <w:rFonts w:ascii="宋体" w:eastAsia="宋体" w:hint="eastAsia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sz w:val="21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 w:right="0"/>
              <w:jc w:val="center"/>
              <w:rPr>
                <w:rFonts w:ascii="宋体" w:eastAsia="宋体" w:hint="eastAsia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sz w:val="21"/>
                <w:szCs w:val="21"/>
              </w:rPr>
              <w:t>事项名称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 w:right="0"/>
              <w:jc w:val="center"/>
              <w:rPr>
                <w:rFonts w:ascii="宋体" w:eastAsia="宋体" w:hint="eastAsia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sz w:val="21"/>
                <w:szCs w:val="21"/>
              </w:rPr>
              <w:t>实施依据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 w:right="0"/>
              <w:jc w:val="center"/>
              <w:rPr>
                <w:rFonts w:ascii="宋体" w:eastAsia="宋体" w:hint="eastAsia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sz w:val="21"/>
                <w:szCs w:val="21"/>
              </w:rPr>
              <w:t>免罚情形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 w:right="0"/>
              <w:jc w:val="center"/>
              <w:rPr>
                <w:rFonts w:ascii="Calibri" w:hAnsi="Calibri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sz w:val="21"/>
                <w:szCs w:val="21"/>
              </w:rPr>
              <w:t>适用条件</w:t>
            </w:r>
          </w:p>
        </w:tc>
      </w:tr>
      <w:t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 w:right="0"/>
              <w:jc w:val="center"/>
              <w:rPr>
                <w:rFonts w:ascii="宋体" w:eastAsia="宋体" w:hint="eastAsia"/>
                <w:vanish w:val="0"/>
                <w:sz w:val="21"/>
                <w:szCs w:val="21"/>
              </w:rPr>
            </w:pPr>
            <w:r>
              <w:rPr>
                <w:rFonts w:ascii="Calibri" w:eastAsia="宋体" w:hAnsi="Calibri"/>
                <w:vanish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ind w:left="0" w:right="0"/>
              <w:rPr>
                <w:rFonts w:ascii="Calibri" w:hAnsi="Calibri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对拖延提供与审计事项有关的资料的处罚</w:t>
            </w:r>
          </w:p>
        </w:tc>
        <w:tc>
          <w:tcPr>
            <w:tcW w:w="6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ind w:left="0" w:right="0"/>
              <w:rPr>
                <w:rFonts w:ascii="Calibri" w:hAnsi="Calibri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1.《中华人民共和国审计法》第四十七条 被审计单位违反本法规定，拒绝、拖延提供与审计事项有关的资料的，或者提供的资料不真实、不完整的，或者拒绝、阻碍检查、</w:t>
            </w:r>
            <w:bookmarkStart w:id="0" w:name="_GoBack"/>
            <w:bookmarkEnd w:id="0"/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调查、核实有关情况的，由审计机关责令改正，可以通报批评，给予警告；拒不改正的，依法追究法律责任。2.《中华人民共和国审计法实施条例》第四十七条 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 w:right="0"/>
              <w:jc w:val="center"/>
              <w:rPr>
                <w:rFonts w:ascii="Calibri" w:hAnsi="Calibri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轻微不罚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150" w:afterAutospacing="0"/>
              <w:ind w:left="0" w:right="0"/>
              <w:rPr>
                <w:vanish w:val="0"/>
              </w:rPr>
            </w:pPr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1.违法行为轻微。2.主动停止违法行为或经制止后在规定期限内改正的。3.没有造成危害后果的。</w:t>
            </w:r>
          </w:p>
        </w:tc>
      </w:tr>
      <w:t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 w:right="0"/>
              <w:jc w:val="center"/>
              <w:rPr>
                <w:rFonts w:ascii="宋体" w:eastAsia="宋体" w:hint="eastAsia"/>
                <w:vanish w:val="0"/>
                <w:sz w:val="21"/>
                <w:szCs w:val="21"/>
              </w:rPr>
            </w:pPr>
            <w:r>
              <w:rPr>
                <w:rFonts w:ascii="Calibri" w:eastAsia="宋体" w:hAnsi="Calibri"/>
                <w:vanish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ind w:left="0" w:right="0"/>
              <w:rPr>
                <w:rFonts w:ascii="Calibri" w:hAnsi="Calibri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对提供的审计资料不完整的处罚</w:t>
            </w:r>
          </w:p>
        </w:tc>
        <w:tc>
          <w:tcPr>
            <w:tcW w:w="6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ind w:left="0" w:right="0"/>
              <w:rPr>
                <w:rFonts w:ascii="Calibri" w:hAnsi="Calibri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1.《中华人民共和国审计法》第四十七条 被审计单位违反本法规定，拒绝、拖延提供与审计事项有关的资料的，或者提供的资料不真实、不完整的，或者拒绝、阻碍检查、调查、核实有关情况的，由审计机关责令改正，可以通报批评，给予警告；拒不改正的，依法追究法律责任。2.《中华人民共和国审计法实施条例》第四十七条 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beforeAutospacing="1" w:after="100" w:afterAutospacing="1"/>
              <w:ind w:left="0" w:right="0"/>
              <w:jc w:val="center"/>
              <w:rPr>
                <w:rFonts w:ascii="Calibri" w:hAnsi="Calibri"/>
                <w:vanish w:val="0"/>
                <w:sz w:val="21"/>
                <w:szCs w:val="21"/>
              </w:rPr>
            </w:pPr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轻微不罚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150" w:afterAutospacing="0"/>
              <w:ind w:left="0" w:right="0"/>
              <w:rPr>
                <w:vanish w:val="0"/>
              </w:rPr>
            </w:pPr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1.违法行为轻微</w:t>
            </w:r>
            <w:r>
              <w:rPr>
                <w:rFonts w:ascii="Calibri" w:hAnsi="Calibri"/>
                <w:vanish w:val="0"/>
                <w:spacing w:val="0"/>
                <w:sz w:val="18"/>
                <w:szCs w:val="18"/>
              </w:rPr>
              <w:t>。</w:t>
            </w:r>
            <w:r>
              <w:rPr>
                <w:rFonts w:ascii="宋体" w:eastAsia="宋体" w:hint="eastAsia"/>
                <w:vanish w:val="0"/>
                <w:color w:val="353535"/>
                <w:spacing w:val="0"/>
                <w:sz w:val="18"/>
                <w:szCs w:val="18"/>
              </w:rPr>
              <w:t>2.主动停止违法行为或经制止后在规定期限内改正的。3.没有造成危害后果的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Microsoft YaHei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B0B5611-202B-4182-AEC1-7A87351D876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2</Pages>
  <Words>0</Words>
  <Characters>654</Characters>
  <Lines>0</Lines>
  <Paragraphs>3</Paragraphs>
  <CharactersWithSpaces>872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dcterms:created xsi:type="dcterms:W3CDTF">2021-05-08T07:28:00Z</dcterms:created>
  <dcterms:modified xsi:type="dcterms:W3CDTF">2024-04-08T03:13:11Z</dcterms:modified>
</cp:coreProperties>
</file>