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182.71</w:t>
            </w:r>
          </w:p>
        </w:tc>
        <w:tc>
          <w:tcPr>
            <w:tcW w:w="4535" w:type="dxa"/>
            <w:vAlign w:val="center"/>
          </w:tcPr>
          <w:p>
            <w:pPr>
              <w:pStyle w:val="12"/>
            </w:pPr>
            <w:r>
              <w:t>一、一般公共服务支出</w:t>
            </w:r>
          </w:p>
        </w:tc>
        <w:tc>
          <w:tcPr>
            <w:tcW w:w="2126" w:type="dxa"/>
            <w:vAlign w:val="center"/>
          </w:tcPr>
          <w:p>
            <w:pPr>
              <w:pStyle w:val="11"/>
            </w:pPr>
            <w:r>
              <w:t>138.94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182.71</w:t>
            </w:r>
          </w:p>
        </w:tc>
        <w:tc>
          <w:tcPr>
            <w:tcW w:w="4535" w:type="dxa"/>
            <w:vAlign w:val="center"/>
          </w:tcPr>
          <w:p>
            <w:pPr>
              <w:pStyle w:val="14"/>
            </w:pPr>
            <w:r>
              <w:t>本年支出合计</w:t>
            </w:r>
          </w:p>
        </w:tc>
        <w:tc>
          <w:tcPr>
            <w:tcW w:w="2126" w:type="dxa"/>
            <w:vAlign w:val="center"/>
          </w:tcPr>
          <w:p>
            <w:pPr>
              <w:pStyle w:val="15"/>
            </w:pPr>
            <w:r>
              <w:t>182.71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182.71</w:t>
            </w:r>
          </w:p>
        </w:tc>
        <w:tc>
          <w:tcPr>
            <w:tcW w:w="4535" w:type="dxa"/>
            <w:vAlign w:val="center"/>
          </w:tcPr>
          <w:p>
            <w:pPr>
              <w:pStyle w:val="14"/>
            </w:pPr>
            <w:r>
              <w:t>支出总计</w:t>
            </w:r>
          </w:p>
        </w:tc>
        <w:tc>
          <w:tcPr>
            <w:tcW w:w="2126" w:type="dxa"/>
            <w:vAlign w:val="center"/>
          </w:tcPr>
          <w:p>
            <w:pPr>
              <w:pStyle w:val="15"/>
            </w:pPr>
            <w:r>
              <w:t>182.71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182.71</w:t>
            </w:r>
          </w:p>
        </w:tc>
        <w:tc>
          <w:tcPr>
            <w:tcW w:w="1134" w:type="dxa"/>
            <w:vAlign w:val="center"/>
          </w:tcPr>
          <w:p>
            <w:pPr>
              <w:pStyle w:val="15"/>
            </w:pPr>
            <w:r>
              <w:t>182.71</w:t>
            </w:r>
          </w:p>
        </w:tc>
        <w:tc>
          <w:tcPr>
            <w:tcW w:w="1134" w:type="dxa"/>
            <w:vAlign w:val="center"/>
          </w:tcPr>
          <w:p>
            <w:pPr>
              <w:pStyle w:val="15"/>
            </w:pPr>
            <w:r>
              <w:t>182.71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138.94</w:t>
            </w:r>
          </w:p>
        </w:tc>
        <w:tc>
          <w:tcPr>
            <w:tcW w:w="1134" w:type="dxa"/>
            <w:vAlign w:val="center"/>
          </w:tcPr>
          <w:p>
            <w:pPr>
              <w:pStyle w:val="11"/>
            </w:pPr>
            <w:r>
              <w:t>138.94</w:t>
            </w:r>
          </w:p>
        </w:tc>
        <w:tc>
          <w:tcPr>
            <w:tcW w:w="1134" w:type="dxa"/>
            <w:vAlign w:val="center"/>
          </w:tcPr>
          <w:p>
            <w:pPr>
              <w:pStyle w:val="11"/>
            </w:pPr>
            <w:r>
              <w:t>138.94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2012802</w:t>
            </w:r>
          </w:p>
        </w:tc>
        <w:tc>
          <w:tcPr>
            <w:tcW w:w="1559" w:type="dxa"/>
            <w:vAlign w:val="center"/>
          </w:tcPr>
          <w:p>
            <w:pPr>
              <w:pStyle w:val="12"/>
            </w:pPr>
            <w:r>
              <w:t>一般行政管理事务</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r>
              <w:t>10.46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128.48</w:t>
            </w:r>
          </w:p>
        </w:tc>
        <w:tc>
          <w:tcPr>
            <w:tcW w:w="1134" w:type="dxa"/>
            <w:vAlign w:val="center"/>
          </w:tcPr>
          <w:p>
            <w:pPr>
              <w:pStyle w:val="11"/>
            </w:pPr>
            <w:r>
              <w:t>128.48</w:t>
            </w:r>
          </w:p>
        </w:tc>
        <w:tc>
          <w:tcPr>
            <w:tcW w:w="1134" w:type="dxa"/>
            <w:vAlign w:val="center"/>
          </w:tcPr>
          <w:p>
            <w:pPr>
              <w:pStyle w:val="11"/>
            </w:pPr>
            <w:r>
              <w:t>128.48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81.06</w:t>
            </w:r>
          </w:p>
        </w:tc>
        <w:tc>
          <w:tcPr>
            <w:tcW w:w="1134" w:type="dxa"/>
            <w:vAlign w:val="center"/>
          </w:tcPr>
          <w:p>
            <w:pPr>
              <w:pStyle w:val="11"/>
            </w:pPr>
            <w:r>
              <w:t>81.06</w:t>
            </w:r>
          </w:p>
        </w:tc>
        <w:tc>
          <w:tcPr>
            <w:tcW w:w="1134" w:type="dxa"/>
            <w:vAlign w:val="center"/>
          </w:tcPr>
          <w:p>
            <w:pPr>
              <w:pStyle w:val="11"/>
            </w:pPr>
            <w:r>
              <w:t>81.06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2013402</w:t>
            </w:r>
          </w:p>
        </w:tc>
        <w:tc>
          <w:tcPr>
            <w:tcW w:w="1559" w:type="dxa"/>
            <w:vAlign w:val="center"/>
          </w:tcPr>
          <w:p>
            <w:pPr>
              <w:pStyle w:val="12"/>
            </w:pPr>
            <w:r>
              <w:t>一般行政管理事务</w:t>
            </w:r>
          </w:p>
        </w:tc>
        <w:tc>
          <w:tcPr>
            <w:tcW w:w="1134" w:type="dxa"/>
            <w:vAlign w:val="center"/>
          </w:tcPr>
          <w:p>
            <w:pPr>
              <w:pStyle w:val="11"/>
            </w:pPr>
            <w:r>
              <w:t>24.25</w:t>
            </w:r>
          </w:p>
        </w:tc>
        <w:tc>
          <w:tcPr>
            <w:tcW w:w="1134" w:type="dxa"/>
            <w:vAlign w:val="center"/>
          </w:tcPr>
          <w:p>
            <w:pPr>
              <w:pStyle w:val="11"/>
            </w:pPr>
            <w:r>
              <w:t>24.25</w:t>
            </w:r>
          </w:p>
        </w:tc>
        <w:tc>
          <w:tcPr>
            <w:tcW w:w="1134" w:type="dxa"/>
            <w:vAlign w:val="center"/>
          </w:tcPr>
          <w:p>
            <w:pPr>
              <w:pStyle w:val="11"/>
            </w:pPr>
            <w:r>
              <w:t>24.25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2013450</w:t>
            </w:r>
          </w:p>
        </w:tc>
        <w:tc>
          <w:tcPr>
            <w:tcW w:w="1559" w:type="dxa"/>
            <w:vAlign w:val="center"/>
          </w:tcPr>
          <w:p>
            <w:pPr>
              <w:pStyle w:val="12"/>
            </w:pPr>
            <w:r>
              <w:t>事业运行</w:t>
            </w:r>
          </w:p>
        </w:tc>
        <w:tc>
          <w:tcPr>
            <w:tcW w:w="1134" w:type="dxa"/>
            <w:vAlign w:val="center"/>
          </w:tcPr>
          <w:p>
            <w:pPr>
              <w:pStyle w:val="11"/>
            </w:pPr>
            <w:r>
              <w:t>13.17</w:t>
            </w:r>
          </w:p>
        </w:tc>
        <w:tc>
          <w:tcPr>
            <w:tcW w:w="1134" w:type="dxa"/>
            <w:vAlign w:val="center"/>
          </w:tcPr>
          <w:p>
            <w:pPr>
              <w:pStyle w:val="11"/>
            </w:pPr>
            <w:r>
              <w:t>13.17</w:t>
            </w:r>
          </w:p>
        </w:tc>
        <w:tc>
          <w:tcPr>
            <w:tcW w:w="1134" w:type="dxa"/>
            <w:vAlign w:val="center"/>
          </w:tcPr>
          <w:p>
            <w:pPr>
              <w:pStyle w:val="11"/>
            </w:pPr>
            <w:r>
              <w:t>13.17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r>
              <w:t>28.61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r>
              <w:t>28.23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17.54</w:t>
            </w:r>
          </w:p>
        </w:tc>
        <w:tc>
          <w:tcPr>
            <w:tcW w:w="1134" w:type="dxa"/>
            <w:vAlign w:val="center"/>
          </w:tcPr>
          <w:p>
            <w:pPr>
              <w:pStyle w:val="11"/>
            </w:pPr>
            <w:r>
              <w:t>17.54</w:t>
            </w:r>
          </w:p>
        </w:tc>
        <w:tc>
          <w:tcPr>
            <w:tcW w:w="1134" w:type="dxa"/>
            <w:vAlign w:val="center"/>
          </w:tcPr>
          <w:p>
            <w:pPr>
              <w:pStyle w:val="11"/>
            </w:pPr>
            <w:r>
              <w:t>17.54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10.69</w:t>
            </w:r>
          </w:p>
        </w:tc>
        <w:tc>
          <w:tcPr>
            <w:tcW w:w="1134" w:type="dxa"/>
            <w:vAlign w:val="center"/>
          </w:tcPr>
          <w:p>
            <w:pPr>
              <w:pStyle w:val="11"/>
            </w:pPr>
            <w:r>
              <w:t>10.69</w:t>
            </w:r>
          </w:p>
        </w:tc>
        <w:tc>
          <w:tcPr>
            <w:tcW w:w="1134" w:type="dxa"/>
            <w:vAlign w:val="center"/>
          </w:tcPr>
          <w:p>
            <w:pPr>
              <w:pStyle w:val="11"/>
            </w:pPr>
            <w:r>
              <w:t>10.69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r>
              <w:t>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0.07</w:t>
            </w:r>
          </w:p>
        </w:tc>
        <w:tc>
          <w:tcPr>
            <w:tcW w:w="1134" w:type="dxa"/>
            <w:vAlign w:val="center"/>
          </w:tcPr>
          <w:p>
            <w:pPr>
              <w:pStyle w:val="11"/>
            </w:pPr>
            <w:r>
              <w:t>0.07</w:t>
            </w:r>
          </w:p>
        </w:tc>
        <w:tc>
          <w:tcPr>
            <w:tcW w:w="1134" w:type="dxa"/>
            <w:vAlign w:val="center"/>
          </w:tcPr>
          <w:p>
            <w:pPr>
              <w:pStyle w:val="11"/>
            </w:pPr>
            <w:r>
              <w:t>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r>
              <w:t>0.31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r>
              <w:t>7.17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2.36</w:t>
            </w:r>
          </w:p>
        </w:tc>
        <w:tc>
          <w:tcPr>
            <w:tcW w:w="1134" w:type="dxa"/>
            <w:vAlign w:val="center"/>
          </w:tcPr>
          <w:p>
            <w:pPr>
              <w:pStyle w:val="11"/>
            </w:pPr>
            <w:r>
              <w:t>2.36</w:t>
            </w:r>
          </w:p>
        </w:tc>
        <w:tc>
          <w:tcPr>
            <w:tcW w:w="1134" w:type="dxa"/>
            <w:vAlign w:val="center"/>
          </w:tcPr>
          <w:p>
            <w:pPr>
              <w:pStyle w:val="11"/>
            </w:pPr>
            <w:r>
              <w:t>2.36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182.71</w:t>
            </w:r>
          </w:p>
        </w:tc>
        <w:tc>
          <w:tcPr>
            <w:tcW w:w="1361" w:type="dxa"/>
            <w:vAlign w:val="center"/>
          </w:tcPr>
          <w:p>
            <w:pPr>
              <w:pStyle w:val="15"/>
            </w:pPr>
            <w:r>
              <w:t>138.00</w:t>
            </w:r>
          </w:p>
        </w:tc>
        <w:tc>
          <w:tcPr>
            <w:tcW w:w="1361" w:type="dxa"/>
            <w:vAlign w:val="center"/>
          </w:tcPr>
          <w:p>
            <w:pPr>
              <w:pStyle w:val="15"/>
            </w:pPr>
            <w:r>
              <w:t>44.71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138.94</w:t>
            </w:r>
          </w:p>
        </w:tc>
        <w:tc>
          <w:tcPr>
            <w:tcW w:w="1361" w:type="dxa"/>
            <w:vAlign w:val="center"/>
          </w:tcPr>
          <w:p>
            <w:pPr>
              <w:pStyle w:val="11"/>
            </w:pPr>
            <w:r>
              <w:t>94.23</w:t>
            </w:r>
          </w:p>
        </w:tc>
        <w:tc>
          <w:tcPr>
            <w:tcW w:w="1361" w:type="dxa"/>
            <w:vAlign w:val="center"/>
          </w:tcPr>
          <w:p>
            <w:pPr>
              <w:pStyle w:val="11"/>
            </w:pPr>
            <w:r>
              <w:t>44.71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6" w:type="dxa"/>
            <w:vAlign w:val="center"/>
          </w:tcPr>
          <w:p>
            <w:pPr>
              <w:pStyle w:val="12"/>
            </w:pPr>
            <w:r>
              <w:t>民主党派及工商联事务</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2012802</w:t>
            </w:r>
          </w:p>
        </w:tc>
        <w:tc>
          <w:tcPr>
            <w:tcW w:w="4536" w:type="dxa"/>
            <w:vAlign w:val="center"/>
          </w:tcPr>
          <w:p>
            <w:pPr>
              <w:pStyle w:val="12"/>
            </w:pPr>
            <w:r>
              <w:t>一般行政管理事务</w:t>
            </w: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r>
              <w:t>10.46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w:t>
            </w:r>
          </w:p>
        </w:tc>
        <w:tc>
          <w:tcPr>
            <w:tcW w:w="4536" w:type="dxa"/>
            <w:vAlign w:val="center"/>
          </w:tcPr>
          <w:p>
            <w:pPr>
              <w:pStyle w:val="12"/>
            </w:pPr>
            <w:r>
              <w:t>统战事务</w:t>
            </w:r>
          </w:p>
        </w:tc>
        <w:tc>
          <w:tcPr>
            <w:tcW w:w="1361" w:type="dxa"/>
            <w:vAlign w:val="center"/>
          </w:tcPr>
          <w:p>
            <w:pPr>
              <w:pStyle w:val="11"/>
            </w:pPr>
            <w:r>
              <w:t>128.48</w:t>
            </w:r>
          </w:p>
        </w:tc>
        <w:tc>
          <w:tcPr>
            <w:tcW w:w="1361" w:type="dxa"/>
            <w:vAlign w:val="center"/>
          </w:tcPr>
          <w:p>
            <w:pPr>
              <w:pStyle w:val="11"/>
            </w:pPr>
            <w:r>
              <w:t>94.23</w:t>
            </w:r>
          </w:p>
        </w:tc>
        <w:tc>
          <w:tcPr>
            <w:tcW w:w="1361" w:type="dxa"/>
            <w:vAlign w:val="center"/>
          </w:tcPr>
          <w:p>
            <w:pPr>
              <w:pStyle w:val="11"/>
            </w:pPr>
            <w:r>
              <w:t>34.25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2013401</w:t>
            </w:r>
          </w:p>
        </w:tc>
        <w:tc>
          <w:tcPr>
            <w:tcW w:w="4536" w:type="dxa"/>
            <w:vAlign w:val="center"/>
          </w:tcPr>
          <w:p>
            <w:pPr>
              <w:pStyle w:val="12"/>
            </w:pPr>
            <w:r>
              <w:t>行政运行</w:t>
            </w:r>
          </w:p>
        </w:tc>
        <w:tc>
          <w:tcPr>
            <w:tcW w:w="1361" w:type="dxa"/>
            <w:vAlign w:val="center"/>
          </w:tcPr>
          <w:p>
            <w:pPr>
              <w:pStyle w:val="11"/>
            </w:pPr>
            <w:r>
              <w:t>81.06</w:t>
            </w:r>
          </w:p>
        </w:tc>
        <w:tc>
          <w:tcPr>
            <w:tcW w:w="1361" w:type="dxa"/>
            <w:vAlign w:val="center"/>
          </w:tcPr>
          <w:p>
            <w:pPr>
              <w:pStyle w:val="11"/>
            </w:pPr>
            <w:r>
              <w:t>81.06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2013402</w:t>
            </w:r>
          </w:p>
        </w:tc>
        <w:tc>
          <w:tcPr>
            <w:tcW w:w="4536" w:type="dxa"/>
            <w:vAlign w:val="center"/>
          </w:tcPr>
          <w:p>
            <w:pPr>
              <w:pStyle w:val="12"/>
            </w:pPr>
            <w:r>
              <w:t>一般行政管理事务</w:t>
            </w:r>
          </w:p>
        </w:tc>
        <w:tc>
          <w:tcPr>
            <w:tcW w:w="1361" w:type="dxa"/>
            <w:vAlign w:val="center"/>
          </w:tcPr>
          <w:p>
            <w:pPr>
              <w:pStyle w:val="11"/>
            </w:pPr>
            <w:r>
              <w:t>24.25</w:t>
            </w:r>
          </w:p>
        </w:tc>
        <w:tc>
          <w:tcPr>
            <w:tcW w:w="1361" w:type="dxa"/>
            <w:vAlign w:val="center"/>
          </w:tcPr>
          <w:p>
            <w:pPr>
              <w:pStyle w:val="11"/>
            </w:pPr>
          </w:p>
        </w:tc>
        <w:tc>
          <w:tcPr>
            <w:tcW w:w="1361" w:type="dxa"/>
            <w:vAlign w:val="center"/>
          </w:tcPr>
          <w:p>
            <w:pPr>
              <w:pStyle w:val="11"/>
            </w:pPr>
            <w:r>
              <w:t>24.25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2013404</w:t>
            </w:r>
          </w:p>
        </w:tc>
        <w:tc>
          <w:tcPr>
            <w:tcW w:w="4536" w:type="dxa"/>
            <w:vAlign w:val="center"/>
          </w:tcPr>
          <w:p>
            <w:pPr>
              <w:pStyle w:val="12"/>
            </w:pPr>
            <w:r>
              <w:t>宗教事务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2013450</w:t>
            </w:r>
          </w:p>
        </w:tc>
        <w:tc>
          <w:tcPr>
            <w:tcW w:w="4536" w:type="dxa"/>
            <w:vAlign w:val="center"/>
          </w:tcPr>
          <w:p>
            <w:pPr>
              <w:pStyle w:val="12"/>
            </w:pPr>
            <w:r>
              <w:t>事业运行</w:t>
            </w:r>
          </w:p>
        </w:tc>
        <w:tc>
          <w:tcPr>
            <w:tcW w:w="1361" w:type="dxa"/>
            <w:vAlign w:val="center"/>
          </w:tcPr>
          <w:p>
            <w:pPr>
              <w:pStyle w:val="11"/>
            </w:pPr>
            <w:r>
              <w:t>13.17</w:t>
            </w:r>
          </w:p>
        </w:tc>
        <w:tc>
          <w:tcPr>
            <w:tcW w:w="1361" w:type="dxa"/>
            <w:vAlign w:val="center"/>
          </w:tcPr>
          <w:p>
            <w:pPr>
              <w:pStyle w:val="11"/>
            </w:pPr>
            <w:r>
              <w:t>13.17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28.61</w:t>
            </w:r>
          </w:p>
        </w:tc>
        <w:tc>
          <w:tcPr>
            <w:tcW w:w="1361" w:type="dxa"/>
            <w:vAlign w:val="center"/>
          </w:tcPr>
          <w:p>
            <w:pPr>
              <w:pStyle w:val="11"/>
            </w:pPr>
            <w:r>
              <w:t>28.61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28.23</w:t>
            </w:r>
          </w:p>
        </w:tc>
        <w:tc>
          <w:tcPr>
            <w:tcW w:w="1361" w:type="dxa"/>
            <w:vAlign w:val="center"/>
          </w:tcPr>
          <w:p>
            <w:pPr>
              <w:pStyle w:val="11"/>
            </w:pPr>
            <w:r>
              <w:t>28.23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17.54</w:t>
            </w:r>
          </w:p>
        </w:tc>
        <w:tc>
          <w:tcPr>
            <w:tcW w:w="1361" w:type="dxa"/>
            <w:vAlign w:val="center"/>
          </w:tcPr>
          <w:p>
            <w:pPr>
              <w:pStyle w:val="11"/>
            </w:pPr>
            <w:r>
              <w:t>17.54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10.69</w:t>
            </w:r>
          </w:p>
        </w:tc>
        <w:tc>
          <w:tcPr>
            <w:tcW w:w="1361" w:type="dxa"/>
            <w:vAlign w:val="center"/>
          </w:tcPr>
          <w:p>
            <w:pPr>
              <w:pStyle w:val="11"/>
            </w:pPr>
            <w:r>
              <w:t>10.69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0.38</w:t>
            </w:r>
          </w:p>
        </w:tc>
        <w:tc>
          <w:tcPr>
            <w:tcW w:w="1361" w:type="dxa"/>
            <w:vAlign w:val="center"/>
          </w:tcPr>
          <w:p>
            <w:pPr>
              <w:pStyle w:val="11"/>
            </w:pPr>
            <w:r>
              <w:t>0.38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0.07</w:t>
            </w:r>
          </w:p>
        </w:tc>
        <w:tc>
          <w:tcPr>
            <w:tcW w:w="1361" w:type="dxa"/>
            <w:vAlign w:val="center"/>
          </w:tcPr>
          <w:p>
            <w:pPr>
              <w:pStyle w:val="11"/>
            </w:pPr>
            <w:r>
              <w:t>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0.31</w:t>
            </w:r>
          </w:p>
        </w:tc>
        <w:tc>
          <w:tcPr>
            <w:tcW w:w="1361" w:type="dxa"/>
            <w:vAlign w:val="center"/>
          </w:tcPr>
          <w:p>
            <w:pPr>
              <w:pStyle w:val="11"/>
            </w:pPr>
            <w:r>
              <w:t>0.31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7.17</w:t>
            </w:r>
          </w:p>
        </w:tc>
        <w:tc>
          <w:tcPr>
            <w:tcW w:w="1361" w:type="dxa"/>
            <w:vAlign w:val="center"/>
          </w:tcPr>
          <w:p>
            <w:pPr>
              <w:pStyle w:val="11"/>
            </w:pPr>
            <w: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7.17</w:t>
            </w:r>
          </w:p>
        </w:tc>
        <w:tc>
          <w:tcPr>
            <w:tcW w:w="1361" w:type="dxa"/>
            <w:vAlign w:val="center"/>
          </w:tcPr>
          <w:p>
            <w:pPr>
              <w:pStyle w:val="11"/>
            </w:pPr>
            <w: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3.94</w:t>
            </w:r>
          </w:p>
        </w:tc>
        <w:tc>
          <w:tcPr>
            <w:tcW w:w="1361" w:type="dxa"/>
            <w:vAlign w:val="center"/>
          </w:tcPr>
          <w:p>
            <w:pPr>
              <w:pStyle w:val="11"/>
            </w:pPr>
            <w:r>
              <w:t>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2.36</w:t>
            </w:r>
          </w:p>
        </w:tc>
        <w:tc>
          <w:tcPr>
            <w:tcW w:w="1361" w:type="dxa"/>
            <w:vAlign w:val="center"/>
          </w:tcPr>
          <w:p>
            <w:pPr>
              <w:pStyle w:val="11"/>
            </w:pPr>
            <w:r>
              <w:t>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182.71</w:t>
            </w:r>
          </w:p>
        </w:tc>
        <w:tc>
          <w:tcPr>
            <w:tcW w:w="3402" w:type="dxa"/>
            <w:vAlign w:val="center"/>
          </w:tcPr>
          <w:p>
            <w:pPr>
              <w:pStyle w:val="12"/>
            </w:pPr>
            <w:r>
              <w:t>一、一般公共服务支出</w:t>
            </w:r>
          </w:p>
        </w:tc>
        <w:tc>
          <w:tcPr>
            <w:tcW w:w="1474" w:type="dxa"/>
            <w:vAlign w:val="center"/>
          </w:tcPr>
          <w:p>
            <w:pPr>
              <w:pStyle w:val="11"/>
            </w:pPr>
            <w:r>
              <w:t>138.94</w:t>
            </w:r>
          </w:p>
        </w:tc>
        <w:tc>
          <w:tcPr>
            <w:tcW w:w="1474" w:type="dxa"/>
            <w:vAlign w:val="center"/>
          </w:tcPr>
          <w:p>
            <w:pPr>
              <w:pStyle w:val="11"/>
            </w:pPr>
            <w:r>
              <w:t>138.94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28.61</w:t>
            </w:r>
          </w:p>
        </w:tc>
        <w:tc>
          <w:tcPr>
            <w:tcW w:w="1474" w:type="dxa"/>
            <w:vAlign w:val="center"/>
          </w:tcPr>
          <w:p>
            <w:pPr>
              <w:pStyle w:val="11"/>
            </w:pPr>
            <w:r>
              <w:t>28.61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7.17</w:t>
            </w:r>
          </w:p>
        </w:tc>
        <w:tc>
          <w:tcPr>
            <w:tcW w:w="1474" w:type="dxa"/>
            <w:vAlign w:val="center"/>
          </w:tcPr>
          <w:p>
            <w:pPr>
              <w:pStyle w:val="11"/>
            </w:pPr>
            <w:r>
              <w:t>7.17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7.99</w:t>
            </w:r>
          </w:p>
        </w:tc>
        <w:tc>
          <w:tcPr>
            <w:tcW w:w="1474" w:type="dxa"/>
            <w:vAlign w:val="center"/>
          </w:tcPr>
          <w:p>
            <w:pPr>
              <w:pStyle w:val="11"/>
            </w:pPr>
            <w:r>
              <w:t>7.99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182.71</w:t>
            </w:r>
          </w:p>
        </w:tc>
        <w:tc>
          <w:tcPr>
            <w:tcW w:w="3402" w:type="dxa"/>
            <w:vAlign w:val="center"/>
          </w:tcPr>
          <w:p>
            <w:pPr>
              <w:pStyle w:val="14"/>
            </w:pPr>
            <w:r>
              <w:t>本年支出合计</w:t>
            </w:r>
          </w:p>
        </w:tc>
        <w:tc>
          <w:tcPr>
            <w:tcW w:w="1474" w:type="dxa"/>
            <w:vAlign w:val="center"/>
          </w:tcPr>
          <w:p>
            <w:pPr>
              <w:pStyle w:val="15"/>
            </w:pPr>
            <w:r>
              <w:t>182.71</w:t>
            </w:r>
          </w:p>
        </w:tc>
        <w:tc>
          <w:tcPr>
            <w:tcW w:w="1474" w:type="dxa"/>
            <w:vAlign w:val="center"/>
          </w:tcPr>
          <w:p>
            <w:pPr>
              <w:pStyle w:val="15"/>
            </w:pPr>
            <w:r>
              <w:t>182.71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182.71</w:t>
            </w:r>
          </w:p>
        </w:tc>
        <w:tc>
          <w:tcPr>
            <w:tcW w:w="3402" w:type="dxa"/>
            <w:vAlign w:val="center"/>
          </w:tcPr>
          <w:p>
            <w:pPr>
              <w:pStyle w:val="14"/>
            </w:pPr>
            <w:r>
              <w:t>支出总计</w:t>
            </w:r>
          </w:p>
        </w:tc>
        <w:tc>
          <w:tcPr>
            <w:tcW w:w="1474" w:type="dxa"/>
            <w:vAlign w:val="center"/>
          </w:tcPr>
          <w:p>
            <w:pPr>
              <w:pStyle w:val="15"/>
            </w:pPr>
            <w:r>
              <w:t>182.71</w:t>
            </w:r>
          </w:p>
        </w:tc>
        <w:tc>
          <w:tcPr>
            <w:tcW w:w="1474" w:type="dxa"/>
            <w:vAlign w:val="center"/>
          </w:tcPr>
          <w:p>
            <w:pPr>
              <w:pStyle w:val="15"/>
            </w:pPr>
            <w:r>
              <w:t>182.71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182.71</w:t>
            </w:r>
          </w:p>
        </w:tc>
        <w:tc>
          <w:tcPr>
            <w:tcW w:w="2551" w:type="dxa"/>
            <w:vAlign w:val="center"/>
          </w:tcPr>
          <w:p>
            <w:pPr>
              <w:pStyle w:val="15"/>
            </w:pPr>
            <w:r>
              <w:t>138.00</w:t>
            </w:r>
          </w:p>
        </w:tc>
        <w:tc>
          <w:tcPr>
            <w:tcW w:w="2551" w:type="dxa"/>
            <w:vAlign w:val="center"/>
          </w:tcPr>
          <w:p>
            <w:pPr>
              <w:pStyle w:val="15"/>
            </w:pPr>
            <w:r>
              <w:t>44.71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138.94</w:t>
            </w:r>
          </w:p>
        </w:tc>
        <w:tc>
          <w:tcPr>
            <w:tcW w:w="2551" w:type="dxa"/>
            <w:vAlign w:val="center"/>
          </w:tcPr>
          <w:p>
            <w:pPr>
              <w:pStyle w:val="11"/>
            </w:pPr>
            <w:r>
              <w:t>94.23</w:t>
            </w:r>
          </w:p>
        </w:tc>
        <w:tc>
          <w:tcPr>
            <w:tcW w:w="2551" w:type="dxa"/>
            <w:vAlign w:val="center"/>
          </w:tcPr>
          <w:p>
            <w:pPr>
              <w:pStyle w:val="11"/>
            </w:pPr>
            <w:r>
              <w:t>44.71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10.46</w:t>
            </w:r>
          </w:p>
        </w:tc>
        <w:tc>
          <w:tcPr>
            <w:tcW w:w="2551" w:type="dxa"/>
            <w:vAlign w:val="center"/>
          </w:tcPr>
          <w:p>
            <w:pPr>
              <w:pStyle w:val="11"/>
            </w:pPr>
          </w:p>
        </w:tc>
        <w:tc>
          <w:tcPr>
            <w:tcW w:w="2551" w:type="dxa"/>
            <w:vAlign w:val="center"/>
          </w:tcPr>
          <w:p>
            <w:pPr>
              <w:pStyle w:val="11"/>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2012802</w:t>
            </w:r>
          </w:p>
        </w:tc>
        <w:tc>
          <w:tcPr>
            <w:tcW w:w="4535" w:type="dxa"/>
            <w:vAlign w:val="center"/>
          </w:tcPr>
          <w:p>
            <w:pPr>
              <w:pStyle w:val="12"/>
            </w:pPr>
            <w:r>
              <w:t>一般行政管理事务</w:t>
            </w:r>
          </w:p>
        </w:tc>
        <w:tc>
          <w:tcPr>
            <w:tcW w:w="2551" w:type="dxa"/>
            <w:vAlign w:val="center"/>
          </w:tcPr>
          <w:p>
            <w:pPr>
              <w:pStyle w:val="11"/>
            </w:pPr>
            <w:r>
              <w:t>10.46</w:t>
            </w:r>
          </w:p>
        </w:tc>
        <w:tc>
          <w:tcPr>
            <w:tcW w:w="2551" w:type="dxa"/>
            <w:vAlign w:val="center"/>
          </w:tcPr>
          <w:p>
            <w:pPr>
              <w:pStyle w:val="11"/>
            </w:pPr>
          </w:p>
        </w:tc>
        <w:tc>
          <w:tcPr>
            <w:tcW w:w="2551" w:type="dxa"/>
            <w:vAlign w:val="center"/>
          </w:tcPr>
          <w:p>
            <w:pPr>
              <w:pStyle w:val="11"/>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128.48</w:t>
            </w:r>
          </w:p>
        </w:tc>
        <w:tc>
          <w:tcPr>
            <w:tcW w:w="2551" w:type="dxa"/>
            <w:vAlign w:val="center"/>
          </w:tcPr>
          <w:p>
            <w:pPr>
              <w:pStyle w:val="11"/>
            </w:pPr>
            <w:r>
              <w:t>94.23</w:t>
            </w:r>
          </w:p>
        </w:tc>
        <w:tc>
          <w:tcPr>
            <w:tcW w:w="2551" w:type="dxa"/>
            <w:vAlign w:val="center"/>
          </w:tcPr>
          <w:p>
            <w:pPr>
              <w:pStyle w:val="11"/>
            </w:pPr>
            <w:r>
              <w:t>34.25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81.06</w:t>
            </w:r>
          </w:p>
        </w:tc>
        <w:tc>
          <w:tcPr>
            <w:tcW w:w="2551" w:type="dxa"/>
            <w:vAlign w:val="center"/>
          </w:tcPr>
          <w:p>
            <w:pPr>
              <w:pStyle w:val="11"/>
            </w:pPr>
            <w:r>
              <w:t>81.06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2013402</w:t>
            </w:r>
          </w:p>
        </w:tc>
        <w:tc>
          <w:tcPr>
            <w:tcW w:w="4535" w:type="dxa"/>
            <w:vAlign w:val="center"/>
          </w:tcPr>
          <w:p>
            <w:pPr>
              <w:pStyle w:val="12"/>
            </w:pPr>
            <w:r>
              <w:t>一般行政管理事务</w:t>
            </w:r>
          </w:p>
        </w:tc>
        <w:tc>
          <w:tcPr>
            <w:tcW w:w="2551" w:type="dxa"/>
            <w:vAlign w:val="center"/>
          </w:tcPr>
          <w:p>
            <w:pPr>
              <w:pStyle w:val="11"/>
            </w:pPr>
            <w:r>
              <w:t>24.25</w:t>
            </w:r>
          </w:p>
        </w:tc>
        <w:tc>
          <w:tcPr>
            <w:tcW w:w="2551" w:type="dxa"/>
            <w:vAlign w:val="center"/>
          </w:tcPr>
          <w:p>
            <w:pPr>
              <w:pStyle w:val="11"/>
            </w:pPr>
          </w:p>
        </w:tc>
        <w:tc>
          <w:tcPr>
            <w:tcW w:w="2551" w:type="dxa"/>
            <w:vAlign w:val="center"/>
          </w:tcPr>
          <w:p>
            <w:pPr>
              <w:pStyle w:val="11"/>
            </w:pPr>
            <w:r>
              <w:t>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2013450</w:t>
            </w:r>
          </w:p>
        </w:tc>
        <w:tc>
          <w:tcPr>
            <w:tcW w:w="4535" w:type="dxa"/>
            <w:vAlign w:val="center"/>
          </w:tcPr>
          <w:p>
            <w:pPr>
              <w:pStyle w:val="12"/>
            </w:pPr>
            <w:r>
              <w:t>事业运行</w:t>
            </w:r>
          </w:p>
        </w:tc>
        <w:tc>
          <w:tcPr>
            <w:tcW w:w="2551" w:type="dxa"/>
            <w:vAlign w:val="center"/>
          </w:tcPr>
          <w:p>
            <w:pPr>
              <w:pStyle w:val="11"/>
            </w:pPr>
            <w:r>
              <w:t>13.17</w:t>
            </w:r>
          </w:p>
        </w:tc>
        <w:tc>
          <w:tcPr>
            <w:tcW w:w="2551" w:type="dxa"/>
            <w:vAlign w:val="center"/>
          </w:tcPr>
          <w:p>
            <w:pPr>
              <w:pStyle w:val="11"/>
            </w:pPr>
            <w:r>
              <w:t>13.17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28.61</w:t>
            </w:r>
          </w:p>
        </w:tc>
        <w:tc>
          <w:tcPr>
            <w:tcW w:w="2551" w:type="dxa"/>
            <w:vAlign w:val="center"/>
          </w:tcPr>
          <w:p>
            <w:pPr>
              <w:pStyle w:val="11"/>
            </w:pPr>
            <w:r>
              <w:t>28.61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28.23</w:t>
            </w:r>
          </w:p>
        </w:tc>
        <w:tc>
          <w:tcPr>
            <w:tcW w:w="2551" w:type="dxa"/>
            <w:vAlign w:val="center"/>
          </w:tcPr>
          <w:p>
            <w:pPr>
              <w:pStyle w:val="11"/>
            </w:pPr>
            <w:r>
              <w:t>28.23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17.54</w:t>
            </w:r>
          </w:p>
        </w:tc>
        <w:tc>
          <w:tcPr>
            <w:tcW w:w="2551" w:type="dxa"/>
            <w:vAlign w:val="center"/>
          </w:tcPr>
          <w:p>
            <w:pPr>
              <w:pStyle w:val="11"/>
            </w:pPr>
            <w:r>
              <w:t>17.54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10.69</w:t>
            </w:r>
          </w:p>
        </w:tc>
        <w:tc>
          <w:tcPr>
            <w:tcW w:w="2551" w:type="dxa"/>
            <w:vAlign w:val="center"/>
          </w:tcPr>
          <w:p>
            <w:pPr>
              <w:pStyle w:val="11"/>
            </w:pPr>
            <w:r>
              <w:t>10.69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0.38</w:t>
            </w:r>
          </w:p>
        </w:tc>
        <w:tc>
          <w:tcPr>
            <w:tcW w:w="2551" w:type="dxa"/>
            <w:vAlign w:val="center"/>
          </w:tcPr>
          <w:p>
            <w:pPr>
              <w:pStyle w:val="11"/>
            </w:pPr>
            <w:r>
              <w:t>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0.07</w:t>
            </w:r>
          </w:p>
        </w:tc>
        <w:tc>
          <w:tcPr>
            <w:tcW w:w="2551" w:type="dxa"/>
            <w:vAlign w:val="center"/>
          </w:tcPr>
          <w:p>
            <w:pPr>
              <w:pStyle w:val="11"/>
            </w:pPr>
            <w:r>
              <w:t>0.07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0.31</w:t>
            </w:r>
          </w:p>
        </w:tc>
        <w:tc>
          <w:tcPr>
            <w:tcW w:w="2551" w:type="dxa"/>
            <w:vAlign w:val="center"/>
          </w:tcPr>
          <w:p>
            <w:pPr>
              <w:pStyle w:val="11"/>
            </w:pPr>
            <w:r>
              <w:t>0.31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7.17</w:t>
            </w:r>
          </w:p>
        </w:tc>
        <w:tc>
          <w:tcPr>
            <w:tcW w:w="2551" w:type="dxa"/>
            <w:vAlign w:val="center"/>
          </w:tcPr>
          <w:p>
            <w:pPr>
              <w:pStyle w:val="11"/>
            </w:pPr>
            <w:r>
              <w:t>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2.36</w:t>
            </w:r>
          </w:p>
        </w:tc>
        <w:tc>
          <w:tcPr>
            <w:tcW w:w="2551" w:type="dxa"/>
            <w:vAlign w:val="center"/>
          </w:tcPr>
          <w:p>
            <w:pPr>
              <w:pStyle w:val="11"/>
            </w:pPr>
            <w:r>
              <w:t>2.36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138.00</w:t>
            </w:r>
          </w:p>
        </w:tc>
        <w:tc>
          <w:tcPr>
            <w:tcW w:w="2551" w:type="dxa"/>
            <w:vAlign w:val="center"/>
          </w:tcPr>
          <w:p>
            <w:pPr>
              <w:pStyle w:val="15"/>
            </w:pPr>
            <w:r>
              <w:t>125.85</w:t>
            </w:r>
          </w:p>
        </w:tc>
        <w:tc>
          <w:tcPr>
            <w:tcW w:w="2552" w:type="dxa"/>
            <w:vAlign w:val="center"/>
          </w:tcPr>
          <w:p>
            <w:pPr>
              <w:pStyle w:val="15"/>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108.31</w:t>
            </w:r>
          </w:p>
        </w:tc>
        <w:tc>
          <w:tcPr>
            <w:tcW w:w="2551" w:type="dxa"/>
            <w:vAlign w:val="center"/>
          </w:tcPr>
          <w:p>
            <w:pPr>
              <w:pStyle w:val="11"/>
            </w:pPr>
            <w:r>
              <w:t>108.31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42.56</w:t>
            </w:r>
          </w:p>
        </w:tc>
        <w:tc>
          <w:tcPr>
            <w:tcW w:w="2551" w:type="dxa"/>
            <w:vAlign w:val="center"/>
          </w:tcPr>
          <w:p>
            <w:pPr>
              <w:pStyle w:val="11"/>
            </w:pPr>
            <w:r>
              <w:t>42.56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23.00</w:t>
            </w:r>
          </w:p>
        </w:tc>
        <w:tc>
          <w:tcPr>
            <w:tcW w:w="2551" w:type="dxa"/>
            <w:vAlign w:val="center"/>
          </w:tcPr>
          <w:p>
            <w:pPr>
              <w:pStyle w:val="11"/>
            </w:pPr>
            <w:r>
              <w:t>23.00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11.95</w:t>
            </w:r>
          </w:p>
        </w:tc>
        <w:tc>
          <w:tcPr>
            <w:tcW w:w="2551" w:type="dxa"/>
            <w:vAlign w:val="center"/>
          </w:tcPr>
          <w:p>
            <w:pPr>
              <w:pStyle w:val="11"/>
            </w:pPr>
            <w:r>
              <w:t>11.95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4.57</w:t>
            </w:r>
          </w:p>
        </w:tc>
        <w:tc>
          <w:tcPr>
            <w:tcW w:w="2551" w:type="dxa"/>
            <w:vAlign w:val="center"/>
          </w:tcPr>
          <w:p>
            <w:pPr>
              <w:pStyle w:val="11"/>
            </w:pPr>
            <w:r>
              <w:t>4.57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10.69</w:t>
            </w:r>
          </w:p>
        </w:tc>
        <w:tc>
          <w:tcPr>
            <w:tcW w:w="2551" w:type="dxa"/>
            <w:vAlign w:val="center"/>
          </w:tcPr>
          <w:p>
            <w:pPr>
              <w:pStyle w:val="11"/>
            </w:pPr>
            <w:r>
              <w:t>10.69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4.81</w:t>
            </w:r>
          </w:p>
        </w:tc>
        <w:tc>
          <w:tcPr>
            <w:tcW w:w="2551" w:type="dxa"/>
            <w:vAlign w:val="center"/>
          </w:tcPr>
          <w:p>
            <w:pPr>
              <w:pStyle w:val="11"/>
            </w:pPr>
            <w:r>
              <w:t>4.81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2.36</w:t>
            </w:r>
          </w:p>
        </w:tc>
        <w:tc>
          <w:tcPr>
            <w:tcW w:w="2551" w:type="dxa"/>
            <w:vAlign w:val="center"/>
          </w:tcPr>
          <w:p>
            <w:pPr>
              <w:pStyle w:val="11"/>
            </w:pPr>
            <w:r>
              <w:t>2.36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0.38</w:t>
            </w:r>
          </w:p>
        </w:tc>
        <w:tc>
          <w:tcPr>
            <w:tcW w:w="2551" w:type="dxa"/>
            <w:vAlign w:val="center"/>
          </w:tcPr>
          <w:p>
            <w:pPr>
              <w:pStyle w:val="11"/>
            </w:pPr>
            <w:r>
              <w:t>0.38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7.99</w:t>
            </w:r>
          </w:p>
        </w:tc>
        <w:tc>
          <w:tcPr>
            <w:tcW w:w="2551" w:type="dxa"/>
            <w:vAlign w:val="center"/>
          </w:tcPr>
          <w:p>
            <w:pPr>
              <w:pStyle w:val="11"/>
            </w:pPr>
            <w:r>
              <w:t>7.99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12.15</w:t>
            </w:r>
          </w:p>
        </w:tc>
        <w:tc>
          <w:tcPr>
            <w:tcW w:w="2551" w:type="dxa"/>
            <w:vAlign w:val="center"/>
          </w:tcPr>
          <w:p>
            <w:pPr>
              <w:pStyle w:val="11"/>
            </w:pPr>
          </w:p>
        </w:tc>
        <w:tc>
          <w:tcPr>
            <w:tcW w:w="2552" w:type="dxa"/>
            <w:vAlign w:val="center"/>
          </w:tcPr>
          <w:p>
            <w:pPr>
              <w:pStyle w:val="11"/>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0.86</w:t>
            </w:r>
          </w:p>
        </w:tc>
        <w:tc>
          <w:tcPr>
            <w:tcW w:w="2551" w:type="dxa"/>
            <w:vAlign w:val="center"/>
          </w:tcPr>
          <w:p>
            <w:pPr>
              <w:pStyle w:val="11"/>
            </w:pPr>
          </w:p>
        </w:tc>
        <w:tc>
          <w:tcPr>
            <w:tcW w:w="2552"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3.10</w:t>
            </w:r>
          </w:p>
        </w:tc>
        <w:tc>
          <w:tcPr>
            <w:tcW w:w="2551" w:type="dxa"/>
            <w:vAlign w:val="center"/>
          </w:tcPr>
          <w:p>
            <w:pPr>
              <w:pStyle w:val="11"/>
            </w:pPr>
          </w:p>
        </w:tc>
        <w:tc>
          <w:tcPr>
            <w:tcW w:w="2552"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0.44</w:t>
            </w:r>
          </w:p>
        </w:tc>
        <w:tc>
          <w:tcPr>
            <w:tcW w:w="2551" w:type="dxa"/>
            <w:vAlign w:val="center"/>
          </w:tcPr>
          <w:p>
            <w:pPr>
              <w:pStyle w:val="11"/>
            </w:pPr>
          </w:p>
        </w:tc>
        <w:tc>
          <w:tcPr>
            <w:tcW w:w="2552"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0.68</w:t>
            </w:r>
          </w:p>
        </w:tc>
        <w:tc>
          <w:tcPr>
            <w:tcW w:w="2551" w:type="dxa"/>
            <w:vAlign w:val="center"/>
          </w:tcPr>
          <w:p>
            <w:pPr>
              <w:pStyle w:val="11"/>
            </w:pPr>
          </w:p>
        </w:tc>
        <w:tc>
          <w:tcPr>
            <w:tcW w:w="2552"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1.29</w:t>
            </w:r>
          </w:p>
        </w:tc>
        <w:tc>
          <w:tcPr>
            <w:tcW w:w="2551" w:type="dxa"/>
            <w:vAlign w:val="center"/>
          </w:tcPr>
          <w:p>
            <w:pPr>
              <w:pStyle w:val="11"/>
            </w:pPr>
          </w:p>
        </w:tc>
        <w:tc>
          <w:tcPr>
            <w:tcW w:w="2552" w:type="dxa"/>
            <w:vAlign w:val="center"/>
          </w:tcPr>
          <w:p>
            <w:pPr>
              <w:pStyle w:val="11"/>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5.58</w:t>
            </w:r>
          </w:p>
        </w:tc>
        <w:tc>
          <w:tcPr>
            <w:tcW w:w="2551" w:type="dxa"/>
            <w:vAlign w:val="center"/>
          </w:tcPr>
          <w:p>
            <w:pPr>
              <w:pStyle w:val="11"/>
            </w:pPr>
          </w:p>
        </w:tc>
        <w:tc>
          <w:tcPr>
            <w:tcW w:w="2552" w:type="dxa"/>
            <w:vAlign w:val="center"/>
          </w:tcPr>
          <w:p>
            <w:pPr>
              <w:pStyle w:val="11"/>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17.54</w:t>
            </w:r>
          </w:p>
        </w:tc>
        <w:tc>
          <w:tcPr>
            <w:tcW w:w="2551" w:type="dxa"/>
            <w:vAlign w:val="center"/>
          </w:tcPr>
          <w:p>
            <w:pPr>
              <w:pStyle w:val="11"/>
            </w:pPr>
            <w:r>
              <w:t>17.54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17.54</w:t>
            </w:r>
          </w:p>
        </w:tc>
        <w:tc>
          <w:tcPr>
            <w:tcW w:w="2551" w:type="dxa"/>
            <w:vAlign w:val="center"/>
          </w:tcPr>
          <w:p>
            <w:pPr>
              <w:pStyle w:val="11"/>
            </w:pPr>
            <w:r>
              <w:t>17.54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中共曲阳县委统一战线工作部2024年部门预算信息公开情况说明</w:t>
      </w:r>
    </w:p>
    <w:p>
      <w:pPr>
        <w:jc w:val="center"/>
      </w:pPr>
      <w:r>
        <w:rPr>
          <w:rFonts w:ascii="方正小标宋_GBK" w:hAnsi="方正小标宋_GBK" w:eastAsia="方正小标宋_GBK" w:cs="方正小标宋_GBK"/>
          <w:color w:val="000000"/>
          <w:sz w:val="44"/>
        </w:rPr>
        <w:t>中共曲阳县委统一战线工作部2024年部门预算信息公开情况说明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按照《中华人民共和国预算法》、《地方预决算公开操作规程》和《关于进一步推进预算公开工作的实施意见》规定，现将中共曲阳县委统一战线工作部2024年部门预算公开如下：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(1)调查研究统一战线的理论和方针政策,组织贯彻执行中央和县委关于统一战线的方针、政策;向县委反映统战全面情况,提出开展统战工作的意见和建议;检查统战政策执行情况,协调统战各方面的关系。</w:t>
      </w:r>
    </w:p>
    <w:p>
      <w:pPr>
        <w:pStyle w:val="17"/>
      </w:pPr>
      <w:r>
        <w:t>(2)负责联系各民主党派和无党派代表人士,及时通报情况,反映他们的意见和建议;研究贯彻党领导的多党合作政治和政治协商制度,以及对民主党派的方针、政策;落实中央和省、市委关于发挥民主党派和无党派代表人士参政议政和民主监督作用的工作,为县委同民主党派进行政治协</w:t>
      </w:r>
      <w:r>
        <w:rPr>
          <w:rFonts w:hint="eastAsia"/>
          <w:lang w:eastAsia="zh-CN"/>
        </w:rPr>
        <w:t>商</w:t>
      </w:r>
      <w:r>
        <w:t>做好组织联系工作;受县委委托,向民主党派,无党派人士通报中夹和省、市委精神;文持、帮助各民主党派加强自身建设,选拔培养新一代代表人物。</w:t>
      </w:r>
    </w:p>
    <w:p>
      <w:pPr>
        <w:pStyle w:val="17"/>
      </w:pPr>
      <w:r>
        <w:t>(3)负责调查研究、协调检查有关民族和宗教工作的重大方针、政策问题。</w:t>
      </w:r>
    </w:p>
    <w:p>
      <w:pPr>
        <w:pStyle w:val="17"/>
      </w:pPr>
      <w:r>
        <w:t>(4)负责开展以祖国统一为重点的海外统战工作;联系、联络海外有关社团及代表人士;归口管理台湾在野党派,政治团体约来访工作;做好台胞、台属的有关工作。</w:t>
      </w:r>
    </w:p>
    <w:p>
      <w:pPr>
        <w:pStyle w:val="17"/>
      </w:pPr>
      <w:r>
        <w:t>(5)负责党外人士的政治安排;会同有关部门做好培养、考察、选拔、推荐、安排党外人士担任政府和司法机关领导职务工作,做好党外后备干部和新的代表人物队伍建设工作;协助工商联做好干部管理工作。</w:t>
      </w:r>
    </w:p>
    <w:p>
      <w:pPr>
        <w:pStyle w:val="17"/>
      </w:pPr>
      <w:r>
        <w:t>(6)调查研究并反映本县非公有制经济代表人士的情况,协调关系,提出政策建议;团结、帮助、引导、教育非公有制经济人士,积极开展思想政治工作。</w:t>
      </w:r>
    </w:p>
    <w:p>
      <w:pPr>
        <w:pStyle w:val="17"/>
      </w:pPr>
      <w:r>
        <w:t>(7)调查研究党外知识分子的情况,反映意见、协调关系,提出政策建议。</w:t>
      </w:r>
    </w:p>
    <w:p>
      <w:pPr>
        <w:pStyle w:val="17"/>
      </w:pPr>
      <w:r>
        <w:t>(8)负责全县开展海内外统一战线的宣传和联络工作</w:t>
      </w:r>
    </w:p>
    <w:p>
      <w:pPr>
        <w:pStyle w:val="17"/>
      </w:pPr>
      <w:r>
        <w:t>(9)负责指导工商联工作;联系侨联;代管台湾办公室海外联谊会等有关社会团体工作。</w:t>
      </w:r>
    </w:p>
    <w:p>
      <w:pPr>
        <w:pStyle w:val="17"/>
      </w:pPr>
      <w:r>
        <w:t>(10)负责对台宣传和全县涉台教育工作。坚持“和平统一</w:t>
      </w:r>
      <w:r>
        <w:rPr>
          <w:rFonts w:hint="eastAsia"/>
          <w:lang w:eastAsia="zh-CN"/>
        </w:rPr>
        <w:t>“一国两制”</w:t>
      </w:r>
      <w:r>
        <w:t>的基本方针,结合两岸形势有针对性地开展台情对台工作的调查研究及时向上级提出报告建议。</w:t>
      </w:r>
    </w:p>
    <w:p>
      <w:pPr>
        <w:pStyle w:val="17"/>
      </w:pPr>
      <w:r>
        <w:t>(11)负责对民族宗教工作进行调研并提出政策性建议;联系少数民族和宗教界代表人物;协调和配合有关部门处理涉及民族宗教方面的重大问题,参与对全县天主教地下势力的综合治理。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中共曲阳县委统一战线工作部本级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按照预算管理有关规定，目前部门预算的编制实行综合预算管理，即全部收入和支出都反映在预算中。中共曲阳县委统一战线工作部机关及所属事业单位的收支包含在部门预算中。</w:t>
      </w:r>
    </w:p>
    <w:p>
      <w:pPr>
        <w:pStyle w:val="18"/>
      </w:pPr>
      <w:r>
        <w:t>1、收入说明</w:t>
      </w:r>
    </w:p>
    <w:p>
      <w:pPr>
        <w:pStyle w:val="18"/>
      </w:pPr>
      <w:r>
        <w:t>反映本部门当年全部收入。2024年预算收入182.71万元，其中：一般公共预算收入182.71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曲阳县委统一战线工作部年度部门预算中支出预算的总体情况。2024年支出预算182.71万元，其中基本支出138.00万元，包括人员经费125.85万元和日常公用经费12.15万元；项目支出44.71万元，主要为统战工作专项经费、宗教工作专项经费、工商联业务项目经费、公益岗人员项目经费、劳务派遣人员项目经费</w:t>
      </w:r>
    </w:p>
    <w:p>
      <w:pPr>
        <w:pStyle w:val="18"/>
      </w:pPr>
      <w:r>
        <w:t>3、比上年增减情况</w:t>
      </w:r>
    </w:p>
    <w:p>
      <w:pPr>
        <w:pStyle w:val="18"/>
      </w:pPr>
      <w:r>
        <w:t>2024年预算收支安排182.71万元，较2023年预算增加13.18万元，其中：基本支出增加15.96万元，主要为新增2名事业编制人员，相应的增加了基本支出。项目支出减少2.78万元，主要为2024年减少一项安装红外线视频监控项目14.68万元，工商联业务项目经费较上年增加2万元。公益岗人员项目经费较上年增加6.28万元，劳务派遣人员项目经费较上年增加3.62万元，项目总体减少2.78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eastAsiaTheme="minorEastAsia"/>
          <w:lang w:eastAsia="zh-CN"/>
        </w:rPr>
      </w:pPr>
      <w:bookmarkStart w:id="12" w:name="_Toc_3_3_0000000013"/>
      <w:r>
        <w:t>2024年，我</w:t>
      </w:r>
      <w:r>
        <w:rPr>
          <w:rFonts w:hint="eastAsia" w:eastAsiaTheme="minorEastAsia"/>
          <w:lang w:eastAsia="zh-CN"/>
        </w:rPr>
        <w:t>部门</w:t>
      </w:r>
      <w:r>
        <w:t>机关运行经费共计安排</w:t>
      </w:r>
      <w:r>
        <w:rPr>
          <w:rFonts w:hint="eastAsia" w:eastAsiaTheme="minorEastAsia"/>
          <w:lang w:eastAsia="zh-CN"/>
        </w:rPr>
        <w:t>12.15</w:t>
      </w:r>
      <w:r>
        <w:t>万元，主要用于日常维修、办公用房水电费、办公用房取暖费、办公用房物业管理费等日常运行支出。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rPr>
          <w:rFonts w:eastAsiaTheme="minorEastAsia"/>
          <w:lang w:val="uk-UA" w:eastAsia="zh-CN"/>
        </w:rPr>
      </w:pPr>
      <w:r>
        <w:t>2024年我单位坚持以习近平总书记关于加强和改进统一战线工作的重要思想为指导，深入学习贯彻党的二十大精神，紧紧围绕县委中心工作，做好统一战线凝心聚力工作。通过打造、维护七个已挂牌工作的实践创新基地，定期举办联谊交友、政策学习、外出参观学习等活动，不断拓宽各领域、各阶层党外代表人士参政议政渠道。深入开展“两带多节点”民族团结进步创建工作，提升打造民族团结进步创建师范单位，通过定期举办特色文化研学和各项体验交流活动，充分发挥”连心桥“民族团结联络站作用，使中华民族共同体意识入脑入心。推进宗教领域和谐稳定工作。一是定期举办宗教界政策法规学习、定期更新“双创四进”宣传展板和“送书籍进宗教活动场所”活动，提升宗教界</w:t>
      </w:r>
      <w:r>
        <w:rPr>
          <w:rFonts w:hint="eastAsia"/>
          <w:lang w:eastAsia="zh-CN"/>
        </w:rPr>
        <w:t>法治</w:t>
      </w:r>
      <w:r>
        <w:t>意识；二是组织宗教界人士参观红色教育基地，强化爱国主义教育；三是通过对场所走访检查、安全指导和举办安全知识推广活动，依法加强场所安全管理。抓服务、抓沟通。进民营经济健康发展。定期走访民营企业，与企业负责人进行交流座谈，了解企业发展瓶颈，帮企业疏难解困。适时开展民营企业沙龙和座谈会，畅通问题反馈渠道，助力民营经济健康发展。</w:t>
      </w:r>
    </w:p>
    <w:p>
      <w:pPr>
        <w:spacing w:line="500" w:lineRule="exact"/>
        <w:ind w:firstLine="560"/>
      </w:pPr>
      <w:r>
        <w:rPr>
          <w:rFonts w:eastAsia="方正仿宋_GBK"/>
          <w:color w:val="000000"/>
          <w:sz w:val="28"/>
        </w:rPr>
        <w:t>（二）分项绩效目标</w:t>
      </w:r>
    </w:p>
    <w:p>
      <w:pPr>
        <w:pStyle w:val="22"/>
      </w:pPr>
      <w:r>
        <w:t>1、开展统战工作</w:t>
      </w:r>
    </w:p>
    <w:p>
      <w:pPr>
        <w:pStyle w:val="22"/>
      </w:pPr>
      <w:r>
        <w:t>绩效目标：联系、培养、教育党外知识分子和新的社会阶层代表人士，发挥智力优势，组织和落实中央、省、市、县委关于统一战线工作重大决策部署，巩固壮大最广泛的统一战线。</w:t>
      </w:r>
    </w:p>
    <w:p>
      <w:pPr>
        <w:pStyle w:val="22"/>
      </w:pPr>
      <w:r>
        <w:t>绩效指标：一是计划开展联谊交流活动、知心会联谊会、爱国主义教育、座谈会一次以上，累计参加人次达到150人以上，印刷宣传品300余份，服务对象满意度达到90%以上，通过开展各项活动，团结、凝聚党外优秀知识分子和新的社会阶层人士这个群体，并影响带动全县绝大部分党外知识分子，紧紧围绕县委、县政府的中心工作，贡献智慧和力量，凝聚壮大统一战线力量。二是组织新的社会阶层人士、党外知识分子和宗教界人士到其他先进地区参观学习，感受制度自信，本年一次以上。</w:t>
      </w:r>
    </w:p>
    <w:p>
      <w:pPr>
        <w:pStyle w:val="22"/>
      </w:pPr>
      <w:r>
        <w:t>2、宗教事务管理</w:t>
      </w:r>
    </w:p>
    <w:p>
      <w:pPr>
        <w:pStyle w:val="22"/>
      </w:pPr>
      <w:r>
        <w:t>绩效目标：提高全县宗教干部的政策水平和处置复杂宗教问题的能力，提高宗教界人士和信教群众的</w:t>
      </w:r>
      <w:r>
        <w:rPr>
          <w:rFonts w:hint="eastAsia"/>
          <w:lang w:eastAsia="zh-CN"/>
        </w:rPr>
        <w:t>法治</w:t>
      </w:r>
      <w:r>
        <w:t>意识，自觉遵守有关法律法规，依法有序开展宗教活动。</w:t>
      </w:r>
    </w:p>
    <w:p>
      <w:pPr>
        <w:pStyle w:val="22"/>
      </w:pPr>
      <w:r>
        <w:t>绩效指标：一是计划开展宗教政策法规学习培训，培训宗教干部、宗教教职人员、宗教活动场所负责人、信教群众累积不少于300人次，印刷宣传品400余份，受训人员满意度达到95%以上，通过开展此项活动，不断提高全县宗教干部的政策水平和处置复杂宗教问题的能力，提高宗教界人士和信教群众的</w:t>
      </w:r>
      <w:r>
        <w:rPr>
          <w:rFonts w:hint="eastAsia"/>
          <w:lang w:eastAsia="zh-CN"/>
        </w:rPr>
        <w:t>法治</w:t>
      </w:r>
      <w:r>
        <w:t>意识，自觉遵守有关法律法规，依法有序开展宗教活动。二是加强宗教敏感期的维稳工作，确保宗教领域的安全稳定，每月下乡走访不少于两次。通过开展这两项活动加强爱国宗教组织建设，团结争取大多数信教群众，为维护社会稳定、促进社会和谐做贡献。严格按照国旗、宪法和法律法规、社会主义核心价值观、中华优秀传统文化进宗教活动场所的要求，深入推进双创四进活动，</w:t>
      </w:r>
    </w:p>
    <w:p>
      <w:pPr>
        <w:pStyle w:val="22"/>
      </w:pPr>
      <w:r>
        <w:t>3、组织建设</w:t>
      </w:r>
    </w:p>
    <w:p>
      <w:pPr>
        <w:pStyle w:val="22"/>
      </w:pPr>
      <w:r>
        <w:t>绩效指标：促进非公</w:t>
      </w:r>
      <w:r>
        <w:rPr>
          <w:rFonts w:hint="eastAsia"/>
          <w:lang w:eastAsia="zh-CN"/>
        </w:rPr>
        <w:t>经济</w:t>
      </w:r>
      <w:r>
        <w:t>健康发展，促进非公有人士制经济人士健康成长，提高非公经济可持续发展能力。做好非公经济人士思想政治工作，提高非公经济人士的政治素质。</w:t>
      </w:r>
    </w:p>
    <w:p>
      <w:pPr>
        <w:pStyle w:val="22"/>
      </w:pPr>
      <w:r>
        <w:t>绩效指标：指导工商联工作，协助工商联开展好非公经济大讲堂活动，培训累计90人次，编印学习资料100份，受训人员满意度达到90%以上，通过开展此项活动做好非公经济人士思想政治工作</w:t>
      </w:r>
      <w:bookmarkStart w:id="20" w:name="_GoBack"/>
      <w:bookmarkEnd w:id="20"/>
      <w:r>
        <w:t>，提高非公经济人士的政治素质，促进非公</w:t>
      </w:r>
      <w:r>
        <w:rPr>
          <w:rFonts w:hint="eastAsia"/>
          <w:lang w:eastAsia="zh-CN"/>
        </w:rPr>
        <w:t>经济</w:t>
      </w:r>
      <w:r>
        <w:t>健康发展，促进非公有人士制经济人士健康成长，提高非公经济可持续发展能力。</w:t>
      </w:r>
    </w:p>
    <w:p>
      <w:pPr>
        <w:spacing w:line="500" w:lineRule="exact"/>
        <w:ind w:firstLine="560"/>
      </w:pPr>
      <w:r>
        <w:rPr>
          <w:rFonts w:eastAsia="方正仿宋_GBK"/>
          <w:color w:val="000000"/>
          <w:sz w:val="28"/>
        </w:rPr>
        <w:t>（三）工作保障措施</w:t>
      </w:r>
    </w:p>
    <w:p>
      <w:pPr>
        <w:pStyle w:val="23"/>
      </w:pPr>
      <w:r>
        <w:t>1、加强组织领导。将事前评估、目标管理、运行监控、绩效评价、结果应用等各项改革措施，有效融入预算管理的全过程环节，建立健全统战领域预算绩效管理的路径和制度体系。成立由部主要领导同志任组长的预算绩效工作领导小组，分设多个业务小组，建立统筹协调、分工协作、密切配合、合力推进的工作机制。围绕年度总体绩效目标和分类绩效目标，细化工作方案，明确责任主体、实施进度要求，确保如期完成。</w:t>
      </w:r>
    </w:p>
    <w:p>
      <w:pPr>
        <w:pStyle w:val="23"/>
      </w:pPr>
      <w:r>
        <w:t>2、强化预算编制。2024年度预算安排围绕部年度工作要点展开，坚持全面完整、科学规范、保证重点、绩效预算的原则，按照部门预算的要求，认真编制预算方案。做到有预算安排、有支出标准、有制度依据，维护预算的严肃性和权威性。严格按《</w:t>
      </w:r>
      <w:r>
        <w:rPr>
          <w:rFonts w:hint="eastAsia" w:eastAsiaTheme="minorEastAsia"/>
          <w:lang w:eastAsia="zh-CN"/>
        </w:rPr>
        <w:t>中华人民共和国</w:t>
      </w:r>
      <w:r>
        <w:t>预算法》的规定，进一步做细、做实、做准预算，为预算执行打下良好基础，提高预算到位率，切实把预算细化到部门，细化到基层单位，细化到具体项目。</w:t>
      </w:r>
    </w:p>
    <w:p>
      <w:pPr>
        <w:pStyle w:val="23"/>
      </w:pPr>
      <w:r>
        <w:t>3、细化措施，狠抓落实。围绕年度总体绩效目标，结合部2024年的工作安排，进一步细化工作方案，明确责任主体。按照“谁花钱，谁负责，谁牵头，负总责”的原则，确保我部财政资金用的明白、花的正规、效果明显。在平时工作开展中，做到开展活动就要抓绩效、使用资金就要管绩效，确保财务与业务工作紧密衔接，确保资金使用效率的最大化。</w:t>
      </w:r>
    </w:p>
    <w:p>
      <w:pPr>
        <w:pStyle w:val="23"/>
      </w:pPr>
      <w:r>
        <w:t>4、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各项目承担处室（单位）的项目实施进展、资金拨付和有关绩效指标完成情况，确保绩效目标实现。</w:t>
      </w:r>
    </w:p>
    <w:p>
      <w:pPr>
        <w:pStyle w:val="23"/>
        <w:sectPr>
          <w:pgSz w:w="16840" w:h="11900" w:orient="landscape"/>
          <w:pgMar w:top="1361" w:right="1020" w:bottom="1361" w:left="1020" w:header="720" w:footer="720" w:gutter="0"/>
          <w:cols w:space="720" w:num="1"/>
        </w:sectPr>
      </w:pPr>
      <w:r>
        <w:t>5、加强宣传，强化指导。通过授课讲解发放明白纸、展板、微信、短信等多种形式开展绩效教育，积极营造人人讲绩效、人人熟悉绩效、个个遵守绩效管理的浓厚氛围，使干部职工的思想中牢固树立绩效理念，进一步提升部预算绩效管理的科学化水平。</w:t>
      </w:r>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1、工商联公益岗人员项目经费绩效目标表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13063424P0018LG10004G</w:t>
            </w:r>
          </w:p>
        </w:tc>
        <w:tc>
          <w:tcPr>
            <w:tcW w:w="2835" w:type="dxa"/>
            <w:vAlign w:val="center"/>
          </w:tcPr>
          <w:p>
            <w:pPr>
              <w:pStyle w:val="10"/>
            </w:pPr>
            <w:r>
              <w:t>项目名称</w:t>
            </w:r>
          </w:p>
        </w:tc>
        <w:tc>
          <w:tcPr>
            <w:tcW w:w="6095" w:type="dxa"/>
            <w:gridSpan w:val="3"/>
            <w:vAlign w:val="center"/>
          </w:tcPr>
          <w:p>
            <w:pPr>
              <w:pStyle w:val="12"/>
            </w:pPr>
            <w:r>
              <w:t>工商联公益岗人员项目经费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6.46</w:t>
            </w:r>
          </w:p>
        </w:tc>
        <w:tc>
          <w:tcPr>
            <w:tcW w:w="2835" w:type="dxa"/>
            <w:vAlign w:val="center"/>
          </w:tcPr>
          <w:p>
            <w:pPr>
              <w:pStyle w:val="10"/>
            </w:pPr>
            <w:r>
              <w:t>其中：财政    资金</w:t>
            </w:r>
          </w:p>
        </w:tc>
        <w:tc>
          <w:tcPr>
            <w:tcW w:w="2551" w:type="dxa"/>
            <w:vAlign w:val="center"/>
          </w:tcPr>
          <w:p>
            <w:pPr>
              <w:pStyle w:val="12"/>
            </w:pPr>
            <w:r>
              <w:t>6.46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预算数64608.86元，其中县级财政资金为64608.86，主要用于我单位支付公益岗人员工资、保险、军龄补贴等经费支出。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1.62</w:t>
            </w:r>
          </w:p>
        </w:tc>
        <w:tc>
          <w:tcPr>
            <w:tcW w:w="2835" w:type="dxa"/>
            <w:vAlign w:val="center"/>
          </w:tcPr>
          <w:p>
            <w:pPr>
              <w:pStyle w:val="13"/>
            </w:pPr>
            <w:r>
              <w:t>3.23</w:t>
            </w:r>
          </w:p>
        </w:tc>
        <w:tc>
          <w:tcPr>
            <w:tcW w:w="2551" w:type="dxa"/>
            <w:vAlign w:val="center"/>
          </w:tcPr>
          <w:p>
            <w:pPr>
              <w:pStyle w:val="13"/>
            </w:pPr>
            <w:r>
              <w:t>4.85</w:t>
            </w:r>
          </w:p>
        </w:tc>
        <w:tc>
          <w:tcPr>
            <w:tcW w:w="3544" w:type="dxa"/>
            <w:gridSpan w:val="2"/>
            <w:vAlign w:val="center"/>
          </w:tcPr>
          <w:p>
            <w:pPr>
              <w:pStyle w:val="13"/>
            </w:pPr>
            <w:r>
              <w:t>6.46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通过及时发放一名公益岗工资，保障人员利益，使其更好的完成承担的任务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公益岗人员数量</w:t>
            </w:r>
          </w:p>
        </w:tc>
        <w:tc>
          <w:tcPr>
            <w:tcW w:w="1815" w:type="dxa"/>
            <w:vAlign w:val="center"/>
          </w:tcPr>
          <w:p>
            <w:pPr>
              <w:pStyle w:val="12"/>
            </w:pPr>
            <w:r>
              <w:t>1个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公益岗工资发放到位率</w:t>
            </w:r>
          </w:p>
        </w:tc>
        <w:tc>
          <w:tcPr>
            <w:tcW w:w="5386" w:type="dxa"/>
            <w:vAlign w:val="center"/>
          </w:tcPr>
          <w:p>
            <w:pPr>
              <w:pStyle w:val="12"/>
            </w:pPr>
            <w:r>
              <w:t>公益岗工资发放到位率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公益岗工资发放及时率</w:t>
            </w:r>
          </w:p>
        </w:tc>
        <w:tc>
          <w:tcPr>
            <w:tcW w:w="5386" w:type="dxa"/>
            <w:vAlign w:val="center"/>
          </w:tcPr>
          <w:p>
            <w:pPr>
              <w:pStyle w:val="12"/>
            </w:pPr>
            <w:r>
              <w:t>公益岗工资发放及时率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公益岗月均发放工资成本</w:t>
            </w:r>
          </w:p>
        </w:tc>
        <w:tc>
          <w:tcPr>
            <w:tcW w:w="5386" w:type="dxa"/>
            <w:vAlign w:val="center"/>
          </w:tcPr>
          <w:p>
            <w:pPr>
              <w:pStyle w:val="12"/>
            </w:pPr>
            <w:r>
              <w:t>公益岗月均发放工资成本</w:t>
            </w:r>
          </w:p>
        </w:tc>
        <w:tc>
          <w:tcPr>
            <w:tcW w:w="1815" w:type="dxa"/>
            <w:vAlign w:val="center"/>
          </w:tcPr>
          <w:p>
            <w:pPr>
              <w:pStyle w:val="12"/>
            </w:pPr>
            <w:r>
              <w:t>2730.82元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增加公益工作岗位</w:t>
            </w:r>
          </w:p>
        </w:tc>
        <w:tc>
          <w:tcPr>
            <w:tcW w:w="5386" w:type="dxa"/>
            <w:vAlign w:val="center"/>
          </w:tcPr>
          <w:p>
            <w:pPr>
              <w:pStyle w:val="12"/>
            </w:pPr>
            <w:r>
              <w:t>增加公益工作岗位</w:t>
            </w:r>
          </w:p>
        </w:tc>
        <w:tc>
          <w:tcPr>
            <w:tcW w:w="1815" w:type="dxa"/>
            <w:vAlign w:val="center"/>
          </w:tcPr>
          <w:p>
            <w:pPr>
              <w:pStyle w:val="12"/>
            </w:pPr>
            <w:r>
              <w:t>1个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≥98%</w:t>
            </w:r>
          </w:p>
        </w:tc>
        <w:tc>
          <w:tcPr>
            <w:tcW w:w="1729"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2、工商联业务项目经费绩效目标表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13063424P0051A510005H</w:t>
            </w:r>
          </w:p>
        </w:tc>
        <w:tc>
          <w:tcPr>
            <w:tcW w:w="2835" w:type="dxa"/>
            <w:vAlign w:val="center"/>
          </w:tcPr>
          <w:p>
            <w:pPr>
              <w:pStyle w:val="10"/>
            </w:pPr>
            <w:r>
              <w:t>项目名称</w:t>
            </w:r>
          </w:p>
        </w:tc>
        <w:tc>
          <w:tcPr>
            <w:tcW w:w="6095" w:type="dxa"/>
            <w:gridSpan w:val="3"/>
            <w:vAlign w:val="center"/>
          </w:tcPr>
          <w:p>
            <w:pPr>
              <w:pStyle w:val="12"/>
            </w:pPr>
            <w:r>
              <w:t>工商联业务项目经费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预算数40000元，其中县级预算资金40000元，用于工商联组织民营经济人士学习，下乡走访，印刷资料等费用支出。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通过组织民营经济人士开展学习，提高非公经济人士的政治素质，促进非公经济健康发展和非公有人士制经济人士健康成长。</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培训会开展时间</w:t>
            </w:r>
          </w:p>
        </w:tc>
        <w:tc>
          <w:tcPr>
            <w:tcW w:w="5386" w:type="dxa"/>
            <w:vAlign w:val="center"/>
          </w:tcPr>
          <w:p>
            <w:pPr>
              <w:pStyle w:val="12"/>
            </w:pPr>
            <w:r>
              <w:t>培训会开展时间</w:t>
            </w:r>
          </w:p>
        </w:tc>
        <w:tc>
          <w:tcPr>
            <w:tcW w:w="1673" w:type="dxa"/>
            <w:vAlign w:val="center"/>
          </w:tcPr>
          <w:p>
            <w:pPr>
              <w:pStyle w:val="12"/>
            </w:pPr>
            <w:r>
              <w:t>9月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印刷资料成本</w:t>
            </w:r>
          </w:p>
        </w:tc>
        <w:tc>
          <w:tcPr>
            <w:tcW w:w="5386" w:type="dxa"/>
            <w:vAlign w:val="center"/>
          </w:tcPr>
          <w:p>
            <w:pPr>
              <w:pStyle w:val="12"/>
            </w:pPr>
            <w:r>
              <w:t>编印学习资料单册成本</w:t>
            </w:r>
          </w:p>
        </w:tc>
        <w:tc>
          <w:tcPr>
            <w:tcW w:w="1673" w:type="dxa"/>
            <w:vAlign w:val="center"/>
          </w:tcPr>
          <w:p>
            <w:pPr>
              <w:pStyle w:val="12"/>
            </w:pPr>
            <w:r>
              <w:t>≤40元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印刷学习材料数量</w:t>
            </w:r>
          </w:p>
        </w:tc>
        <w:tc>
          <w:tcPr>
            <w:tcW w:w="5386" w:type="dxa"/>
            <w:vAlign w:val="center"/>
          </w:tcPr>
          <w:p>
            <w:pPr>
              <w:pStyle w:val="12"/>
            </w:pPr>
            <w:r>
              <w:t>印刷学习材料数量</w:t>
            </w:r>
          </w:p>
        </w:tc>
        <w:tc>
          <w:tcPr>
            <w:tcW w:w="1673" w:type="dxa"/>
            <w:vAlign w:val="center"/>
          </w:tcPr>
          <w:p>
            <w:pPr>
              <w:pStyle w:val="12"/>
            </w:pPr>
            <w:r>
              <w:t>≥300份</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非公经济人士培训合格率</w:t>
            </w:r>
          </w:p>
        </w:tc>
        <w:tc>
          <w:tcPr>
            <w:tcW w:w="1673" w:type="dxa"/>
            <w:vAlign w:val="center"/>
          </w:tcPr>
          <w:p>
            <w:pPr>
              <w:pStyle w:val="12"/>
            </w:pPr>
            <w:r>
              <w:t>≥85%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非公经济人士参政议政率</w:t>
            </w:r>
          </w:p>
        </w:tc>
        <w:tc>
          <w:tcPr>
            <w:tcW w:w="5386" w:type="dxa"/>
            <w:vAlign w:val="center"/>
          </w:tcPr>
          <w:p>
            <w:pPr>
              <w:pStyle w:val="12"/>
            </w:pPr>
            <w:r>
              <w:t>非公经济人士参政议政率</w:t>
            </w:r>
          </w:p>
        </w:tc>
        <w:tc>
          <w:tcPr>
            <w:tcW w:w="1673" w:type="dxa"/>
            <w:vAlign w:val="center"/>
          </w:tcPr>
          <w:p>
            <w:pPr>
              <w:pStyle w:val="12"/>
            </w:pPr>
            <w:r>
              <w:t>≥30%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673" w:type="dxa"/>
            <w:vAlign w:val="center"/>
          </w:tcPr>
          <w:p>
            <w:pPr>
              <w:pStyle w:val="12"/>
            </w:pPr>
            <w:r>
              <w:t>≥90%</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3、统战部劳务派遣人员项目经费绩效目标表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13063424P00B2D010004E</w:t>
            </w:r>
          </w:p>
        </w:tc>
        <w:tc>
          <w:tcPr>
            <w:tcW w:w="2835" w:type="dxa"/>
            <w:vAlign w:val="center"/>
          </w:tcPr>
          <w:p>
            <w:pPr>
              <w:pStyle w:val="10"/>
            </w:pPr>
            <w:r>
              <w:t>项目名称</w:t>
            </w:r>
          </w:p>
        </w:tc>
        <w:tc>
          <w:tcPr>
            <w:tcW w:w="6095" w:type="dxa"/>
            <w:gridSpan w:val="3"/>
            <w:vAlign w:val="center"/>
          </w:tcPr>
          <w:p>
            <w:pPr>
              <w:pStyle w:val="12"/>
            </w:pPr>
            <w:r>
              <w:t>统战部劳务派遣人员项目经费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14.25</w:t>
            </w:r>
          </w:p>
        </w:tc>
        <w:tc>
          <w:tcPr>
            <w:tcW w:w="2835" w:type="dxa"/>
            <w:vAlign w:val="center"/>
          </w:tcPr>
          <w:p>
            <w:pPr>
              <w:pStyle w:val="10"/>
            </w:pPr>
            <w:r>
              <w:t>其中：财政    资金</w:t>
            </w:r>
          </w:p>
        </w:tc>
        <w:tc>
          <w:tcPr>
            <w:tcW w:w="2551" w:type="dxa"/>
            <w:vAlign w:val="center"/>
          </w:tcPr>
          <w:p>
            <w:pPr>
              <w:pStyle w:val="12"/>
            </w:pPr>
            <w:r>
              <w:t>14.25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预算数142500元，其中县级财政资金142500元，主要用于支付3名劳务派遣工资、保险等费用。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3.56</w:t>
            </w:r>
          </w:p>
        </w:tc>
        <w:tc>
          <w:tcPr>
            <w:tcW w:w="2835" w:type="dxa"/>
            <w:vAlign w:val="center"/>
          </w:tcPr>
          <w:p>
            <w:pPr>
              <w:pStyle w:val="13"/>
            </w:pPr>
            <w:r>
              <w:t>7.13</w:t>
            </w:r>
          </w:p>
        </w:tc>
        <w:tc>
          <w:tcPr>
            <w:tcW w:w="2551" w:type="dxa"/>
            <w:vAlign w:val="center"/>
          </w:tcPr>
          <w:p>
            <w:pPr>
              <w:pStyle w:val="13"/>
            </w:pPr>
            <w:r>
              <w:t>10.69</w:t>
            </w:r>
          </w:p>
        </w:tc>
        <w:tc>
          <w:tcPr>
            <w:tcW w:w="3544" w:type="dxa"/>
            <w:gridSpan w:val="2"/>
            <w:vAlign w:val="center"/>
          </w:tcPr>
          <w:p>
            <w:pPr>
              <w:pStyle w:val="13"/>
            </w:pPr>
            <w:r>
              <w:t>14.25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通过及时发放3名劳务派遣人员工资，保障人员利益，使其更好的完成承担的工作任务。</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3人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劳务派遣月均补助成本</w:t>
            </w:r>
          </w:p>
        </w:tc>
        <w:tc>
          <w:tcPr>
            <w:tcW w:w="1957" w:type="dxa"/>
            <w:vAlign w:val="center"/>
          </w:tcPr>
          <w:p>
            <w:pPr>
              <w:pStyle w:val="12"/>
            </w:pPr>
            <w:r>
              <w:t>≤8592.03元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1957" w:type="dxa"/>
            <w:vAlign w:val="center"/>
          </w:tcPr>
          <w:p>
            <w:pPr>
              <w:pStyle w:val="12"/>
            </w:pPr>
            <w:r>
              <w:t>3个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4、统战工作专项经费绩效目标表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13063424P00BFG2100044</w:t>
            </w:r>
          </w:p>
        </w:tc>
        <w:tc>
          <w:tcPr>
            <w:tcW w:w="2835" w:type="dxa"/>
            <w:vAlign w:val="center"/>
          </w:tcPr>
          <w:p>
            <w:pPr>
              <w:pStyle w:val="10"/>
            </w:pPr>
            <w:r>
              <w:t>项目名称</w:t>
            </w:r>
          </w:p>
        </w:tc>
        <w:tc>
          <w:tcPr>
            <w:tcW w:w="6095" w:type="dxa"/>
            <w:gridSpan w:val="3"/>
            <w:vAlign w:val="center"/>
          </w:tcPr>
          <w:p>
            <w:pPr>
              <w:pStyle w:val="12"/>
            </w:pPr>
            <w:r>
              <w:t>统战工作专项经费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预算数100000元，其中县级财政资金100000元，主要用于我单位统战工作开展，联谊活动举办，参观学习等费用支出。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通过联系、培养、教育党外知识分子和新的社会阶层代表人士，开展联谊活动、前往先进地区参观学习、交流培训，达到团结各阶层人士为</w:t>
            </w:r>
            <w:r>
              <w:rPr>
                <w:rFonts w:hint="eastAsia"/>
                <w:lang w:eastAsia="zh-CN"/>
              </w:rPr>
              <w:t>县委县政府</w:t>
            </w:r>
            <w:r>
              <w:t>建言献策，贡献力量的目的。</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展板条幅数量</w:t>
            </w:r>
          </w:p>
        </w:tc>
        <w:tc>
          <w:tcPr>
            <w:tcW w:w="5386" w:type="dxa"/>
            <w:vAlign w:val="center"/>
          </w:tcPr>
          <w:p>
            <w:pPr>
              <w:pStyle w:val="12"/>
            </w:pPr>
            <w:r>
              <w:t>展板条幅的数量</w:t>
            </w:r>
          </w:p>
        </w:tc>
        <w:tc>
          <w:tcPr>
            <w:tcW w:w="1815" w:type="dxa"/>
            <w:vAlign w:val="center"/>
          </w:tcPr>
          <w:p>
            <w:pPr>
              <w:pStyle w:val="12"/>
            </w:pPr>
            <w:r>
              <w:t>≥300个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统战工作落实到位率</w:t>
            </w:r>
          </w:p>
        </w:tc>
        <w:tc>
          <w:tcPr>
            <w:tcW w:w="5386" w:type="dxa"/>
            <w:vAlign w:val="center"/>
          </w:tcPr>
          <w:p>
            <w:pPr>
              <w:pStyle w:val="12"/>
            </w:pPr>
            <w:r>
              <w:t>统战工作落实到位率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活动开展时间</w:t>
            </w:r>
          </w:p>
        </w:tc>
        <w:tc>
          <w:tcPr>
            <w:tcW w:w="5386" w:type="dxa"/>
            <w:vAlign w:val="center"/>
          </w:tcPr>
          <w:p>
            <w:pPr>
              <w:pStyle w:val="12"/>
            </w:pPr>
            <w:r>
              <w:t>联谊/交流活动开展时间</w:t>
            </w:r>
          </w:p>
        </w:tc>
        <w:tc>
          <w:tcPr>
            <w:tcW w:w="1815" w:type="dxa"/>
            <w:vAlign w:val="center"/>
          </w:tcPr>
          <w:p>
            <w:pPr>
              <w:pStyle w:val="12"/>
            </w:pPr>
            <w:r>
              <w:t>六月份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展板条幅块均成本</w:t>
            </w:r>
          </w:p>
        </w:tc>
        <w:tc>
          <w:tcPr>
            <w:tcW w:w="5386" w:type="dxa"/>
            <w:vAlign w:val="center"/>
          </w:tcPr>
          <w:p>
            <w:pPr>
              <w:pStyle w:val="12"/>
            </w:pPr>
            <w:r>
              <w:t>展板条幅块均成本</w:t>
            </w:r>
          </w:p>
        </w:tc>
        <w:tc>
          <w:tcPr>
            <w:tcW w:w="1815" w:type="dxa"/>
            <w:vAlign w:val="center"/>
          </w:tcPr>
          <w:p>
            <w:pPr>
              <w:pStyle w:val="12"/>
            </w:pPr>
            <w:r>
              <w:t>≤150元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统战对象参政议政率</w:t>
            </w:r>
          </w:p>
        </w:tc>
        <w:tc>
          <w:tcPr>
            <w:tcW w:w="5386" w:type="dxa"/>
            <w:vAlign w:val="center"/>
          </w:tcPr>
          <w:p>
            <w:pPr>
              <w:pStyle w:val="12"/>
            </w:pPr>
            <w:r>
              <w:t>统战对象参政议政率</w:t>
            </w:r>
          </w:p>
        </w:tc>
        <w:tc>
          <w:tcPr>
            <w:tcW w:w="1815" w:type="dxa"/>
            <w:vAlign w:val="center"/>
          </w:tcPr>
          <w:p>
            <w:pPr>
              <w:pStyle w:val="12"/>
            </w:pPr>
            <w:r>
              <w:t>≥50%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5、宗教工作专项经费绩效目标表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13063424P0027PT10004R</w:t>
            </w:r>
          </w:p>
        </w:tc>
        <w:tc>
          <w:tcPr>
            <w:tcW w:w="2835" w:type="dxa"/>
            <w:vAlign w:val="center"/>
          </w:tcPr>
          <w:p>
            <w:pPr>
              <w:pStyle w:val="10"/>
            </w:pPr>
            <w:r>
              <w:t>项目名称</w:t>
            </w:r>
          </w:p>
        </w:tc>
        <w:tc>
          <w:tcPr>
            <w:tcW w:w="6095" w:type="dxa"/>
            <w:gridSpan w:val="3"/>
            <w:vAlign w:val="center"/>
          </w:tcPr>
          <w:p>
            <w:pPr>
              <w:pStyle w:val="12"/>
            </w:pPr>
            <w:r>
              <w:t>宗教工作专项经费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预算数100000元，其中县级财政资金100000，主要用于宗教工作下乡租车、印刷资料等费用支出。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通过在宗教界内宣传政策法规、组织学习、召开会议、走访调研，提高宗教界人员</w:t>
            </w:r>
            <w:r>
              <w:rPr>
                <w:rFonts w:hint="eastAsia"/>
                <w:lang w:eastAsia="zh-CN"/>
              </w:rPr>
              <w:t>法治</w:t>
            </w:r>
            <w:r>
              <w:t>意识，培训宗教干部，提高干部政策水平和处理复杂问题能力。</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制作展板条幅数量</w:t>
            </w:r>
          </w:p>
        </w:tc>
        <w:tc>
          <w:tcPr>
            <w:tcW w:w="5386" w:type="dxa"/>
            <w:vAlign w:val="center"/>
          </w:tcPr>
          <w:p>
            <w:pPr>
              <w:pStyle w:val="12"/>
            </w:pPr>
            <w:r>
              <w:t>制作展板条幅数量</w:t>
            </w:r>
          </w:p>
        </w:tc>
        <w:tc>
          <w:tcPr>
            <w:tcW w:w="1673" w:type="dxa"/>
            <w:vAlign w:val="center"/>
          </w:tcPr>
          <w:p>
            <w:pPr>
              <w:pStyle w:val="12"/>
            </w:pPr>
            <w:r>
              <w:t>≥150份</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宗教事务完成率</w:t>
            </w:r>
          </w:p>
        </w:tc>
        <w:tc>
          <w:tcPr>
            <w:tcW w:w="5386" w:type="dxa"/>
            <w:vAlign w:val="center"/>
          </w:tcPr>
          <w:p>
            <w:pPr>
              <w:pStyle w:val="12"/>
            </w:pPr>
            <w:r>
              <w:t>宗教事务完成率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每月走访时间</w:t>
            </w:r>
          </w:p>
        </w:tc>
        <w:tc>
          <w:tcPr>
            <w:tcW w:w="5386" w:type="dxa"/>
            <w:vAlign w:val="center"/>
          </w:tcPr>
          <w:p>
            <w:pPr>
              <w:pStyle w:val="12"/>
            </w:pPr>
            <w:r>
              <w:t>每月走访时间</w:t>
            </w:r>
          </w:p>
        </w:tc>
        <w:tc>
          <w:tcPr>
            <w:tcW w:w="1673" w:type="dxa"/>
            <w:vAlign w:val="center"/>
          </w:tcPr>
          <w:p>
            <w:pPr>
              <w:pStyle w:val="12"/>
            </w:pPr>
            <w:r>
              <w:t>25号前</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展板条幅单个制作成本</w:t>
            </w:r>
          </w:p>
        </w:tc>
        <w:tc>
          <w:tcPr>
            <w:tcW w:w="5386" w:type="dxa"/>
            <w:vAlign w:val="center"/>
          </w:tcPr>
          <w:p>
            <w:pPr>
              <w:pStyle w:val="12"/>
            </w:pPr>
            <w:r>
              <w:t>展板条幅单个制作成本</w:t>
            </w:r>
          </w:p>
        </w:tc>
        <w:tc>
          <w:tcPr>
            <w:tcW w:w="1673" w:type="dxa"/>
            <w:vAlign w:val="center"/>
          </w:tcPr>
          <w:p>
            <w:pPr>
              <w:pStyle w:val="12"/>
            </w:pPr>
            <w:r>
              <w:t>≤300元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宗教领域安全稳定保障率</w:t>
            </w:r>
          </w:p>
        </w:tc>
        <w:tc>
          <w:tcPr>
            <w:tcW w:w="5386" w:type="dxa"/>
            <w:vAlign w:val="center"/>
          </w:tcPr>
          <w:p>
            <w:pPr>
              <w:pStyle w:val="12"/>
            </w:pPr>
            <w:r>
              <w:t>宗教领域安全稳定保障率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5.69</w:t>
            </w:r>
          </w:p>
        </w:tc>
        <w:tc>
          <w:tcPr>
            <w:tcW w:w="964" w:type="dxa"/>
            <w:vAlign w:val="center"/>
          </w:tcPr>
          <w:p>
            <w:pPr>
              <w:pStyle w:val="15"/>
            </w:pPr>
            <w:r>
              <w:t>5.69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中共曲阳县委统一战线工作部本级小计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5.69</w:t>
            </w:r>
          </w:p>
        </w:tc>
        <w:tc>
          <w:tcPr>
            <w:tcW w:w="964" w:type="dxa"/>
            <w:vAlign w:val="center"/>
          </w:tcPr>
          <w:p>
            <w:pPr>
              <w:pStyle w:val="15"/>
            </w:pPr>
            <w:r>
              <w:t>5.69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3.87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工商联业务项目经费</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统战工作专项经费</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2.90</w:t>
            </w:r>
          </w:p>
        </w:tc>
        <w:tc>
          <w:tcPr>
            <w:tcW w:w="964" w:type="dxa"/>
            <w:vAlign w:val="center"/>
          </w:tcPr>
          <w:p>
            <w:pPr>
              <w:pStyle w:val="11"/>
            </w:pPr>
            <w:r>
              <w:t>2.90</w:t>
            </w:r>
          </w:p>
        </w:tc>
        <w:tc>
          <w:tcPr>
            <w:tcW w:w="964" w:type="dxa"/>
            <w:vAlign w:val="center"/>
          </w:tcPr>
          <w:p>
            <w:pPr>
              <w:pStyle w:val="11"/>
            </w:pPr>
            <w:r>
              <w:t>2.90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宗教工作专项经费</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7"/>
    </w:p>
    <w:p>
      <w:pPr>
        <w:spacing w:line="500" w:lineRule="exact"/>
        <w:ind w:firstLine="560"/>
      </w:pPr>
      <w:r>
        <w:rPr>
          <w:rFonts w:eastAsia="方正仿宋_GBK"/>
          <w:color w:val="000000"/>
          <w:sz w:val="28"/>
        </w:rPr>
        <w:t>中共曲阳县委统一战线工作部（含所属单位）上年末固定资产金额为18.40万元（详见下表）。本年度拟购置固定资产总额为0.00万元，已按要求列入政府采购预算，详见政府采购预算表。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213中共曲阳县委统一战线工作部</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69</w:t>
            </w:r>
          </w:p>
        </w:tc>
        <w:tc>
          <w:tcPr>
            <w:tcW w:w="2835" w:type="dxa"/>
            <w:vAlign w:val="center"/>
          </w:tcPr>
          <w:p>
            <w:pPr>
              <w:pStyle w:val="11"/>
            </w:pPr>
            <w:r>
              <w:t>18.40</w:t>
            </w:r>
          </w:p>
        </w:tc>
      </w:tr>
    </w:tbl>
    <w:p>
      <w:pPr>
        <w:ind w:firstLine="640"/>
      </w:pPr>
    </w:p>
    <w:p>
      <w:pPr>
        <w:spacing w:before="10" w:after="10"/>
        <w:ind w:firstLine="640"/>
        <w:outlineLvl w:val="2"/>
      </w:pPr>
      <w:bookmarkStart w:id="18"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2"/>
    <w:rsid w:val="001B0523"/>
    <w:rsid w:val="001E2753"/>
    <w:rsid w:val="002D64BF"/>
    <w:rsid w:val="00826AD2"/>
    <w:rsid w:val="0090139B"/>
    <w:rsid w:val="00915030"/>
    <w:rsid w:val="009D7CC9"/>
    <w:rsid w:val="00A81023"/>
    <w:rsid w:val="00B4326F"/>
    <w:rsid w:val="00BA79DE"/>
    <w:rsid w:val="00CB1998"/>
    <w:rsid w:val="00D43656"/>
    <w:rsid w:val="1B494933"/>
    <w:rsid w:val="4C361710"/>
    <w:rsid w:val="5D1D1F9F"/>
    <w:rsid w:val="6DAC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2024-02-19T18:10:08Z</dcterms:created>
  <dcterms:modified xsi:type="dcterms:W3CDTF">2024-02-19T10:10:08Z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2024-02-19T18:10:09Z</dcterms:created>
  <dcterms:modified xsi:type="dcterms:W3CDTF">2024-02-19T10:10:09Z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2024-02-19T18:10:09Z</dcterms:created>
  <dcterms:modified xsi:type="dcterms:W3CDTF">2024-02-19T10:10:09Z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2024-02-19T18:10:10Z</dcterms:created>
  <dcterms:modified xsi:type="dcterms:W3CDTF">2024-02-19T10:10:10Z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2024-02-19T18:10:09Z</dcterms:created>
  <dcterms:modified xsi:type="dcterms:W3CDTF">2024-02-19T10:10:09Z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2024-02-19T18:10:09Z</dcterms:created>
  <dcterms:modified xsi:type="dcterms:W3CDTF">2024-02-19T10:10:09Z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2024-02-19T18:10:10Z</dcterms:created>
  <dcterms:modified xsi:type="dcterms:W3CDTF">2024-02-19T10:10:10Z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2024-02-19T18:10:11Z</dcterms:created>
  <dcterms:modified xsi:type="dcterms:W3CDTF">2024-02-19T10:10:11Z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2024-02-19T18:10:10Z</dcterms:created>
  <dcterms:modified xsi:type="dcterms:W3CDTF">2024-02-19T10:10:10Z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72F35B-7ECB-4FF7-8947-2E1B97F7AF50}">
  <ds:schemaRefs/>
</ds:datastoreItem>
</file>

<file path=customXml/itemProps11.xml><?xml version="1.0" encoding="utf-8"?>
<ds:datastoreItem xmlns:ds="http://schemas.openxmlformats.org/officeDocument/2006/customXml" ds:itemID="{0086259B-38E0-41C8-93C5-1309522BBA4D}">
  <ds:schemaRefs/>
</ds:datastoreItem>
</file>

<file path=customXml/itemProps12.xml><?xml version="1.0" encoding="utf-8"?>
<ds:datastoreItem xmlns:ds="http://schemas.openxmlformats.org/officeDocument/2006/customXml" ds:itemID="{C5F56B98-7002-49B9-BCD6-DA58E9A8EE9C}">
  <ds:schemaRefs/>
</ds:datastoreItem>
</file>

<file path=customXml/itemProps13.xml><?xml version="1.0" encoding="utf-8"?>
<ds:datastoreItem xmlns:ds="http://schemas.openxmlformats.org/officeDocument/2006/customXml" ds:itemID="{D509F5E2-06A8-48E5-BF36-93A50404352A}">
  <ds:schemaRefs/>
</ds:datastoreItem>
</file>

<file path=customXml/itemProps14.xml><?xml version="1.0" encoding="utf-8"?>
<ds:datastoreItem xmlns:ds="http://schemas.openxmlformats.org/officeDocument/2006/customXml" ds:itemID="{1A617529-F785-43C4-B9F6-6F622BD6387E}">
  <ds:schemaRefs/>
</ds:datastoreItem>
</file>

<file path=customXml/itemProps15.xml><?xml version="1.0" encoding="utf-8"?>
<ds:datastoreItem xmlns:ds="http://schemas.openxmlformats.org/officeDocument/2006/customXml" ds:itemID="{1E3FF109-FD92-4ED3-A34E-A7D2D7537990}">
  <ds:schemaRefs/>
</ds:datastoreItem>
</file>

<file path=customXml/itemProps16.xml><?xml version="1.0" encoding="utf-8"?>
<ds:datastoreItem xmlns:ds="http://schemas.openxmlformats.org/officeDocument/2006/customXml" ds:itemID="{D7D975AF-A3BF-4D07-BD37-645180674399}">
  <ds:schemaRefs/>
</ds:datastoreItem>
</file>

<file path=customXml/itemProps17.xml><?xml version="1.0" encoding="utf-8"?>
<ds:datastoreItem xmlns:ds="http://schemas.openxmlformats.org/officeDocument/2006/customXml" ds:itemID="{EA95F2A4-D34A-44DC-BE7B-DA16B51FF31B}">
  <ds:schemaRefs/>
</ds:datastoreItem>
</file>

<file path=customXml/itemProps18.xml><?xml version="1.0" encoding="utf-8"?>
<ds:datastoreItem xmlns:ds="http://schemas.openxmlformats.org/officeDocument/2006/customXml" ds:itemID="{E0AC1C04-D37A-4121-82B4-3E2740A9C32E}">
  <ds:schemaRefs/>
</ds:datastoreItem>
</file>

<file path=customXml/itemProps19.xml><?xml version="1.0" encoding="utf-8"?>
<ds:datastoreItem xmlns:ds="http://schemas.openxmlformats.org/officeDocument/2006/customXml" ds:itemID="{016FE18E-F416-42E3-BEFF-8037D60A45A3}">
  <ds:schemaRefs/>
</ds:datastoreItem>
</file>

<file path=customXml/itemProps2.xml><?xml version="1.0" encoding="utf-8"?>
<ds:datastoreItem xmlns:ds="http://schemas.openxmlformats.org/officeDocument/2006/customXml" ds:itemID="{E69DBD17-9C2B-46ED-90F7-34DB03BC6CAE}">
  <ds:schemaRefs/>
</ds:datastoreItem>
</file>

<file path=customXml/itemProps3.xml><?xml version="1.0" encoding="utf-8"?>
<ds:datastoreItem xmlns:ds="http://schemas.openxmlformats.org/officeDocument/2006/customXml" ds:itemID="{5822DD43-EEA1-4E76-B764-737E017CB2EA}">
  <ds:schemaRefs/>
</ds:datastoreItem>
</file>

<file path=customXml/itemProps4.xml><?xml version="1.0" encoding="utf-8"?>
<ds:datastoreItem xmlns:ds="http://schemas.openxmlformats.org/officeDocument/2006/customXml" ds:itemID="{098F0E1E-67FF-4C09-8A21-D8EC15DA4EAD}">
  <ds:schemaRefs/>
</ds:datastoreItem>
</file>

<file path=customXml/itemProps5.xml><?xml version="1.0" encoding="utf-8"?>
<ds:datastoreItem xmlns:ds="http://schemas.openxmlformats.org/officeDocument/2006/customXml" ds:itemID="{73FD24CB-BF06-4B79-8BE8-EF7A5F1BFD98}">
  <ds:schemaRefs/>
</ds:datastoreItem>
</file>

<file path=customXml/itemProps6.xml><?xml version="1.0" encoding="utf-8"?>
<ds:datastoreItem xmlns:ds="http://schemas.openxmlformats.org/officeDocument/2006/customXml" ds:itemID="{6CEE1DDC-135B-4424-804F-91D13DE8B4BD}">
  <ds:schemaRefs/>
</ds:datastoreItem>
</file>

<file path=customXml/itemProps7.xml><?xml version="1.0" encoding="utf-8"?>
<ds:datastoreItem xmlns:ds="http://schemas.openxmlformats.org/officeDocument/2006/customXml" ds:itemID="{7CAC9285-9147-4C7D-BCEC-65F03DDCC392}">
  <ds:schemaRefs/>
</ds:datastoreItem>
</file>

<file path=customXml/itemProps8.xml><?xml version="1.0" encoding="utf-8"?>
<ds:datastoreItem xmlns:ds="http://schemas.openxmlformats.org/officeDocument/2006/customXml" ds:itemID="{FE5794A0-C811-4964-9F2E-CF9B56CD1D38}">
  <ds:schemaRefs/>
</ds:datastoreItem>
</file>

<file path=customXml/itemProps9.xml><?xml version="1.0" encoding="utf-8"?>
<ds:datastoreItem xmlns:ds="http://schemas.openxmlformats.org/officeDocument/2006/customXml" ds:itemID="{7746DD99-5977-469E-A2D8-506CBE23406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32</Pages>
  <Words>2473</Words>
  <Characters>14098</Characters>
  <Lines>117</Lines>
  <Paragraphs>33</Paragraphs>
  <TotalTime>1</TotalTime>
  <ScaleCrop>false</ScaleCrop>
  <LinksUpToDate>false</LinksUpToDate>
  <CharactersWithSpaces>16538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2024-02-19T10:17:00Z</dcterms:created>
  <dc:creator>Administrator</dc:creator>
  <cp:lastModifiedBy>6665</cp:lastModifiedBy>
  <dcterms:modified xsi:type="dcterms:W3CDTF">2024-05-31T03:05:18Z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