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19" w:name="_GoBack"/>
      <w:bookmarkEnd w:id="19"/>
      <w:r>
        <w:rPr>
          <w:rFonts w:ascii="黑体" w:hAnsi="黑体" w:eastAsia="黑体" w:cs="黑体"/>
          <w:b/>
          <w:color w:val="000000"/>
          <w:sz w:val="44"/>
        </w:rPr>
        <w:t>2024年部门预算信息公开目录</w:t>
      </w:r>
    </w:p>
    <w:p>
      <w:pPr>
        <w:jc w:val="center"/>
      </w:pP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rPr>
          <w:rFonts w:hint="eastAsia" w:eastAsiaTheme="minorEastAsia"/>
          <w:lang w:eastAsia="zh-CN"/>
        </w:rPr>
        <w:t>六</w:t>
      </w:r>
      <w:r>
        <w:t>、部门项目预算安排情况及绩效目标</w:t>
      </w:r>
      <w:r>
        <w:tab/>
      </w:r>
      <w:r>
        <w:fldChar w:fldCharType="begin"/>
      </w:r>
      <w:r>
        <w:instrText xml:space="preserve">PAGEREF _Toc_3_3_0000000016 \h</w:instrText>
      </w:r>
      <w:r>
        <w:fldChar w:fldCharType="separate"/>
      </w:r>
      <w:r>
        <w:t>22</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rPr>
          <w:rFonts w:hint="eastAsia" w:eastAsiaTheme="minorEastAsia"/>
          <w:lang w:eastAsia="zh-CN"/>
        </w:rPr>
        <w:t>七</w:t>
      </w:r>
      <w:r>
        <w:t>、政府采购预算情况</w:t>
      </w:r>
      <w:r>
        <w:tab/>
      </w:r>
      <w:r>
        <w:fldChar w:fldCharType="begin"/>
      </w:r>
      <w:r>
        <w:instrText xml:space="preserve">PAGEREF _Toc_3_3_0000000017 \h</w:instrText>
      </w:r>
      <w:r>
        <w:fldChar w:fldCharType="separate"/>
      </w:r>
      <w:r>
        <w:t>29</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rPr>
          <w:rFonts w:hint="eastAsia"/>
          <w:lang w:eastAsia="zh-CN"/>
        </w:rPr>
        <w:t>八</w:t>
      </w:r>
      <w:r>
        <w:t>、国有资产信息</w:t>
      </w:r>
      <w:r>
        <w:tab/>
      </w:r>
      <w:r>
        <w:fldChar w:fldCharType="begin"/>
      </w:r>
      <w:r>
        <w:instrText xml:space="preserve">PAGEREF _Toc_3_3_0000000018 \h</w:instrText>
      </w:r>
      <w:r>
        <w:fldChar w:fldCharType="separate"/>
      </w:r>
      <w:r>
        <w:t>30</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rPr>
          <w:rFonts w:hint="eastAsia"/>
          <w:lang w:eastAsia="zh-CN"/>
        </w:rPr>
        <w:t>九</w:t>
      </w:r>
      <w:r>
        <w:t>、名词解释</w:t>
      </w:r>
      <w:r>
        <w:tab/>
      </w:r>
      <w:r>
        <w:fldChar w:fldCharType="begin"/>
      </w:r>
      <w:r>
        <w:instrText xml:space="preserve">PAGEREF _Toc_3_3_0000000019 \h</w:instrText>
      </w:r>
      <w:r>
        <w:fldChar w:fldCharType="separate"/>
      </w:r>
      <w:r>
        <w:t>31</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十、其他需要说明的事项</w:t>
      </w:r>
      <w:r>
        <w:tab/>
      </w:r>
      <w:r>
        <w:fldChar w:fldCharType="begin"/>
      </w:r>
      <w:r>
        <w:instrText xml:space="preserve">PAGEREF _Toc_3_3_0000000020 \h</w:instrText>
      </w:r>
      <w:r>
        <w:fldChar w:fldCharType="separate"/>
      </w:r>
      <w:r>
        <w:t>32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216中国共产党曲阳县委员会政法委员会</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441.51</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277.63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58.60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9.75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10.37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441.51</w:t>
            </w:r>
          </w:p>
        </w:tc>
        <w:tc>
          <w:tcPr>
            <w:tcW w:w="4535" w:type="dxa"/>
            <w:vAlign w:val="center"/>
          </w:tcPr>
          <w:p>
            <w:pPr>
              <w:pStyle w:val="14"/>
            </w:pPr>
            <w:r>
              <w:t>本年支出合计</w:t>
            </w:r>
          </w:p>
        </w:tc>
        <w:tc>
          <w:tcPr>
            <w:tcW w:w="2126" w:type="dxa"/>
            <w:vAlign w:val="center"/>
          </w:tcPr>
          <w:p>
            <w:pPr>
              <w:pStyle w:val="15"/>
            </w:pPr>
            <w:r>
              <w:t>441.51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441.51</w:t>
            </w:r>
          </w:p>
        </w:tc>
        <w:tc>
          <w:tcPr>
            <w:tcW w:w="4535" w:type="dxa"/>
            <w:vAlign w:val="center"/>
          </w:tcPr>
          <w:p>
            <w:pPr>
              <w:pStyle w:val="14"/>
            </w:pPr>
            <w:r>
              <w:t>支出总计</w:t>
            </w:r>
          </w:p>
        </w:tc>
        <w:tc>
          <w:tcPr>
            <w:tcW w:w="2126" w:type="dxa"/>
            <w:vAlign w:val="center"/>
          </w:tcPr>
          <w:p>
            <w:pPr>
              <w:pStyle w:val="15"/>
            </w:pPr>
            <w:r>
              <w:t>441.51</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216中国共产党曲阳县委员会政法委员会</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441.51</w:t>
            </w:r>
          </w:p>
        </w:tc>
        <w:tc>
          <w:tcPr>
            <w:tcW w:w="1134" w:type="dxa"/>
            <w:vAlign w:val="center"/>
          </w:tcPr>
          <w:p>
            <w:pPr>
              <w:pStyle w:val="15"/>
            </w:pPr>
            <w:r>
              <w:t>441.51</w:t>
            </w:r>
          </w:p>
        </w:tc>
        <w:tc>
          <w:tcPr>
            <w:tcW w:w="1134" w:type="dxa"/>
            <w:vAlign w:val="center"/>
          </w:tcPr>
          <w:p>
            <w:pPr>
              <w:pStyle w:val="15"/>
            </w:pPr>
            <w:r>
              <w:t>441.51</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277.63</w:t>
            </w:r>
          </w:p>
        </w:tc>
        <w:tc>
          <w:tcPr>
            <w:tcW w:w="1134" w:type="dxa"/>
            <w:vAlign w:val="center"/>
          </w:tcPr>
          <w:p>
            <w:pPr>
              <w:pStyle w:val="11"/>
            </w:pPr>
            <w:r>
              <w:t>277.63</w:t>
            </w:r>
          </w:p>
        </w:tc>
        <w:tc>
          <w:tcPr>
            <w:tcW w:w="1134" w:type="dxa"/>
            <w:vAlign w:val="center"/>
          </w:tcPr>
          <w:p>
            <w:pPr>
              <w:pStyle w:val="11"/>
            </w:pPr>
            <w:r>
              <w:t>277.63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277.63</w:t>
            </w:r>
          </w:p>
        </w:tc>
        <w:tc>
          <w:tcPr>
            <w:tcW w:w="1134" w:type="dxa"/>
            <w:vAlign w:val="center"/>
          </w:tcPr>
          <w:p>
            <w:pPr>
              <w:pStyle w:val="11"/>
            </w:pPr>
            <w:r>
              <w:t>277.63</w:t>
            </w:r>
          </w:p>
        </w:tc>
        <w:tc>
          <w:tcPr>
            <w:tcW w:w="1134" w:type="dxa"/>
            <w:vAlign w:val="center"/>
          </w:tcPr>
          <w:p>
            <w:pPr>
              <w:pStyle w:val="11"/>
            </w:pPr>
            <w:r>
              <w:t>277.63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142.03</w:t>
            </w:r>
          </w:p>
        </w:tc>
        <w:tc>
          <w:tcPr>
            <w:tcW w:w="1134" w:type="dxa"/>
            <w:vAlign w:val="center"/>
          </w:tcPr>
          <w:p>
            <w:pPr>
              <w:pStyle w:val="11"/>
            </w:pPr>
            <w:r>
              <w:t>142.03</w:t>
            </w:r>
          </w:p>
        </w:tc>
        <w:tc>
          <w:tcPr>
            <w:tcW w:w="1134" w:type="dxa"/>
            <w:vAlign w:val="center"/>
          </w:tcPr>
          <w:p>
            <w:pPr>
              <w:pStyle w:val="11"/>
            </w:pPr>
            <w:r>
              <w:t>142.03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135.60</w:t>
            </w:r>
          </w:p>
        </w:tc>
        <w:tc>
          <w:tcPr>
            <w:tcW w:w="1134" w:type="dxa"/>
            <w:vAlign w:val="center"/>
          </w:tcPr>
          <w:p>
            <w:pPr>
              <w:pStyle w:val="11"/>
            </w:pPr>
            <w:r>
              <w:t>135.60</w:t>
            </w:r>
          </w:p>
        </w:tc>
        <w:tc>
          <w:tcPr>
            <w:tcW w:w="1134" w:type="dxa"/>
            <w:vAlign w:val="center"/>
          </w:tcPr>
          <w:p>
            <w:pPr>
              <w:pStyle w:val="11"/>
            </w:pPr>
            <w:r>
              <w:t>135.60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206</w:t>
            </w:r>
          </w:p>
        </w:tc>
        <w:tc>
          <w:tcPr>
            <w:tcW w:w="1559" w:type="dxa"/>
            <w:vAlign w:val="center"/>
          </w:tcPr>
          <w:p>
            <w:pPr>
              <w:pStyle w:val="12"/>
            </w:pPr>
            <w:r>
              <w:t>科学技术支出</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20699</w:t>
            </w:r>
          </w:p>
        </w:tc>
        <w:tc>
          <w:tcPr>
            <w:tcW w:w="1559" w:type="dxa"/>
            <w:vAlign w:val="center"/>
          </w:tcPr>
          <w:p>
            <w:pPr>
              <w:pStyle w:val="12"/>
            </w:pPr>
            <w:r>
              <w:t>其他科学技术支出</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2069999</w:t>
            </w:r>
          </w:p>
        </w:tc>
        <w:tc>
          <w:tcPr>
            <w:tcW w:w="1559" w:type="dxa"/>
            <w:vAlign w:val="center"/>
          </w:tcPr>
          <w:p>
            <w:pPr>
              <w:pStyle w:val="12"/>
            </w:pPr>
            <w:r>
              <w:t>其他科学技术支出</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r>
              <w:t>85.16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58.60</w:t>
            </w:r>
          </w:p>
        </w:tc>
        <w:tc>
          <w:tcPr>
            <w:tcW w:w="1134" w:type="dxa"/>
            <w:vAlign w:val="center"/>
          </w:tcPr>
          <w:p>
            <w:pPr>
              <w:pStyle w:val="11"/>
            </w:pPr>
            <w:r>
              <w:t>58.60</w:t>
            </w:r>
          </w:p>
        </w:tc>
        <w:tc>
          <w:tcPr>
            <w:tcW w:w="1134" w:type="dxa"/>
            <w:vAlign w:val="center"/>
          </w:tcPr>
          <w:p>
            <w:pPr>
              <w:pStyle w:val="11"/>
            </w:pPr>
            <w:r>
              <w:t>58.60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58.21</w:t>
            </w:r>
          </w:p>
        </w:tc>
        <w:tc>
          <w:tcPr>
            <w:tcW w:w="1134" w:type="dxa"/>
            <w:vAlign w:val="center"/>
          </w:tcPr>
          <w:p>
            <w:pPr>
              <w:pStyle w:val="11"/>
            </w:pPr>
            <w:r>
              <w:t>58.21</w:t>
            </w:r>
          </w:p>
        </w:tc>
        <w:tc>
          <w:tcPr>
            <w:tcW w:w="1134" w:type="dxa"/>
            <w:vAlign w:val="center"/>
          </w:tcPr>
          <w:p>
            <w:pPr>
              <w:pStyle w:val="11"/>
            </w:pPr>
            <w:r>
              <w:t>58.21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44.26</w:t>
            </w:r>
          </w:p>
        </w:tc>
        <w:tc>
          <w:tcPr>
            <w:tcW w:w="1134" w:type="dxa"/>
            <w:vAlign w:val="center"/>
          </w:tcPr>
          <w:p>
            <w:pPr>
              <w:pStyle w:val="11"/>
            </w:pPr>
            <w:r>
              <w:t>44.26</w:t>
            </w:r>
          </w:p>
        </w:tc>
        <w:tc>
          <w:tcPr>
            <w:tcW w:w="1134" w:type="dxa"/>
            <w:vAlign w:val="center"/>
          </w:tcPr>
          <w:p>
            <w:pPr>
              <w:pStyle w:val="11"/>
            </w:pPr>
            <w:r>
              <w:t>44.26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13.95</w:t>
            </w:r>
          </w:p>
        </w:tc>
        <w:tc>
          <w:tcPr>
            <w:tcW w:w="1134" w:type="dxa"/>
            <w:vAlign w:val="center"/>
          </w:tcPr>
          <w:p>
            <w:pPr>
              <w:pStyle w:val="11"/>
            </w:pPr>
            <w:r>
              <w:t>13.95</w:t>
            </w:r>
          </w:p>
        </w:tc>
        <w:tc>
          <w:tcPr>
            <w:tcW w:w="1134" w:type="dxa"/>
            <w:vAlign w:val="center"/>
          </w:tcPr>
          <w:p>
            <w:pPr>
              <w:pStyle w:val="11"/>
            </w:pPr>
            <w:r>
              <w:t>13.95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r>
              <w:t>0.39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r>
              <w:t>9.75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r>
              <w:t>5.81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r>
              <w:t>3.94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r>
              <w:t>10.37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216中国共产党曲阳县委员会政法委员会</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441.51</w:t>
            </w:r>
          </w:p>
        </w:tc>
        <w:tc>
          <w:tcPr>
            <w:tcW w:w="1361" w:type="dxa"/>
            <w:vAlign w:val="center"/>
          </w:tcPr>
          <w:p>
            <w:pPr>
              <w:pStyle w:val="15"/>
            </w:pPr>
            <w:r>
              <w:t>220.75</w:t>
            </w:r>
          </w:p>
        </w:tc>
        <w:tc>
          <w:tcPr>
            <w:tcW w:w="1361" w:type="dxa"/>
            <w:vAlign w:val="center"/>
          </w:tcPr>
          <w:p>
            <w:pPr>
              <w:pStyle w:val="15"/>
            </w:pPr>
            <w:r>
              <w:t>220.76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6" w:type="dxa"/>
            <w:vAlign w:val="center"/>
          </w:tcPr>
          <w:p>
            <w:pPr>
              <w:pStyle w:val="12"/>
            </w:pPr>
            <w:r>
              <w:t>公共安全支出</w:t>
            </w:r>
          </w:p>
        </w:tc>
        <w:tc>
          <w:tcPr>
            <w:tcW w:w="1361" w:type="dxa"/>
            <w:vAlign w:val="center"/>
          </w:tcPr>
          <w:p>
            <w:pPr>
              <w:pStyle w:val="11"/>
            </w:pPr>
            <w:r>
              <w:t>277.63</w:t>
            </w:r>
          </w:p>
        </w:tc>
        <w:tc>
          <w:tcPr>
            <w:tcW w:w="1361" w:type="dxa"/>
            <w:vAlign w:val="center"/>
          </w:tcPr>
          <w:p>
            <w:pPr>
              <w:pStyle w:val="11"/>
            </w:pPr>
            <w:r>
              <w:t>142.03</w:t>
            </w:r>
          </w:p>
        </w:tc>
        <w:tc>
          <w:tcPr>
            <w:tcW w:w="1361" w:type="dxa"/>
            <w:vAlign w:val="center"/>
          </w:tcPr>
          <w:p>
            <w:pPr>
              <w:pStyle w:val="11"/>
            </w:pPr>
            <w:r>
              <w:t>135.60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6" w:type="dxa"/>
            <w:vAlign w:val="center"/>
          </w:tcPr>
          <w:p>
            <w:pPr>
              <w:pStyle w:val="12"/>
            </w:pPr>
            <w:r>
              <w:t>公安</w:t>
            </w:r>
          </w:p>
        </w:tc>
        <w:tc>
          <w:tcPr>
            <w:tcW w:w="1361" w:type="dxa"/>
            <w:vAlign w:val="center"/>
          </w:tcPr>
          <w:p>
            <w:pPr>
              <w:pStyle w:val="11"/>
            </w:pPr>
            <w:r>
              <w:t>277.63</w:t>
            </w:r>
          </w:p>
        </w:tc>
        <w:tc>
          <w:tcPr>
            <w:tcW w:w="1361" w:type="dxa"/>
            <w:vAlign w:val="center"/>
          </w:tcPr>
          <w:p>
            <w:pPr>
              <w:pStyle w:val="11"/>
            </w:pPr>
            <w:r>
              <w:t>142.03</w:t>
            </w:r>
          </w:p>
        </w:tc>
        <w:tc>
          <w:tcPr>
            <w:tcW w:w="1361" w:type="dxa"/>
            <w:vAlign w:val="center"/>
          </w:tcPr>
          <w:p>
            <w:pPr>
              <w:pStyle w:val="11"/>
            </w:pPr>
            <w:r>
              <w:t>135.60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6" w:type="dxa"/>
            <w:vAlign w:val="center"/>
          </w:tcPr>
          <w:p>
            <w:pPr>
              <w:pStyle w:val="12"/>
            </w:pPr>
            <w:r>
              <w:t>行政运行</w:t>
            </w:r>
          </w:p>
        </w:tc>
        <w:tc>
          <w:tcPr>
            <w:tcW w:w="1361" w:type="dxa"/>
            <w:vAlign w:val="center"/>
          </w:tcPr>
          <w:p>
            <w:pPr>
              <w:pStyle w:val="11"/>
            </w:pPr>
            <w:r>
              <w:t>142.03</w:t>
            </w:r>
          </w:p>
        </w:tc>
        <w:tc>
          <w:tcPr>
            <w:tcW w:w="1361" w:type="dxa"/>
            <w:vAlign w:val="center"/>
          </w:tcPr>
          <w:p>
            <w:pPr>
              <w:pStyle w:val="11"/>
            </w:pPr>
            <w:r>
              <w:t>142.03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6" w:type="dxa"/>
            <w:vAlign w:val="center"/>
          </w:tcPr>
          <w:p>
            <w:pPr>
              <w:pStyle w:val="12"/>
            </w:pPr>
            <w:r>
              <w:t>一般行政管理事务</w:t>
            </w:r>
          </w:p>
        </w:tc>
        <w:tc>
          <w:tcPr>
            <w:tcW w:w="1361" w:type="dxa"/>
            <w:vAlign w:val="center"/>
          </w:tcPr>
          <w:p>
            <w:pPr>
              <w:pStyle w:val="11"/>
            </w:pPr>
            <w:r>
              <w:t>135.60</w:t>
            </w:r>
          </w:p>
        </w:tc>
        <w:tc>
          <w:tcPr>
            <w:tcW w:w="1361" w:type="dxa"/>
            <w:vAlign w:val="center"/>
          </w:tcPr>
          <w:p>
            <w:pPr>
              <w:pStyle w:val="11"/>
            </w:pPr>
          </w:p>
        </w:tc>
        <w:tc>
          <w:tcPr>
            <w:tcW w:w="1361" w:type="dxa"/>
            <w:vAlign w:val="center"/>
          </w:tcPr>
          <w:p>
            <w:pPr>
              <w:pStyle w:val="11"/>
            </w:pPr>
            <w:r>
              <w:t>135.60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206</w:t>
            </w:r>
          </w:p>
        </w:tc>
        <w:tc>
          <w:tcPr>
            <w:tcW w:w="4536" w:type="dxa"/>
            <w:vAlign w:val="center"/>
          </w:tcPr>
          <w:p>
            <w:pPr>
              <w:pStyle w:val="12"/>
            </w:pPr>
            <w:r>
              <w:t>科学技术支出</w:t>
            </w: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20699</w:t>
            </w:r>
          </w:p>
        </w:tc>
        <w:tc>
          <w:tcPr>
            <w:tcW w:w="4536" w:type="dxa"/>
            <w:vAlign w:val="center"/>
          </w:tcPr>
          <w:p>
            <w:pPr>
              <w:pStyle w:val="12"/>
            </w:pPr>
            <w:r>
              <w:t>其他科学技术支出</w:t>
            </w: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2069999</w:t>
            </w:r>
          </w:p>
        </w:tc>
        <w:tc>
          <w:tcPr>
            <w:tcW w:w="4536" w:type="dxa"/>
            <w:vAlign w:val="center"/>
          </w:tcPr>
          <w:p>
            <w:pPr>
              <w:pStyle w:val="12"/>
            </w:pPr>
            <w:r>
              <w:t>其他科学技术支出</w:t>
            </w: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r>
              <w:t>85.16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58.60</w:t>
            </w:r>
          </w:p>
        </w:tc>
        <w:tc>
          <w:tcPr>
            <w:tcW w:w="1361" w:type="dxa"/>
            <w:vAlign w:val="center"/>
          </w:tcPr>
          <w:p>
            <w:pPr>
              <w:pStyle w:val="11"/>
            </w:pPr>
            <w:r>
              <w:t>58.60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58.21</w:t>
            </w:r>
          </w:p>
        </w:tc>
        <w:tc>
          <w:tcPr>
            <w:tcW w:w="1361" w:type="dxa"/>
            <w:vAlign w:val="center"/>
          </w:tcPr>
          <w:p>
            <w:pPr>
              <w:pStyle w:val="11"/>
            </w:pPr>
            <w:r>
              <w:t>58.21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44.26</w:t>
            </w:r>
          </w:p>
        </w:tc>
        <w:tc>
          <w:tcPr>
            <w:tcW w:w="1361" w:type="dxa"/>
            <w:vAlign w:val="center"/>
          </w:tcPr>
          <w:p>
            <w:pPr>
              <w:pStyle w:val="11"/>
            </w:pPr>
            <w:r>
              <w:t>44.26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13.95</w:t>
            </w:r>
          </w:p>
        </w:tc>
        <w:tc>
          <w:tcPr>
            <w:tcW w:w="1361" w:type="dxa"/>
            <w:vAlign w:val="center"/>
          </w:tcPr>
          <w:p>
            <w:pPr>
              <w:pStyle w:val="11"/>
            </w:pPr>
            <w:r>
              <w:t>13.95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0.39</w:t>
            </w:r>
          </w:p>
        </w:tc>
        <w:tc>
          <w:tcPr>
            <w:tcW w:w="1361" w:type="dxa"/>
            <w:vAlign w:val="center"/>
          </w:tcPr>
          <w:p>
            <w:pPr>
              <w:pStyle w:val="11"/>
            </w:pPr>
            <w:r>
              <w:t>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0.39</w:t>
            </w:r>
          </w:p>
        </w:tc>
        <w:tc>
          <w:tcPr>
            <w:tcW w:w="1361" w:type="dxa"/>
            <w:vAlign w:val="center"/>
          </w:tcPr>
          <w:p>
            <w:pPr>
              <w:pStyle w:val="11"/>
            </w:pPr>
            <w:r>
              <w:t>0.39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9.75</w:t>
            </w:r>
          </w:p>
        </w:tc>
        <w:tc>
          <w:tcPr>
            <w:tcW w:w="1361" w:type="dxa"/>
            <w:vAlign w:val="center"/>
          </w:tcPr>
          <w:p>
            <w:pPr>
              <w:pStyle w:val="11"/>
            </w:pPr>
            <w:r>
              <w:t>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9.75</w:t>
            </w:r>
          </w:p>
        </w:tc>
        <w:tc>
          <w:tcPr>
            <w:tcW w:w="1361" w:type="dxa"/>
            <w:vAlign w:val="center"/>
          </w:tcPr>
          <w:p>
            <w:pPr>
              <w:pStyle w:val="11"/>
            </w:pPr>
            <w:r>
              <w:t>9.75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5.81</w:t>
            </w:r>
          </w:p>
        </w:tc>
        <w:tc>
          <w:tcPr>
            <w:tcW w:w="1361" w:type="dxa"/>
            <w:vAlign w:val="center"/>
          </w:tcPr>
          <w:p>
            <w:pPr>
              <w:pStyle w:val="11"/>
            </w:pPr>
            <w:r>
              <w:t>5.81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3.94</w:t>
            </w:r>
          </w:p>
        </w:tc>
        <w:tc>
          <w:tcPr>
            <w:tcW w:w="1361" w:type="dxa"/>
            <w:vAlign w:val="center"/>
          </w:tcPr>
          <w:p>
            <w:pPr>
              <w:pStyle w:val="11"/>
            </w:pPr>
            <w:r>
              <w:t>3.94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10.37</w:t>
            </w:r>
          </w:p>
        </w:tc>
        <w:tc>
          <w:tcPr>
            <w:tcW w:w="1361" w:type="dxa"/>
            <w:vAlign w:val="center"/>
          </w:tcPr>
          <w:p>
            <w:pPr>
              <w:pStyle w:val="11"/>
            </w:pPr>
            <w:r>
              <w:t>10.37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10.37</w:t>
            </w:r>
          </w:p>
        </w:tc>
        <w:tc>
          <w:tcPr>
            <w:tcW w:w="1361" w:type="dxa"/>
            <w:vAlign w:val="center"/>
          </w:tcPr>
          <w:p>
            <w:pPr>
              <w:pStyle w:val="11"/>
            </w:pPr>
            <w:r>
              <w:t>10.37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10.37</w:t>
            </w:r>
          </w:p>
        </w:tc>
        <w:tc>
          <w:tcPr>
            <w:tcW w:w="1361" w:type="dxa"/>
            <w:vAlign w:val="center"/>
          </w:tcPr>
          <w:p>
            <w:pPr>
              <w:pStyle w:val="11"/>
            </w:pPr>
            <w:r>
              <w:t>10.37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216中国共产党曲阳县委员会政法委员会</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441.51</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277.63</w:t>
            </w:r>
          </w:p>
        </w:tc>
        <w:tc>
          <w:tcPr>
            <w:tcW w:w="1474" w:type="dxa"/>
            <w:vAlign w:val="center"/>
          </w:tcPr>
          <w:p>
            <w:pPr>
              <w:pStyle w:val="11"/>
            </w:pPr>
            <w:r>
              <w:t>277.63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r>
              <w:t>85.16</w:t>
            </w:r>
          </w:p>
        </w:tc>
        <w:tc>
          <w:tcPr>
            <w:tcW w:w="1474" w:type="dxa"/>
            <w:vAlign w:val="center"/>
          </w:tcPr>
          <w:p>
            <w:pPr>
              <w:pStyle w:val="11"/>
            </w:pPr>
            <w:r>
              <w:t>85.16</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58.60</w:t>
            </w:r>
          </w:p>
        </w:tc>
        <w:tc>
          <w:tcPr>
            <w:tcW w:w="1474" w:type="dxa"/>
            <w:vAlign w:val="center"/>
          </w:tcPr>
          <w:p>
            <w:pPr>
              <w:pStyle w:val="11"/>
            </w:pPr>
            <w:r>
              <w:t>58.60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9.75</w:t>
            </w:r>
          </w:p>
        </w:tc>
        <w:tc>
          <w:tcPr>
            <w:tcW w:w="1474" w:type="dxa"/>
            <w:vAlign w:val="center"/>
          </w:tcPr>
          <w:p>
            <w:pPr>
              <w:pStyle w:val="11"/>
            </w:pPr>
            <w:r>
              <w:t>9.75</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10.37</w:t>
            </w:r>
          </w:p>
        </w:tc>
        <w:tc>
          <w:tcPr>
            <w:tcW w:w="1474" w:type="dxa"/>
            <w:vAlign w:val="center"/>
          </w:tcPr>
          <w:p>
            <w:pPr>
              <w:pStyle w:val="11"/>
            </w:pPr>
            <w:r>
              <w:t>10.37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441.51</w:t>
            </w:r>
          </w:p>
        </w:tc>
        <w:tc>
          <w:tcPr>
            <w:tcW w:w="3402" w:type="dxa"/>
            <w:vAlign w:val="center"/>
          </w:tcPr>
          <w:p>
            <w:pPr>
              <w:pStyle w:val="14"/>
            </w:pPr>
            <w:r>
              <w:t>本年支出合计</w:t>
            </w:r>
          </w:p>
        </w:tc>
        <w:tc>
          <w:tcPr>
            <w:tcW w:w="1474" w:type="dxa"/>
            <w:vAlign w:val="center"/>
          </w:tcPr>
          <w:p>
            <w:pPr>
              <w:pStyle w:val="15"/>
            </w:pPr>
            <w:r>
              <w:t>441.51</w:t>
            </w:r>
          </w:p>
        </w:tc>
        <w:tc>
          <w:tcPr>
            <w:tcW w:w="1474" w:type="dxa"/>
            <w:vAlign w:val="center"/>
          </w:tcPr>
          <w:p>
            <w:pPr>
              <w:pStyle w:val="15"/>
            </w:pPr>
            <w:r>
              <w:t>441.51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441.51</w:t>
            </w:r>
          </w:p>
        </w:tc>
        <w:tc>
          <w:tcPr>
            <w:tcW w:w="3402" w:type="dxa"/>
            <w:vAlign w:val="center"/>
          </w:tcPr>
          <w:p>
            <w:pPr>
              <w:pStyle w:val="14"/>
            </w:pPr>
            <w:r>
              <w:t>支出总计</w:t>
            </w:r>
          </w:p>
        </w:tc>
        <w:tc>
          <w:tcPr>
            <w:tcW w:w="1474" w:type="dxa"/>
            <w:vAlign w:val="center"/>
          </w:tcPr>
          <w:p>
            <w:pPr>
              <w:pStyle w:val="15"/>
            </w:pPr>
            <w:r>
              <w:t>441.51</w:t>
            </w:r>
          </w:p>
        </w:tc>
        <w:tc>
          <w:tcPr>
            <w:tcW w:w="1474" w:type="dxa"/>
            <w:vAlign w:val="center"/>
          </w:tcPr>
          <w:p>
            <w:pPr>
              <w:pStyle w:val="15"/>
            </w:pPr>
            <w:r>
              <w:t>441.51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216中国共产党曲阳县委员会政法委员会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441.51</w:t>
            </w:r>
          </w:p>
        </w:tc>
        <w:tc>
          <w:tcPr>
            <w:tcW w:w="2551" w:type="dxa"/>
            <w:vAlign w:val="center"/>
          </w:tcPr>
          <w:p>
            <w:pPr>
              <w:pStyle w:val="15"/>
            </w:pPr>
            <w:r>
              <w:t>220.75</w:t>
            </w:r>
          </w:p>
        </w:tc>
        <w:tc>
          <w:tcPr>
            <w:tcW w:w="2551" w:type="dxa"/>
            <w:vAlign w:val="center"/>
          </w:tcPr>
          <w:p>
            <w:pPr>
              <w:pStyle w:val="15"/>
            </w:pPr>
            <w:r>
              <w:t>220.76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277.63</w:t>
            </w:r>
          </w:p>
        </w:tc>
        <w:tc>
          <w:tcPr>
            <w:tcW w:w="2551" w:type="dxa"/>
            <w:vAlign w:val="center"/>
          </w:tcPr>
          <w:p>
            <w:pPr>
              <w:pStyle w:val="11"/>
            </w:pPr>
            <w:r>
              <w:t>142.03</w:t>
            </w:r>
          </w:p>
        </w:tc>
        <w:tc>
          <w:tcPr>
            <w:tcW w:w="2551" w:type="dxa"/>
            <w:vAlign w:val="center"/>
          </w:tcPr>
          <w:p>
            <w:pPr>
              <w:pStyle w:val="11"/>
            </w:pPr>
            <w:r>
              <w:t>135.60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277.63</w:t>
            </w:r>
          </w:p>
        </w:tc>
        <w:tc>
          <w:tcPr>
            <w:tcW w:w="2551" w:type="dxa"/>
            <w:vAlign w:val="center"/>
          </w:tcPr>
          <w:p>
            <w:pPr>
              <w:pStyle w:val="11"/>
            </w:pPr>
            <w:r>
              <w:t>142.03</w:t>
            </w:r>
          </w:p>
        </w:tc>
        <w:tc>
          <w:tcPr>
            <w:tcW w:w="2551" w:type="dxa"/>
            <w:vAlign w:val="center"/>
          </w:tcPr>
          <w:p>
            <w:pPr>
              <w:pStyle w:val="11"/>
            </w:pPr>
            <w:r>
              <w:t>135.60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142.03</w:t>
            </w:r>
          </w:p>
        </w:tc>
        <w:tc>
          <w:tcPr>
            <w:tcW w:w="2551" w:type="dxa"/>
            <w:vAlign w:val="center"/>
          </w:tcPr>
          <w:p>
            <w:pPr>
              <w:pStyle w:val="11"/>
            </w:pPr>
            <w:r>
              <w:t>142.03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135.60</w:t>
            </w:r>
          </w:p>
        </w:tc>
        <w:tc>
          <w:tcPr>
            <w:tcW w:w="2551" w:type="dxa"/>
            <w:vAlign w:val="center"/>
          </w:tcPr>
          <w:p>
            <w:pPr>
              <w:pStyle w:val="11"/>
            </w:pPr>
          </w:p>
        </w:tc>
        <w:tc>
          <w:tcPr>
            <w:tcW w:w="2551" w:type="dxa"/>
            <w:vAlign w:val="center"/>
          </w:tcPr>
          <w:p>
            <w:pPr>
              <w:pStyle w:val="11"/>
            </w:pPr>
            <w:r>
              <w:t>135.60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206</w:t>
            </w:r>
          </w:p>
        </w:tc>
        <w:tc>
          <w:tcPr>
            <w:tcW w:w="4535" w:type="dxa"/>
            <w:vAlign w:val="center"/>
          </w:tcPr>
          <w:p>
            <w:pPr>
              <w:pStyle w:val="12"/>
            </w:pPr>
            <w:r>
              <w:t>科学技术支出</w:t>
            </w:r>
          </w:p>
        </w:tc>
        <w:tc>
          <w:tcPr>
            <w:tcW w:w="2551" w:type="dxa"/>
            <w:vAlign w:val="center"/>
          </w:tcPr>
          <w:p>
            <w:pPr>
              <w:pStyle w:val="11"/>
            </w:pPr>
            <w:r>
              <w:t>85.16</w:t>
            </w:r>
          </w:p>
        </w:tc>
        <w:tc>
          <w:tcPr>
            <w:tcW w:w="2551" w:type="dxa"/>
            <w:vAlign w:val="center"/>
          </w:tcPr>
          <w:p>
            <w:pPr>
              <w:pStyle w:val="11"/>
            </w:pPr>
          </w:p>
        </w:tc>
        <w:tc>
          <w:tcPr>
            <w:tcW w:w="2551" w:type="dxa"/>
            <w:vAlign w:val="center"/>
          </w:tcPr>
          <w:p>
            <w:pPr>
              <w:pStyle w:val="11"/>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20699</w:t>
            </w:r>
          </w:p>
        </w:tc>
        <w:tc>
          <w:tcPr>
            <w:tcW w:w="4535" w:type="dxa"/>
            <w:vAlign w:val="center"/>
          </w:tcPr>
          <w:p>
            <w:pPr>
              <w:pStyle w:val="12"/>
            </w:pPr>
            <w:r>
              <w:t>其他科学技术支出</w:t>
            </w:r>
          </w:p>
        </w:tc>
        <w:tc>
          <w:tcPr>
            <w:tcW w:w="2551" w:type="dxa"/>
            <w:vAlign w:val="center"/>
          </w:tcPr>
          <w:p>
            <w:pPr>
              <w:pStyle w:val="11"/>
            </w:pPr>
            <w:r>
              <w:t>85.16</w:t>
            </w:r>
          </w:p>
        </w:tc>
        <w:tc>
          <w:tcPr>
            <w:tcW w:w="2551" w:type="dxa"/>
            <w:vAlign w:val="center"/>
          </w:tcPr>
          <w:p>
            <w:pPr>
              <w:pStyle w:val="11"/>
            </w:pPr>
          </w:p>
        </w:tc>
        <w:tc>
          <w:tcPr>
            <w:tcW w:w="2551" w:type="dxa"/>
            <w:vAlign w:val="center"/>
          </w:tcPr>
          <w:p>
            <w:pPr>
              <w:pStyle w:val="11"/>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2069999</w:t>
            </w:r>
          </w:p>
        </w:tc>
        <w:tc>
          <w:tcPr>
            <w:tcW w:w="4535" w:type="dxa"/>
            <w:vAlign w:val="center"/>
          </w:tcPr>
          <w:p>
            <w:pPr>
              <w:pStyle w:val="12"/>
            </w:pPr>
            <w:r>
              <w:t>其他科学技术支出</w:t>
            </w:r>
          </w:p>
        </w:tc>
        <w:tc>
          <w:tcPr>
            <w:tcW w:w="2551" w:type="dxa"/>
            <w:vAlign w:val="center"/>
          </w:tcPr>
          <w:p>
            <w:pPr>
              <w:pStyle w:val="11"/>
            </w:pPr>
            <w:r>
              <w:t>85.16</w:t>
            </w:r>
          </w:p>
        </w:tc>
        <w:tc>
          <w:tcPr>
            <w:tcW w:w="2551" w:type="dxa"/>
            <w:vAlign w:val="center"/>
          </w:tcPr>
          <w:p>
            <w:pPr>
              <w:pStyle w:val="11"/>
            </w:pPr>
          </w:p>
        </w:tc>
        <w:tc>
          <w:tcPr>
            <w:tcW w:w="2551" w:type="dxa"/>
            <w:vAlign w:val="center"/>
          </w:tcPr>
          <w:p>
            <w:pPr>
              <w:pStyle w:val="11"/>
            </w:pPr>
            <w:r>
              <w:t>85.16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58.60</w:t>
            </w:r>
          </w:p>
        </w:tc>
        <w:tc>
          <w:tcPr>
            <w:tcW w:w="2551" w:type="dxa"/>
            <w:vAlign w:val="center"/>
          </w:tcPr>
          <w:p>
            <w:pPr>
              <w:pStyle w:val="11"/>
            </w:pPr>
            <w:r>
              <w:t>58.60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58.21</w:t>
            </w:r>
          </w:p>
        </w:tc>
        <w:tc>
          <w:tcPr>
            <w:tcW w:w="2551" w:type="dxa"/>
            <w:vAlign w:val="center"/>
          </w:tcPr>
          <w:p>
            <w:pPr>
              <w:pStyle w:val="11"/>
            </w:pPr>
            <w:r>
              <w:t>58.21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44.26</w:t>
            </w:r>
          </w:p>
        </w:tc>
        <w:tc>
          <w:tcPr>
            <w:tcW w:w="2551" w:type="dxa"/>
            <w:vAlign w:val="center"/>
          </w:tcPr>
          <w:p>
            <w:pPr>
              <w:pStyle w:val="11"/>
            </w:pPr>
            <w:r>
              <w:t>44.26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13.95</w:t>
            </w:r>
          </w:p>
        </w:tc>
        <w:tc>
          <w:tcPr>
            <w:tcW w:w="2551" w:type="dxa"/>
            <w:vAlign w:val="center"/>
          </w:tcPr>
          <w:p>
            <w:pPr>
              <w:pStyle w:val="11"/>
            </w:pPr>
            <w:r>
              <w:t>13.95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0.39</w:t>
            </w:r>
          </w:p>
        </w:tc>
        <w:tc>
          <w:tcPr>
            <w:tcW w:w="2551" w:type="dxa"/>
            <w:vAlign w:val="center"/>
          </w:tcPr>
          <w:p>
            <w:pPr>
              <w:pStyle w:val="11"/>
            </w:pPr>
            <w:r>
              <w:t>0.39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9.75</w:t>
            </w:r>
          </w:p>
        </w:tc>
        <w:tc>
          <w:tcPr>
            <w:tcW w:w="2551" w:type="dxa"/>
            <w:vAlign w:val="center"/>
          </w:tcPr>
          <w:p>
            <w:pPr>
              <w:pStyle w:val="11"/>
            </w:pPr>
            <w:r>
              <w:t>9.75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9.75</w:t>
            </w:r>
          </w:p>
        </w:tc>
        <w:tc>
          <w:tcPr>
            <w:tcW w:w="2551" w:type="dxa"/>
            <w:vAlign w:val="center"/>
          </w:tcPr>
          <w:p>
            <w:pPr>
              <w:pStyle w:val="11"/>
            </w:pPr>
            <w:r>
              <w:t>9.75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5.81</w:t>
            </w:r>
          </w:p>
        </w:tc>
        <w:tc>
          <w:tcPr>
            <w:tcW w:w="2551" w:type="dxa"/>
            <w:vAlign w:val="center"/>
          </w:tcPr>
          <w:p>
            <w:pPr>
              <w:pStyle w:val="11"/>
            </w:pPr>
            <w:r>
              <w:t>5.81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3.94</w:t>
            </w:r>
          </w:p>
        </w:tc>
        <w:tc>
          <w:tcPr>
            <w:tcW w:w="2551" w:type="dxa"/>
            <w:vAlign w:val="center"/>
          </w:tcPr>
          <w:p>
            <w:pPr>
              <w:pStyle w:val="11"/>
            </w:pPr>
            <w:r>
              <w:t>3.94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10.37</w:t>
            </w:r>
          </w:p>
        </w:tc>
        <w:tc>
          <w:tcPr>
            <w:tcW w:w="2551" w:type="dxa"/>
            <w:vAlign w:val="center"/>
          </w:tcPr>
          <w:p>
            <w:pPr>
              <w:pStyle w:val="11"/>
            </w:pPr>
            <w:r>
              <w:t>10.37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10.37</w:t>
            </w:r>
          </w:p>
        </w:tc>
        <w:tc>
          <w:tcPr>
            <w:tcW w:w="2551" w:type="dxa"/>
            <w:vAlign w:val="center"/>
          </w:tcPr>
          <w:p>
            <w:pPr>
              <w:pStyle w:val="11"/>
            </w:pPr>
            <w:r>
              <w:t>10.37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10.37</w:t>
            </w:r>
          </w:p>
        </w:tc>
        <w:tc>
          <w:tcPr>
            <w:tcW w:w="2551" w:type="dxa"/>
            <w:vAlign w:val="center"/>
          </w:tcPr>
          <w:p>
            <w:pPr>
              <w:pStyle w:val="11"/>
            </w:pPr>
            <w:r>
              <w:t>10.37</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216中国共产党曲阳县委员会政法委员会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220.75</w:t>
            </w:r>
          </w:p>
        </w:tc>
        <w:tc>
          <w:tcPr>
            <w:tcW w:w="2551" w:type="dxa"/>
            <w:vAlign w:val="center"/>
          </w:tcPr>
          <w:p>
            <w:pPr>
              <w:pStyle w:val="15"/>
            </w:pPr>
            <w:r>
              <w:t>202.40</w:t>
            </w:r>
          </w:p>
        </w:tc>
        <w:tc>
          <w:tcPr>
            <w:tcW w:w="2552" w:type="dxa"/>
            <w:vAlign w:val="center"/>
          </w:tcPr>
          <w:p>
            <w:pPr>
              <w:pStyle w:val="15"/>
            </w:pPr>
            <w:r>
              <w:t>18.35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158.14</w:t>
            </w:r>
          </w:p>
        </w:tc>
        <w:tc>
          <w:tcPr>
            <w:tcW w:w="2551" w:type="dxa"/>
            <w:vAlign w:val="center"/>
          </w:tcPr>
          <w:p>
            <w:pPr>
              <w:pStyle w:val="11"/>
            </w:pPr>
            <w:r>
              <w:t>158.14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56.87</w:t>
            </w:r>
          </w:p>
        </w:tc>
        <w:tc>
          <w:tcPr>
            <w:tcW w:w="2551" w:type="dxa"/>
            <w:vAlign w:val="center"/>
          </w:tcPr>
          <w:p>
            <w:pPr>
              <w:pStyle w:val="11"/>
            </w:pPr>
            <w:r>
              <w:t>56.87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48.77</w:t>
            </w:r>
          </w:p>
        </w:tc>
        <w:tc>
          <w:tcPr>
            <w:tcW w:w="2551" w:type="dxa"/>
            <w:vAlign w:val="center"/>
          </w:tcPr>
          <w:p>
            <w:pPr>
              <w:pStyle w:val="11"/>
            </w:pPr>
            <w:r>
              <w:t>48.77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18.04</w:t>
            </w:r>
          </w:p>
        </w:tc>
        <w:tc>
          <w:tcPr>
            <w:tcW w:w="2551" w:type="dxa"/>
            <w:vAlign w:val="center"/>
          </w:tcPr>
          <w:p>
            <w:pPr>
              <w:pStyle w:val="11"/>
            </w:pPr>
            <w:r>
              <w:t>18.04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13.95</w:t>
            </w:r>
          </w:p>
        </w:tc>
        <w:tc>
          <w:tcPr>
            <w:tcW w:w="2551" w:type="dxa"/>
            <w:vAlign w:val="center"/>
          </w:tcPr>
          <w:p>
            <w:pPr>
              <w:pStyle w:val="11"/>
            </w:pPr>
            <w:r>
              <w:t>13.95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5.81</w:t>
            </w:r>
          </w:p>
        </w:tc>
        <w:tc>
          <w:tcPr>
            <w:tcW w:w="2551" w:type="dxa"/>
            <w:vAlign w:val="center"/>
          </w:tcPr>
          <w:p>
            <w:pPr>
              <w:pStyle w:val="11"/>
            </w:pPr>
            <w:r>
              <w:t>5.81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3.94</w:t>
            </w:r>
          </w:p>
        </w:tc>
        <w:tc>
          <w:tcPr>
            <w:tcW w:w="2551" w:type="dxa"/>
            <w:vAlign w:val="center"/>
          </w:tcPr>
          <w:p>
            <w:pPr>
              <w:pStyle w:val="11"/>
            </w:pPr>
            <w:r>
              <w:t>3.94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0.39</w:t>
            </w:r>
          </w:p>
        </w:tc>
        <w:tc>
          <w:tcPr>
            <w:tcW w:w="2551" w:type="dxa"/>
            <w:vAlign w:val="center"/>
          </w:tcPr>
          <w:p>
            <w:pPr>
              <w:pStyle w:val="11"/>
            </w:pPr>
            <w:r>
              <w:t>0.39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10.37</w:t>
            </w:r>
          </w:p>
        </w:tc>
        <w:tc>
          <w:tcPr>
            <w:tcW w:w="2551" w:type="dxa"/>
            <w:vAlign w:val="center"/>
          </w:tcPr>
          <w:p>
            <w:pPr>
              <w:pStyle w:val="11"/>
            </w:pPr>
            <w:r>
              <w:t>10.37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18.35</w:t>
            </w:r>
          </w:p>
        </w:tc>
        <w:tc>
          <w:tcPr>
            <w:tcW w:w="2551" w:type="dxa"/>
            <w:vAlign w:val="center"/>
          </w:tcPr>
          <w:p>
            <w:pPr>
              <w:pStyle w:val="11"/>
            </w:pPr>
          </w:p>
        </w:tc>
        <w:tc>
          <w:tcPr>
            <w:tcW w:w="2552" w:type="dxa"/>
            <w:vAlign w:val="center"/>
          </w:tcPr>
          <w:p>
            <w:pPr>
              <w:pStyle w:val="11"/>
            </w:pPr>
            <w:r>
              <w:t>18.35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1.28</w:t>
            </w:r>
          </w:p>
        </w:tc>
        <w:tc>
          <w:tcPr>
            <w:tcW w:w="2551" w:type="dxa"/>
            <w:vAlign w:val="center"/>
          </w:tcPr>
          <w:p>
            <w:pPr>
              <w:pStyle w:val="11"/>
            </w:pPr>
          </w:p>
        </w:tc>
        <w:tc>
          <w:tcPr>
            <w:tcW w:w="2552" w:type="dxa"/>
            <w:vAlign w:val="center"/>
          </w:tcPr>
          <w:p>
            <w:pPr>
              <w:pStyle w:val="11"/>
            </w:pPr>
            <w:r>
              <w:t>1.28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3.22</w:t>
            </w:r>
          </w:p>
        </w:tc>
        <w:tc>
          <w:tcPr>
            <w:tcW w:w="2551" w:type="dxa"/>
            <w:vAlign w:val="center"/>
          </w:tcPr>
          <w:p>
            <w:pPr>
              <w:pStyle w:val="11"/>
            </w:pPr>
          </w:p>
        </w:tc>
        <w:tc>
          <w:tcPr>
            <w:tcW w:w="2552" w:type="dxa"/>
            <w:vAlign w:val="center"/>
          </w:tcPr>
          <w:p>
            <w:pPr>
              <w:pStyle w:val="11"/>
            </w:pPr>
            <w:r>
              <w:t>3.22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0.52</w:t>
            </w:r>
          </w:p>
        </w:tc>
        <w:tc>
          <w:tcPr>
            <w:tcW w:w="2551" w:type="dxa"/>
            <w:vAlign w:val="center"/>
          </w:tcPr>
          <w:p>
            <w:pPr>
              <w:pStyle w:val="11"/>
            </w:pPr>
          </w:p>
        </w:tc>
        <w:tc>
          <w:tcPr>
            <w:tcW w:w="2552" w:type="dxa"/>
            <w:vAlign w:val="center"/>
          </w:tcPr>
          <w:p>
            <w:pPr>
              <w:pStyle w:val="11"/>
            </w:pPr>
            <w:r>
              <w:t>0.52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0.88</w:t>
            </w:r>
          </w:p>
        </w:tc>
        <w:tc>
          <w:tcPr>
            <w:tcW w:w="2551" w:type="dxa"/>
            <w:vAlign w:val="center"/>
          </w:tcPr>
          <w:p>
            <w:pPr>
              <w:pStyle w:val="11"/>
            </w:pPr>
          </w:p>
        </w:tc>
        <w:tc>
          <w:tcPr>
            <w:tcW w:w="2552" w:type="dxa"/>
            <w:vAlign w:val="center"/>
          </w:tcPr>
          <w:p>
            <w:pPr>
              <w:pStyle w:val="11"/>
            </w:pPr>
            <w:r>
              <w:t>0.88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1.57</w:t>
            </w:r>
          </w:p>
        </w:tc>
        <w:tc>
          <w:tcPr>
            <w:tcW w:w="2551" w:type="dxa"/>
            <w:vAlign w:val="center"/>
          </w:tcPr>
          <w:p>
            <w:pPr>
              <w:pStyle w:val="11"/>
            </w:pPr>
          </w:p>
        </w:tc>
        <w:tc>
          <w:tcPr>
            <w:tcW w:w="2552" w:type="dxa"/>
            <w:vAlign w:val="center"/>
          </w:tcPr>
          <w:p>
            <w:pPr>
              <w:pStyle w:val="11"/>
            </w:pPr>
            <w: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2.40</w:t>
            </w:r>
          </w:p>
        </w:tc>
        <w:tc>
          <w:tcPr>
            <w:tcW w:w="2551" w:type="dxa"/>
            <w:vAlign w:val="center"/>
          </w:tcPr>
          <w:p>
            <w:pPr>
              <w:pStyle w:val="11"/>
            </w:pPr>
          </w:p>
        </w:tc>
        <w:tc>
          <w:tcPr>
            <w:tcW w:w="2552"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8.28</w:t>
            </w:r>
          </w:p>
        </w:tc>
        <w:tc>
          <w:tcPr>
            <w:tcW w:w="2551" w:type="dxa"/>
            <w:vAlign w:val="center"/>
          </w:tcPr>
          <w:p>
            <w:pPr>
              <w:pStyle w:val="11"/>
            </w:pPr>
          </w:p>
        </w:tc>
        <w:tc>
          <w:tcPr>
            <w:tcW w:w="2552" w:type="dxa"/>
            <w:vAlign w:val="center"/>
          </w:tcPr>
          <w:p>
            <w:pPr>
              <w:pStyle w:val="11"/>
            </w:pPr>
            <w:r>
              <w:t>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44.26</w:t>
            </w:r>
          </w:p>
        </w:tc>
        <w:tc>
          <w:tcPr>
            <w:tcW w:w="2551" w:type="dxa"/>
            <w:vAlign w:val="center"/>
          </w:tcPr>
          <w:p>
            <w:pPr>
              <w:pStyle w:val="11"/>
            </w:pPr>
            <w:r>
              <w:t>44.26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44.26</w:t>
            </w:r>
          </w:p>
        </w:tc>
        <w:tc>
          <w:tcPr>
            <w:tcW w:w="2551" w:type="dxa"/>
            <w:vAlign w:val="center"/>
          </w:tcPr>
          <w:p>
            <w:pPr>
              <w:pStyle w:val="11"/>
            </w:pPr>
            <w:r>
              <w:t>44.26</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216中国共产党曲阳县委员会政法委员会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216中国共产党曲阳县委员会政法委员会</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216中国共产党曲阳县委员会政法委员会</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2.40</w:t>
            </w:r>
          </w:p>
        </w:tc>
        <w:tc>
          <w:tcPr>
            <w:tcW w:w="2381" w:type="dxa"/>
            <w:vAlign w:val="center"/>
          </w:tcPr>
          <w:p>
            <w:pPr>
              <w:pStyle w:val="15"/>
            </w:pPr>
            <w:r>
              <w:t>2.40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2.40</w:t>
            </w:r>
          </w:p>
        </w:tc>
        <w:tc>
          <w:tcPr>
            <w:tcW w:w="2381" w:type="dxa"/>
            <w:vAlign w:val="center"/>
          </w:tcPr>
          <w:p>
            <w:pPr>
              <w:pStyle w:val="11"/>
            </w:pPr>
            <w:r>
              <w:t>2.40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中国共产党曲阳县委员会政法委员会2024年部门预算信息公开情况说明</w:t>
      </w:r>
    </w:p>
    <w:p>
      <w:pPr>
        <w:jc w:val="center"/>
      </w:pPr>
      <w:r>
        <w:rPr>
          <w:rFonts w:ascii="方正小标宋_GBK" w:hAnsi="方正小标宋_GBK" w:eastAsia="方正小标宋_GBK" w:cs="方正小标宋_GBK"/>
          <w:color w:val="000000"/>
          <w:sz w:val="44"/>
        </w:rPr>
        <w:t>中国共产党曲阳县委员会政法委员会2024年部门预算信息公开情况说明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按照《中华人民共和国预算法》、《地方预决算公开操作规程》和《关于进一步推进预算公开工作的实施意见》规定，现将中国共产党曲阳县委员会政法委员会2024年部门预算公开如下：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(一）深入贯彻习近平新时代中国特色社会主义思想，坚持党对政法工作的决定领导，</w:t>
      </w:r>
      <w:r>
        <w:rPr>
          <w:rFonts w:hint="eastAsia"/>
          <w:lang w:eastAsia="zh-CN"/>
        </w:rPr>
        <w:t>坚决维护习近平总书记党中央的核心</w:t>
      </w:r>
      <w:r>
        <w:t>、全党的核心地位，坚决维护党中央权威和集中统一领导，深入贯彻党的路线方针政策和中央、省委、市委、县委的决策部署，推动完善和落实政治轮训和政治督察制度，统一全县政法单位思想和行动，确保全县政法单位坚定正确的政治方向。</w:t>
      </w:r>
    </w:p>
    <w:p>
      <w:pPr>
        <w:pStyle w:val="17"/>
      </w:pPr>
      <w:r>
        <w:t>(二)对全县政法工作研究提出全局性部署，推进平安曲阳、法治曲阳建设，加强过硬队伍建设，深化智能化建设，坚决维护国家政治安全、确保社会大局稳定、促进社会公平正义、保障人民安居乐业。</w:t>
      </w:r>
    </w:p>
    <w:p>
      <w:pPr>
        <w:pStyle w:val="17"/>
      </w:pPr>
      <w:r>
        <w:t>(三)了解掌握和分析研判政法工作情况动态，分析社会稳定形势，创新完善多部门参与的综治维稳工作机制，协调推动预防、化解影响稳定的社会矛盾和风险，协调和应对重大突发事件。</w:t>
      </w:r>
    </w:p>
    <w:p>
      <w:pPr>
        <w:pStyle w:val="17"/>
      </w:pPr>
      <w:r>
        <w:t>(四)加强对政法工作的督查，统筹协调社会治安综合治理、维护社会稳定、反邪教、反</w:t>
      </w:r>
      <w:r>
        <w:rPr>
          <w:rFonts w:hint="eastAsia"/>
          <w:lang w:eastAsia="zh-CN"/>
        </w:rPr>
        <w:t>暴恐</w:t>
      </w:r>
      <w:r>
        <w:t>有关法律法规政策的实施工作。</w:t>
      </w:r>
    </w:p>
    <w:p>
      <w:pPr>
        <w:pStyle w:val="17"/>
      </w:pPr>
      <w:r>
        <w:t>(五)组织开展政法领域的调查研究，研究拟定政法工作的重大措施，及时向县委提出建议。</w:t>
      </w:r>
    </w:p>
    <w:p>
      <w:pPr>
        <w:pStyle w:val="17"/>
      </w:pPr>
      <w:r>
        <w:t>(六)掌握分析政法舆情动态，指导协调政法单位媒体网络宣传工作，指导政法单位做好涉及政法工作的重大宣传工作。</w:t>
      </w:r>
    </w:p>
    <w:p>
      <w:pPr>
        <w:pStyle w:val="17"/>
      </w:pPr>
      <w:r>
        <w:t>(七)监督和支持政法单位依法行使职权，指导和协调政法单位密切配合，完善与纪检监察机关工作衔接和协作配合机制，研究和协调重大、疑难案件，指导政法单位涉法涉诉信访工作，推进严格执法、公正司法。</w:t>
      </w:r>
    </w:p>
    <w:p>
      <w:pPr>
        <w:pStyle w:val="17"/>
      </w:pPr>
      <w:r>
        <w:t>(八)组织研究政法改革中带有方向性、倾向性和普遍性的重大问题，深化政法改革。联系县委全面依法治县委员会办公室（设在司法局）。</w:t>
      </w:r>
    </w:p>
    <w:p>
      <w:pPr>
        <w:pStyle w:val="17"/>
      </w:pPr>
      <w:r>
        <w:t>(九)指导推动政法系统党的建设和政法队伍建设，协调和指导全县见义勇为工作。</w:t>
      </w:r>
    </w:p>
    <w:p>
      <w:pPr>
        <w:pStyle w:val="17"/>
      </w:pPr>
      <w:r>
        <w:t>(十)统筹推动全县政法系统信息化工作，指导政法智能化建设。</w:t>
      </w:r>
    </w:p>
    <w:p>
      <w:pPr>
        <w:pStyle w:val="17"/>
      </w:pPr>
      <w:r>
        <w:t>(十一)完成中共保定市委政法委员会、县委交办的其他任务。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按照预算管理有关规定，目前部门预算的编制实行综合预算管理，即全部收入和支出都反映在预算中。中国共产党曲阳县委员会政法委员会机关及所属事业单位的收支包含在部门预算中。</w:t>
      </w:r>
    </w:p>
    <w:p>
      <w:pPr>
        <w:pStyle w:val="18"/>
      </w:pPr>
      <w:r>
        <w:t>1、收入说明</w:t>
      </w:r>
    </w:p>
    <w:p>
      <w:pPr>
        <w:pStyle w:val="18"/>
      </w:pPr>
      <w:r>
        <w:t>反映本部门当年全部收入。2024年预算收入441.51万元，其中：一般公共预算收入441.51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国共产党曲阳县委员会政法委员会年度部门预算中支出预算的总体情况。2024年支出预算441.51万元，其中基本支出220.75万元，包括人员经费202.40万元和日常公用经费18.35万元；项目支出220.76万元，主要为精神障碍患者监护人责任险经费28.42万元、政法委防范和处理邪教组织经费15万元、政法委疫情防控视频监控接入平台项目经费33.44万元、政法委政法信息化及租用光纤经费36.84万元、政法委劳务派遣人员经费41.18万元、政法委社会治安综合治理经费51万元、“雪亮工程”建设保障项目14.88万元等。</w:t>
      </w:r>
    </w:p>
    <w:p>
      <w:pPr>
        <w:pStyle w:val="18"/>
      </w:pPr>
      <w:r>
        <w:t>3、比上年增减情况</w:t>
      </w:r>
    </w:p>
    <w:p>
      <w:pPr>
        <w:pStyle w:val="18"/>
      </w:pPr>
      <w:r>
        <w:t>2024年预算收支安排441.51万元，较2023年预算增加10.41万元，其中：基本支出减少5.62万元，主要为8月份减少一人，相应地减少了人员及公用经费，导致基本支出减少。项目支出增加16.03万元，主要为“雪亮工程”建设保障项目的增加14.88万元,精神障碍患者监护人责任险项目经费增加0.1万元，政法委劳务派遣人员项目经费增加1.05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2024年，我部门机关运行经费共计安排18.35万元，主要用于日常维修、办公用房水电费、办公用房取暖费、办公用房物业管理费等日常运行支出。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2024年，我部门财政拨款“三公”经费预算安排2.40万元，其中因公出国（境）费0.00万元；公务用车购置及运维费2.40万元（其中：公务用车购置费为0.00万元，公务用车运维费2.40万元)；公务接待费0.00万元。与2023年相比增加0.00万元，增减变化的主要原因是“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2024年，我单位坚持以习近平新时代中国特色社会主义思想为指导，严格按照中央、省、市和县委的安排部署，始终坚持党对政法工作的绝对领导，坚持以人民为中心的发展思想，持续推进扫黑除恶斗争，保持对违法犯罪的高压态势；常态化防范和化解重大风险，为曲阳高质量发展提供安全稳定的社会环境；深化政法队伍教育整顿、持续正风肃纪，规范执法司法；创新基层社会治理体系，建设更高水平平安曲阳、法治曲阳。进行反邪教宣传和反宣品的清理，开展智能化平台建设，提高智能化水平。</w:t>
      </w:r>
    </w:p>
    <w:p>
      <w:pPr>
        <w:spacing w:line="500" w:lineRule="exact"/>
        <w:ind w:firstLine="560"/>
      </w:pPr>
      <w:r>
        <w:rPr>
          <w:rFonts w:eastAsia="方正仿宋_GBK"/>
          <w:color w:val="000000"/>
          <w:sz w:val="28"/>
        </w:rPr>
        <w:t>（二）分项绩效目标</w:t>
      </w:r>
    </w:p>
    <w:p>
      <w:pPr>
        <w:pStyle w:val="22"/>
      </w:pPr>
      <w:r>
        <w:t>1、维护社会稳定全力维护社会大局稳定。</w:t>
      </w:r>
    </w:p>
    <w:p>
      <w:pPr>
        <w:pStyle w:val="22"/>
      </w:pPr>
      <w:r>
        <w:t xml:space="preserve">绩效目标：拟为2024年10月份在册的严重精神障碍患者缴纳监护人责任险，为严重精神障碍患者监护人进行投保，投保率达到100%，提高监护人的监护责任感，解决监护人的部分困难，使其更好地履行监护义务，坚持对严重精神障碍患者进行关心关爱，减少精神障碍患者家庭精神压力。 </w:t>
      </w:r>
    </w:p>
    <w:p>
      <w:pPr>
        <w:pStyle w:val="22"/>
      </w:pPr>
      <w:r>
        <w:t>绩效指标：严重精神障碍患者监护人责任险在严重精神障碍患者发病造成一定的伤害时，在一定条件下还可以报销费用，减少严重精神障碍患者给家庭带去的经济压力。严重精神障碍患者作为易肇事肇人群，及时足额为监护人进行投保，使监护人更好地履行监护义务，也是对重点人群进行了管控，此类重点人群管控率至少达到90%</w:t>
      </w:r>
    </w:p>
    <w:p>
      <w:pPr>
        <w:pStyle w:val="22"/>
      </w:pPr>
      <w:r>
        <w:t>2、加强社会治安综合治理。</w:t>
      </w:r>
    </w:p>
    <w:p>
      <w:pPr>
        <w:pStyle w:val="22"/>
      </w:pPr>
      <w:r>
        <w:t>绩效目标：将各乡镇及村级230个监控接入我县已有的“雪亮工程”平台，加强对疫情防控等影响社会治安综合治理的事件进行监控，及时发现事件苗头，防患于未然。2023年拟印刷平安建设宣传册10万册，用于宣传平安建设任务开展情况和取得的成果，通过租用全县51个节点的政法四级网络光纤和20个节点的综治视联网光纤，实现政法信息化，提高办公效率。2024年拟对71个节点进行继续租用并对出现的故障进行维护。</w:t>
      </w:r>
    </w:p>
    <w:p>
      <w:pPr>
        <w:pStyle w:val="22"/>
      </w:pPr>
      <w:r>
        <w:t>绩效指标：对已经出现的防疫事件能做到及时处理，并及时有效的处理完成，防止事件扩大，使疫情防控工作得到有效地提升，顺利完成我县疫情防控各项任务。提高群众对平安建设的知晓度，提高群众的安全感和满意度。系统故障率降至10%，使信息化各项工作得到保障，提高信息化建设水平，也减少了面对面交流的次数，为防疫工作奠定了基础，提高了会议等效率。</w:t>
      </w:r>
    </w:p>
    <w:p>
      <w:pPr>
        <w:pStyle w:val="22"/>
      </w:pPr>
      <w:r>
        <w:t>3、做好政法委日常工作。</w:t>
      </w:r>
    </w:p>
    <w:p>
      <w:pPr>
        <w:pStyle w:val="22"/>
      </w:pPr>
      <w:r>
        <w:t>绩效目标：通过为我单位8名劳务派遣及时足额发放工资、缴纳各项保险，保障劳务派遣人员日常生活和工作需要。通过对9名劳务派遣人员的日常管理和培训，使劳务派遣人员的尽职尽责。</w:t>
      </w:r>
    </w:p>
    <w:p>
      <w:pPr>
        <w:pStyle w:val="22"/>
      </w:pPr>
      <w:r>
        <w:t>绩效指标：劳务派遣人员的尽职尽责率达到98%，提高劳务派遣人员工作能力，确保人员按时出勤，积极主动工作，将分配给他们的工作保质保量完成</w:t>
      </w:r>
    </w:p>
    <w:p>
      <w:pPr>
        <w:pStyle w:val="22"/>
      </w:pPr>
      <w:r>
        <w:t>4、做好防范和处理邪教组织工作。</w:t>
      </w:r>
    </w:p>
    <w:p>
      <w:pPr>
        <w:pStyle w:val="22"/>
      </w:pPr>
      <w:r>
        <w:t>绩效目标：持续开展反邪教宣传，制作反邪教明白纸和反邪教宣传品，租用宣传车等对反邪教知识进行宣传，并宣传邪教的危害。确保已转化人员不会再次参与邪教组织，未参与邪教组织的人员继续保持。对各乡镇和社区路边等地的反宣标语和喷绘进行清理。严厉打击邪教人员和邪教组织，确保全县反邪教工作顺利开展。</w:t>
      </w:r>
    </w:p>
    <w:p>
      <w:pPr>
        <w:pStyle w:val="22"/>
      </w:pPr>
      <w:r>
        <w:t>绩效指标：按时保量完成宣传品的制作，提高群众对反邪教工作的知晓度，保障反邪教工作顺利开展，对反宣印刷品进行销毁清理，防止群众收到误导，误入歧途；“法轮功”等邪教组织违法犯罪行为明显收敛。</w:t>
      </w:r>
    </w:p>
    <w:p>
      <w:pPr>
        <w:spacing w:line="500" w:lineRule="exact"/>
        <w:ind w:firstLine="560"/>
      </w:pPr>
      <w:r>
        <w:rPr>
          <w:rFonts w:eastAsia="方正仿宋_GBK"/>
          <w:color w:val="000000"/>
          <w:sz w:val="28"/>
        </w:rPr>
        <w:t>（三）工作保障措施</w:t>
      </w:r>
    </w:p>
    <w:p>
      <w:pPr>
        <w:pStyle w:val="23"/>
      </w:pPr>
      <w:r>
        <w:t>1、坚持理论学习。坚持以习近平新时代中国特色社会主义思想为指导，坚决贯彻落实习近平总书记在中央政法工作会议上的重要讲话精神，坚持党对政法工作的决定领导，树牢“四个意识”、坚定“四个自信”、坚决做到“两个维护”，不断加强政治理论学习，要做到有学习计划，有学习内容，有学习活动，有学习记录，有学习笔记。建立和完善政法机关政治理论学习制度，努力培养一支高素质的党员干部队伍。为全力打造“两都两地”，奋力开创新时代全面建设经济强县美丽曲阳新局面保驾护航。</w:t>
      </w:r>
    </w:p>
    <w:p>
      <w:pPr>
        <w:pStyle w:val="23"/>
      </w:pPr>
      <w:r>
        <w:t>2、完善制度保障。要根据中共曲阳县委政法委《关于创新协调联动机制、推进民间矛盾纠纷化解工作的实施意见》和《曲阳县三级联动矛盾纠纷调处工作机制》，统筹协调联动做好推进民间矛盾纠纷化解工作。同时要不定期地组织对司法员、调解员、陪审员进行业务培训，全面提升从业人员的专业素质。要制定《曲阳县委政法委领导干部密切联系群众制度》，从严落实密切联系群众的制度规定、加强和改进调查研究、精简会议活动、规范因公出访活动，切实扎紧制度的笼子，以更高标准、更严的要求促进干部作风建设。</w:t>
      </w:r>
    </w:p>
    <w:p>
      <w:pPr>
        <w:pStyle w:val="23"/>
      </w:pPr>
      <w:r>
        <w:t>3、规范财经纪律。要制定《曲阳县委政法委财务管理制度》，从办公用品采购、使用、管理，会议、培训、差旅费报销以及公务车辆管理等方面，突出责任意识，规范审批程序，强化审核把关，严格执行财经纪律，全面提升机关财务工作的规范有序、合规合法。</w:t>
      </w:r>
    </w:p>
    <w:p>
      <w:pPr>
        <w:pStyle w:val="23"/>
        <w:sectPr>
          <w:pgSz w:w="16840" w:h="11900" w:orient="landscape"/>
          <w:pgMar w:top="1361" w:right="1020" w:bottom="1361" w:left="1020" w:header="720" w:footer="720" w:gutter="0"/>
          <w:cols w:space="720" w:num="1"/>
        </w:sectPr>
      </w:pPr>
      <w:r>
        <w:t>4、严格监督检查。县委政法委要加强督查督办，推动各项工作落细落实，充分发挥牵头抓总作用、统筹协调、督办落实作用。在防范化解社会领域重大风险等方面，制定具体工作预案和稳控措施。同时加强对政法单位办案情况的监督检查力度，认真剖析案件，加大对办案风险评估活动的检查指导。持续整治“四风”，建立状况分析和督查巡查机制，集中治理不作为、慢作为、乱作为的行为。</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1、精神障碍患者监护人责任险绩效目标表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13063424P00072T100064</w:t>
            </w:r>
          </w:p>
        </w:tc>
        <w:tc>
          <w:tcPr>
            <w:tcW w:w="2835" w:type="dxa"/>
            <w:vAlign w:val="center"/>
          </w:tcPr>
          <w:p>
            <w:pPr>
              <w:pStyle w:val="10"/>
            </w:pPr>
            <w:r>
              <w:t>项目名称</w:t>
            </w:r>
          </w:p>
        </w:tc>
        <w:tc>
          <w:tcPr>
            <w:tcW w:w="6095" w:type="dxa"/>
            <w:gridSpan w:val="3"/>
            <w:vAlign w:val="center"/>
          </w:tcPr>
          <w:p>
            <w:pPr>
              <w:pStyle w:val="12"/>
            </w:pPr>
            <w:r>
              <w:t>精神障碍患者监护人责任险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28.42</w:t>
            </w:r>
          </w:p>
        </w:tc>
        <w:tc>
          <w:tcPr>
            <w:tcW w:w="2835" w:type="dxa"/>
            <w:vAlign w:val="center"/>
          </w:tcPr>
          <w:p>
            <w:pPr>
              <w:pStyle w:val="10"/>
            </w:pPr>
            <w:r>
              <w:t>其中：财政    资金</w:t>
            </w:r>
          </w:p>
        </w:tc>
        <w:tc>
          <w:tcPr>
            <w:tcW w:w="2551" w:type="dxa"/>
            <w:vAlign w:val="center"/>
          </w:tcPr>
          <w:p>
            <w:pPr>
              <w:pStyle w:val="12"/>
            </w:pPr>
            <w:r>
              <w:t>28.42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预算数为28.42万元，其中县级财政资金28.42万元。主要用于为我县2842名精神障碍患者缴纳监护人责任险，资金10月底一次性支付。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p>
        </w:tc>
        <w:tc>
          <w:tcPr>
            <w:tcW w:w="2835" w:type="dxa"/>
            <w:vAlign w:val="center"/>
          </w:tcPr>
          <w:p>
            <w:pPr>
              <w:pStyle w:val="13"/>
            </w:pPr>
          </w:p>
        </w:tc>
        <w:tc>
          <w:tcPr>
            <w:tcW w:w="2551" w:type="dxa"/>
            <w:vAlign w:val="center"/>
          </w:tcPr>
          <w:p>
            <w:pPr>
              <w:pStyle w:val="13"/>
            </w:pPr>
            <w:r>
              <w:t>28.42</w:t>
            </w:r>
          </w:p>
        </w:tc>
        <w:tc>
          <w:tcPr>
            <w:tcW w:w="3544" w:type="dxa"/>
            <w:gridSpan w:val="2"/>
            <w:vAlign w:val="center"/>
          </w:tcPr>
          <w:p>
            <w:pPr>
              <w:pStyle w:val="13"/>
            </w:pPr>
            <w:r>
              <w:t>28.42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1.通过为2842人缴纳严重精神障碍患者监护人保险，使严重精神障碍患者监护人更好地履行监护职责，确保我县社会安全稳定。</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保险缴纳人数</w:t>
            </w:r>
          </w:p>
        </w:tc>
        <w:tc>
          <w:tcPr>
            <w:tcW w:w="5386" w:type="dxa"/>
            <w:vAlign w:val="center"/>
          </w:tcPr>
          <w:p>
            <w:pPr>
              <w:pStyle w:val="12"/>
            </w:pPr>
            <w:r>
              <w:t>为精神障碍患者监护人缴纳保险人数</w:t>
            </w:r>
          </w:p>
        </w:tc>
        <w:tc>
          <w:tcPr>
            <w:tcW w:w="1957" w:type="dxa"/>
            <w:vAlign w:val="center"/>
          </w:tcPr>
          <w:p>
            <w:pPr>
              <w:pStyle w:val="12"/>
            </w:pPr>
            <w:r>
              <w:t>2920人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重点人口管控率（%）</w:t>
            </w:r>
          </w:p>
        </w:tc>
        <w:tc>
          <w:tcPr>
            <w:tcW w:w="5386" w:type="dxa"/>
            <w:vAlign w:val="center"/>
          </w:tcPr>
          <w:p>
            <w:pPr>
              <w:pStyle w:val="12"/>
            </w:pPr>
            <w:r>
              <w:t>重点人口管控人数占总人数的比例</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发生精神障碍患者事故出险的期限</w:t>
            </w:r>
          </w:p>
        </w:tc>
        <w:tc>
          <w:tcPr>
            <w:tcW w:w="5386" w:type="dxa"/>
            <w:vAlign w:val="center"/>
          </w:tcPr>
          <w:p>
            <w:pPr>
              <w:pStyle w:val="12"/>
            </w:pPr>
            <w:r>
              <w:t>发生精神障碍患者肇事肇祸出险的期限</w:t>
            </w:r>
          </w:p>
        </w:tc>
        <w:tc>
          <w:tcPr>
            <w:tcW w:w="1957" w:type="dxa"/>
            <w:vAlign w:val="center"/>
          </w:tcPr>
          <w:p>
            <w:pPr>
              <w:pStyle w:val="12"/>
            </w:pPr>
            <w:r>
              <w:t>≤72小时</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单人保费金额</w:t>
            </w:r>
          </w:p>
        </w:tc>
        <w:tc>
          <w:tcPr>
            <w:tcW w:w="5386" w:type="dxa"/>
            <w:vAlign w:val="center"/>
          </w:tcPr>
          <w:p>
            <w:pPr>
              <w:pStyle w:val="12"/>
            </w:pPr>
            <w:r>
              <w:t>单人保险缴费的金额</w:t>
            </w:r>
          </w:p>
        </w:tc>
        <w:tc>
          <w:tcPr>
            <w:tcW w:w="1957" w:type="dxa"/>
            <w:vAlign w:val="center"/>
          </w:tcPr>
          <w:p>
            <w:pPr>
              <w:pStyle w:val="12"/>
            </w:pPr>
            <w:r>
              <w:t>100元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精神障碍患者肇事肇祸事件下降率</w:t>
            </w:r>
          </w:p>
        </w:tc>
        <w:tc>
          <w:tcPr>
            <w:tcW w:w="5386" w:type="dxa"/>
            <w:vAlign w:val="center"/>
          </w:tcPr>
          <w:p>
            <w:pPr>
              <w:pStyle w:val="12"/>
            </w:pPr>
            <w:r>
              <w:t>精神障碍患者肇事肇祸事件较上年下降的比率</w:t>
            </w:r>
          </w:p>
        </w:tc>
        <w:tc>
          <w:tcPr>
            <w:tcW w:w="1957" w:type="dxa"/>
            <w:vAlign w:val="center"/>
          </w:tcPr>
          <w:p>
            <w:pPr>
              <w:pStyle w:val="12"/>
            </w:pPr>
            <w:r>
              <w:t>≥10%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服务对象满意人数占总人数的比例</w:t>
            </w:r>
          </w:p>
        </w:tc>
        <w:tc>
          <w:tcPr>
            <w:tcW w:w="1957" w:type="dxa"/>
            <w:vAlign w:val="center"/>
          </w:tcPr>
          <w:p>
            <w:pPr>
              <w:pStyle w:val="12"/>
            </w:pPr>
            <w:r>
              <w:t>≥95%</w:t>
            </w:r>
          </w:p>
        </w:tc>
        <w:tc>
          <w:tcPr>
            <w:tcW w:w="1587" w:type="dxa"/>
            <w:vAlign w:val="center"/>
          </w:tcPr>
          <w:p>
            <w:pPr>
              <w:pStyle w:val="12"/>
            </w:pPr>
            <w:r>
              <w:t>依据工作方案</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2、政法委”雪亮工程“建设保障项目绩效目标表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13063424P004276100043</w:t>
            </w:r>
          </w:p>
        </w:tc>
        <w:tc>
          <w:tcPr>
            <w:tcW w:w="2835" w:type="dxa"/>
            <w:vAlign w:val="center"/>
          </w:tcPr>
          <w:p>
            <w:pPr>
              <w:pStyle w:val="10"/>
            </w:pPr>
            <w:r>
              <w:t>项目名称</w:t>
            </w:r>
          </w:p>
        </w:tc>
        <w:tc>
          <w:tcPr>
            <w:tcW w:w="6095" w:type="dxa"/>
            <w:gridSpan w:val="3"/>
            <w:vAlign w:val="center"/>
          </w:tcPr>
          <w:p>
            <w:pPr>
              <w:pStyle w:val="12"/>
            </w:pPr>
            <w:r>
              <w:t>政法委”雪亮工程“建设保障项目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14.88</w:t>
            </w:r>
          </w:p>
        </w:tc>
        <w:tc>
          <w:tcPr>
            <w:tcW w:w="2835" w:type="dxa"/>
            <w:vAlign w:val="center"/>
          </w:tcPr>
          <w:p>
            <w:pPr>
              <w:pStyle w:val="10"/>
            </w:pPr>
            <w:r>
              <w:t>其中：财政    资金</w:t>
            </w:r>
          </w:p>
        </w:tc>
        <w:tc>
          <w:tcPr>
            <w:tcW w:w="2551" w:type="dxa"/>
            <w:vAlign w:val="center"/>
          </w:tcPr>
          <w:p>
            <w:pPr>
              <w:pStyle w:val="12"/>
            </w:pPr>
            <w:r>
              <w:t>14.88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预算数14.88万元，其中县级财政资金14.88万元。主要用于保障“雪亮工程”正常使用的线路租赁费用，按工作安排拨付资金。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4.80</w:t>
            </w:r>
          </w:p>
        </w:tc>
        <w:tc>
          <w:tcPr>
            <w:tcW w:w="2835" w:type="dxa"/>
            <w:vAlign w:val="center"/>
          </w:tcPr>
          <w:p>
            <w:pPr>
              <w:pStyle w:val="13"/>
            </w:pPr>
            <w:r>
              <w:t>7.88</w:t>
            </w:r>
          </w:p>
        </w:tc>
        <w:tc>
          <w:tcPr>
            <w:tcW w:w="2551" w:type="dxa"/>
            <w:vAlign w:val="center"/>
          </w:tcPr>
          <w:p>
            <w:pPr>
              <w:pStyle w:val="13"/>
            </w:pPr>
            <w:r>
              <w:t>12.00</w:t>
            </w:r>
          </w:p>
        </w:tc>
        <w:tc>
          <w:tcPr>
            <w:tcW w:w="3544" w:type="dxa"/>
            <w:gridSpan w:val="2"/>
            <w:vAlign w:val="center"/>
          </w:tcPr>
          <w:p>
            <w:pPr>
              <w:pStyle w:val="13"/>
            </w:pPr>
            <w:r>
              <w:t>14.88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1.通过保障我县“雪亮工程”正常在线率和使用率，有效提升全县视频联网共享水平，增强工作效率，提高群众安全感。</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租用的电路数量</w:t>
            </w:r>
          </w:p>
        </w:tc>
        <w:tc>
          <w:tcPr>
            <w:tcW w:w="5386" w:type="dxa"/>
            <w:vAlign w:val="center"/>
          </w:tcPr>
          <w:p>
            <w:pPr>
              <w:pStyle w:val="12"/>
            </w:pPr>
            <w:r>
              <w:t>租用的电路数量</w:t>
            </w:r>
          </w:p>
        </w:tc>
        <w:tc>
          <w:tcPr>
            <w:tcW w:w="1957" w:type="dxa"/>
            <w:vAlign w:val="center"/>
          </w:tcPr>
          <w:p>
            <w:pPr>
              <w:pStyle w:val="12"/>
            </w:pPr>
            <w:r>
              <w:t>5条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租用电路的正常使用率</w:t>
            </w:r>
          </w:p>
        </w:tc>
        <w:tc>
          <w:tcPr>
            <w:tcW w:w="5386" w:type="dxa"/>
            <w:vAlign w:val="center"/>
          </w:tcPr>
          <w:p>
            <w:pPr>
              <w:pStyle w:val="12"/>
            </w:pPr>
            <w:r>
              <w:t>租用电路的正常使用率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电路维修时限</w:t>
            </w:r>
          </w:p>
        </w:tc>
        <w:tc>
          <w:tcPr>
            <w:tcW w:w="5386" w:type="dxa"/>
            <w:vAlign w:val="center"/>
          </w:tcPr>
          <w:p>
            <w:pPr>
              <w:pStyle w:val="12"/>
            </w:pPr>
            <w:r>
              <w:t>电路出现故障后维修时限</w:t>
            </w:r>
          </w:p>
        </w:tc>
        <w:tc>
          <w:tcPr>
            <w:tcW w:w="1957" w:type="dxa"/>
            <w:vAlign w:val="center"/>
          </w:tcPr>
          <w:p>
            <w:pPr>
              <w:pStyle w:val="12"/>
            </w:pPr>
            <w:r>
              <w:t>≤72小时</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租用单条电路每月平均成本</w:t>
            </w:r>
          </w:p>
        </w:tc>
        <w:tc>
          <w:tcPr>
            <w:tcW w:w="5386" w:type="dxa"/>
            <w:vAlign w:val="center"/>
          </w:tcPr>
          <w:p>
            <w:pPr>
              <w:pStyle w:val="12"/>
            </w:pPr>
            <w:r>
              <w:t>租用单条电路每月平均成本</w:t>
            </w:r>
          </w:p>
        </w:tc>
        <w:tc>
          <w:tcPr>
            <w:tcW w:w="1957" w:type="dxa"/>
            <w:vAlign w:val="center"/>
          </w:tcPr>
          <w:p>
            <w:pPr>
              <w:pStyle w:val="12"/>
            </w:pPr>
            <w:r>
              <w:t>1240元/月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公共联网共享信息上升率</w:t>
            </w:r>
          </w:p>
        </w:tc>
        <w:tc>
          <w:tcPr>
            <w:tcW w:w="5386" w:type="dxa"/>
            <w:vAlign w:val="center"/>
          </w:tcPr>
          <w:p>
            <w:pPr>
              <w:pStyle w:val="12"/>
            </w:pPr>
            <w:r>
              <w:t>公共联网共享信息较去年上升的比率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3、政法委防范和处理邪教组织经费绩效目标表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13063424P00699110004G</w:t>
            </w:r>
          </w:p>
        </w:tc>
        <w:tc>
          <w:tcPr>
            <w:tcW w:w="2835" w:type="dxa"/>
            <w:vAlign w:val="center"/>
          </w:tcPr>
          <w:p>
            <w:pPr>
              <w:pStyle w:val="10"/>
            </w:pPr>
            <w:r>
              <w:t>项目名称</w:t>
            </w:r>
          </w:p>
        </w:tc>
        <w:tc>
          <w:tcPr>
            <w:tcW w:w="6095" w:type="dxa"/>
            <w:gridSpan w:val="3"/>
            <w:vAlign w:val="center"/>
          </w:tcPr>
          <w:p>
            <w:pPr>
              <w:pStyle w:val="12"/>
            </w:pPr>
            <w:r>
              <w:t>政法委防范和处理邪教组织经费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预算数15万元，其中县级财政资金15万元。主要用于我县反邪教工作宣传及反宣标语清理工作，按月拨付资金。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3.00</w:t>
            </w:r>
          </w:p>
        </w:tc>
        <w:tc>
          <w:tcPr>
            <w:tcW w:w="2835" w:type="dxa"/>
            <w:vAlign w:val="center"/>
          </w:tcPr>
          <w:p>
            <w:pPr>
              <w:pStyle w:val="13"/>
            </w:pPr>
            <w:r>
              <w:t>7.00</w:t>
            </w:r>
          </w:p>
        </w:tc>
        <w:tc>
          <w:tcPr>
            <w:tcW w:w="2551" w:type="dxa"/>
            <w:vAlign w:val="center"/>
          </w:tcPr>
          <w:p>
            <w:pPr>
              <w:pStyle w:val="13"/>
            </w:pPr>
            <w:r>
              <w:t>11.00</w:t>
            </w:r>
          </w:p>
        </w:tc>
        <w:tc>
          <w:tcPr>
            <w:tcW w:w="3544"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1.通过对邪教组织的打击，确保全县反邪教工作顺利开展，严厉打击邪教人员，使法轮功等邪教组织违法犯罪活动明显收敛。</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宣传品制作数量</w:t>
            </w:r>
          </w:p>
        </w:tc>
        <w:tc>
          <w:tcPr>
            <w:tcW w:w="5386" w:type="dxa"/>
            <w:vAlign w:val="center"/>
          </w:tcPr>
          <w:p>
            <w:pPr>
              <w:pStyle w:val="12"/>
            </w:pPr>
            <w:r>
              <w:t>反邪教宣传品制作数量</w:t>
            </w:r>
          </w:p>
        </w:tc>
        <w:tc>
          <w:tcPr>
            <w:tcW w:w="1815" w:type="dxa"/>
            <w:vAlign w:val="center"/>
          </w:tcPr>
          <w:p>
            <w:pPr>
              <w:pStyle w:val="12"/>
            </w:pPr>
            <w:r>
              <w:t>≥4万册</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反邪教宣传覆盖率</w:t>
            </w:r>
          </w:p>
        </w:tc>
        <w:tc>
          <w:tcPr>
            <w:tcW w:w="5386" w:type="dxa"/>
            <w:vAlign w:val="center"/>
          </w:tcPr>
          <w:p>
            <w:pPr>
              <w:pStyle w:val="12"/>
            </w:pPr>
            <w:r>
              <w:t>反邪教宣传覆盖率</w:t>
            </w:r>
          </w:p>
        </w:tc>
        <w:tc>
          <w:tcPr>
            <w:tcW w:w="1815" w:type="dxa"/>
            <w:vAlign w:val="center"/>
          </w:tcPr>
          <w:p>
            <w:pPr>
              <w:pStyle w:val="12"/>
            </w:pPr>
            <w:r>
              <w:t>≥50%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反邪教宣传工作完成时限</w:t>
            </w:r>
          </w:p>
        </w:tc>
        <w:tc>
          <w:tcPr>
            <w:tcW w:w="5386" w:type="dxa"/>
            <w:vAlign w:val="center"/>
          </w:tcPr>
          <w:p>
            <w:pPr>
              <w:pStyle w:val="12"/>
            </w:pPr>
            <w:r>
              <w:t>反邪教宣传工作完成时限</w:t>
            </w:r>
          </w:p>
        </w:tc>
        <w:tc>
          <w:tcPr>
            <w:tcW w:w="1815" w:type="dxa"/>
            <w:vAlign w:val="center"/>
          </w:tcPr>
          <w:p>
            <w:pPr>
              <w:pStyle w:val="12"/>
            </w:pPr>
            <w:r>
              <w:t>12月底</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宣传品制作成本</w:t>
            </w:r>
          </w:p>
        </w:tc>
        <w:tc>
          <w:tcPr>
            <w:tcW w:w="5386" w:type="dxa"/>
            <w:vAlign w:val="center"/>
          </w:tcPr>
          <w:p>
            <w:pPr>
              <w:pStyle w:val="12"/>
            </w:pPr>
            <w:r>
              <w:t>单册宣传品制作成本</w:t>
            </w:r>
          </w:p>
        </w:tc>
        <w:tc>
          <w:tcPr>
            <w:tcW w:w="1815" w:type="dxa"/>
            <w:vAlign w:val="center"/>
          </w:tcPr>
          <w:p>
            <w:pPr>
              <w:pStyle w:val="12"/>
            </w:pPr>
            <w:r>
              <w:t>≤3元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反邪教宣传内容群众知晓率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群众的满意程度</w:t>
            </w:r>
          </w:p>
        </w:tc>
        <w:tc>
          <w:tcPr>
            <w:tcW w:w="5386" w:type="dxa"/>
            <w:vAlign w:val="center"/>
          </w:tcPr>
          <w:p>
            <w:pPr>
              <w:pStyle w:val="12"/>
            </w:pPr>
            <w:r>
              <w:t>群众满意人数占调查人数的比例</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4、政法委劳务派遣人员项目经费绩效目标表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13063424P00H72L10004N</w:t>
            </w:r>
          </w:p>
        </w:tc>
        <w:tc>
          <w:tcPr>
            <w:tcW w:w="2835" w:type="dxa"/>
            <w:vAlign w:val="center"/>
          </w:tcPr>
          <w:p>
            <w:pPr>
              <w:pStyle w:val="10"/>
            </w:pPr>
            <w:r>
              <w:t>项目名称</w:t>
            </w:r>
          </w:p>
        </w:tc>
        <w:tc>
          <w:tcPr>
            <w:tcW w:w="6095" w:type="dxa"/>
            <w:gridSpan w:val="3"/>
            <w:vAlign w:val="center"/>
          </w:tcPr>
          <w:p>
            <w:pPr>
              <w:pStyle w:val="12"/>
            </w:pPr>
            <w:r>
              <w:t>政法委劳务派遣人员项目经费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41.18</w:t>
            </w:r>
          </w:p>
        </w:tc>
        <w:tc>
          <w:tcPr>
            <w:tcW w:w="2835" w:type="dxa"/>
            <w:vAlign w:val="center"/>
          </w:tcPr>
          <w:p>
            <w:pPr>
              <w:pStyle w:val="10"/>
            </w:pPr>
            <w:r>
              <w:t>其中：财政    资金</w:t>
            </w:r>
          </w:p>
        </w:tc>
        <w:tc>
          <w:tcPr>
            <w:tcW w:w="2551" w:type="dxa"/>
            <w:vAlign w:val="center"/>
          </w:tcPr>
          <w:p>
            <w:pPr>
              <w:pStyle w:val="12"/>
            </w:pPr>
            <w:r>
              <w:t>41.18</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预算数为41.18万元，其中县级财政资金41.18万元。主要用于我单位8名劳务派遣人员工资及保险，按月发放资金。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12.67</w:t>
            </w:r>
          </w:p>
        </w:tc>
        <w:tc>
          <w:tcPr>
            <w:tcW w:w="2835" w:type="dxa"/>
            <w:vAlign w:val="center"/>
          </w:tcPr>
          <w:p>
            <w:pPr>
              <w:pStyle w:val="13"/>
            </w:pPr>
            <w:r>
              <w:t>22.17</w:t>
            </w:r>
          </w:p>
        </w:tc>
        <w:tc>
          <w:tcPr>
            <w:tcW w:w="2551" w:type="dxa"/>
            <w:vAlign w:val="center"/>
          </w:tcPr>
          <w:p>
            <w:pPr>
              <w:pStyle w:val="13"/>
            </w:pPr>
            <w:r>
              <w:t>34.84</w:t>
            </w:r>
          </w:p>
        </w:tc>
        <w:tc>
          <w:tcPr>
            <w:tcW w:w="3544" w:type="dxa"/>
            <w:gridSpan w:val="2"/>
            <w:vAlign w:val="center"/>
          </w:tcPr>
          <w:p>
            <w:pPr>
              <w:pStyle w:val="13"/>
            </w:pPr>
            <w:r>
              <w:t>41.18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1.通过对劳务派遣人员及时足额发放工资、缴纳保险，保障劳务派遣人员正常工作和生活需要。</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815" w:type="dxa"/>
            <w:vAlign w:val="center"/>
          </w:tcPr>
          <w:p>
            <w:pPr>
              <w:pStyle w:val="12"/>
            </w:pPr>
            <w:r>
              <w:t>8人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劳务派遣月均补助成本</w:t>
            </w:r>
          </w:p>
        </w:tc>
        <w:tc>
          <w:tcPr>
            <w:tcW w:w="5386" w:type="dxa"/>
            <w:vAlign w:val="center"/>
          </w:tcPr>
          <w:p>
            <w:pPr>
              <w:pStyle w:val="12"/>
            </w:pPr>
            <w:r>
              <w:t>劳务派遣人均补助成本</w:t>
            </w:r>
          </w:p>
        </w:tc>
        <w:tc>
          <w:tcPr>
            <w:tcW w:w="1815" w:type="dxa"/>
            <w:vAlign w:val="center"/>
          </w:tcPr>
          <w:p>
            <w:pPr>
              <w:pStyle w:val="12"/>
            </w:pPr>
            <w:r>
              <w:t>≥2800元/月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5、政法委社会治安综合治理项目绩效目标表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13063424P00J81410004Y</w:t>
            </w:r>
          </w:p>
        </w:tc>
        <w:tc>
          <w:tcPr>
            <w:tcW w:w="2835" w:type="dxa"/>
            <w:vAlign w:val="center"/>
          </w:tcPr>
          <w:p>
            <w:pPr>
              <w:pStyle w:val="10"/>
            </w:pPr>
            <w:r>
              <w:t>项目名称</w:t>
            </w:r>
          </w:p>
        </w:tc>
        <w:tc>
          <w:tcPr>
            <w:tcW w:w="6095" w:type="dxa"/>
            <w:gridSpan w:val="3"/>
            <w:vAlign w:val="center"/>
          </w:tcPr>
          <w:p>
            <w:pPr>
              <w:pStyle w:val="12"/>
            </w:pPr>
            <w:r>
              <w:t>政法委社会治安综合治理项目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51.00</w:t>
            </w:r>
          </w:p>
        </w:tc>
        <w:tc>
          <w:tcPr>
            <w:tcW w:w="2835" w:type="dxa"/>
            <w:vAlign w:val="center"/>
          </w:tcPr>
          <w:p>
            <w:pPr>
              <w:pStyle w:val="10"/>
            </w:pPr>
            <w:r>
              <w:t>其中：财政    资金</w:t>
            </w:r>
          </w:p>
        </w:tc>
        <w:tc>
          <w:tcPr>
            <w:tcW w:w="2551" w:type="dxa"/>
            <w:vAlign w:val="center"/>
          </w:tcPr>
          <w:p>
            <w:pPr>
              <w:pStyle w:val="12"/>
            </w:pPr>
            <w:r>
              <w:t>51.00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预算数51万元，其中县级财政资金51万元。主要用于社会治安综合治理相关工作文件及宣传资料的印刷，会议的召开等确保社会安全稳定的工作，按月拨付资金。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12.75</w:t>
            </w:r>
          </w:p>
        </w:tc>
        <w:tc>
          <w:tcPr>
            <w:tcW w:w="2835" w:type="dxa"/>
            <w:vAlign w:val="center"/>
          </w:tcPr>
          <w:p>
            <w:pPr>
              <w:pStyle w:val="13"/>
            </w:pPr>
            <w:r>
              <w:t>25.00</w:t>
            </w:r>
          </w:p>
        </w:tc>
        <w:tc>
          <w:tcPr>
            <w:tcW w:w="2551" w:type="dxa"/>
            <w:vAlign w:val="center"/>
          </w:tcPr>
          <w:p>
            <w:pPr>
              <w:pStyle w:val="13"/>
            </w:pPr>
            <w:r>
              <w:t>37.75</w:t>
            </w:r>
          </w:p>
        </w:tc>
        <w:tc>
          <w:tcPr>
            <w:tcW w:w="3544" w:type="dxa"/>
            <w:gridSpan w:val="2"/>
            <w:vAlign w:val="center"/>
          </w:tcPr>
          <w:p>
            <w:pPr>
              <w:pStyle w:val="13"/>
            </w:pPr>
            <w:r>
              <w:t>51.00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1.通过社会治安综合治理工作正常开展，提高重大时期安保完成率,保障人民群众安家乐业。</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印刷品数量</w:t>
            </w:r>
          </w:p>
        </w:tc>
        <w:tc>
          <w:tcPr>
            <w:tcW w:w="5386" w:type="dxa"/>
            <w:vAlign w:val="center"/>
          </w:tcPr>
          <w:p>
            <w:pPr>
              <w:pStyle w:val="12"/>
            </w:pPr>
            <w:r>
              <w:t>印刷平安建设等宣传品数量</w:t>
            </w:r>
          </w:p>
        </w:tc>
        <w:tc>
          <w:tcPr>
            <w:tcW w:w="1957" w:type="dxa"/>
            <w:vAlign w:val="center"/>
          </w:tcPr>
          <w:p>
            <w:pPr>
              <w:pStyle w:val="12"/>
            </w:pPr>
            <w:r>
              <w:t>≥3万张</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印刷品制作合格率</w:t>
            </w:r>
          </w:p>
        </w:tc>
        <w:tc>
          <w:tcPr>
            <w:tcW w:w="5386" w:type="dxa"/>
            <w:vAlign w:val="center"/>
          </w:tcPr>
          <w:p>
            <w:pPr>
              <w:pStyle w:val="12"/>
            </w:pPr>
            <w:r>
              <w:t>印刷品制作合格率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非法集资宣传工作完成时限</w:t>
            </w:r>
          </w:p>
        </w:tc>
        <w:tc>
          <w:tcPr>
            <w:tcW w:w="5386" w:type="dxa"/>
            <w:vAlign w:val="center"/>
          </w:tcPr>
          <w:p>
            <w:pPr>
              <w:pStyle w:val="12"/>
            </w:pPr>
            <w:r>
              <w:t>非法集资宣传工作完成时限</w:t>
            </w:r>
          </w:p>
        </w:tc>
        <w:tc>
          <w:tcPr>
            <w:tcW w:w="1957" w:type="dxa"/>
            <w:vAlign w:val="center"/>
          </w:tcPr>
          <w:p>
            <w:pPr>
              <w:pStyle w:val="12"/>
            </w:pPr>
            <w:r>
              <w:t>12月底</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印刷宣传品成本</w:t>
            </w:r>
          </w:p>
        </w:tc>
        <w:tc>
          <w:tcPr>
            <w:tcW w:w="5386" w:type="dxa"/>
            <w:vAlign w:val="center"/>
          </w:tcPr>
          <w:p>
            <w:pPr>
              <w:pStyle w:val="12"/>
            </w:pPr>
            <w:r>
              <w:t>单册宣传页印刷费成本金额</w:t>
            </w:r>
          </w:p>
        </w:tc>
        <w:tc>
          <w:tcPr>
            <w:tcW w:w="1957" w:type="dxa"/>
            <w:vAlign w:val="center"/>
          </w:tcPr>
          <w:p>
            <w:pPr>
              <w:pStyle w:val="12"/>
            </w:pPr>
            <w:r>
              <w:t>≤5元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政策知晓率</w:t>
            </w:r>
          </w:p>
        </w:tc>
        <w:tc>
          <w:tcPr>
            <w:tcW w:w="5386" w:type="dxa"/>
            <w:vAlign w:val="center"/>
          </w:tcPr>
          <w:p>
            <w:pPr>
              <w:pStyle w:val="12"/>
            </w:pPr>
            <w:r>
              <w:t>非法集资等政策知晓率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群众的满意程度</w:t>
            </w:r>
          </w:p>
        </w:tc>
        <w:tc>
          <w:tcPr>
            <w:tcW w:w="5386" w:type="dxa"/>
            <w:vAlign w:val="center"/>
          </w:tcPr>
          <w:p>
            <w:pPr>
              <w:pStyle w:val="12"/>
            </w:pPr>
            <w:r>
              <w:t>群众满意人数占调查人数的比例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6、政法委疫情防控视频监控接入项目经费绩效目标表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项目编码</w:t>
            </w:r>
          </w:p>
        </w:tc>
        <w:tc>
          <w:tcPr>
            <w:tcW w:w="4848" w:type="dxa"/>
            <w:gridSpan w:val="2"/>
            <w:vAlign w:val="center"/>
          </w:tcPr>
          <w:p>
            <w:pPr>
              <w:pStyle w:val="12"/>
            </w:pPr>
            <w:r>
              <w:t>13063424P00DG6W10004C</w:t>
            </w:r>
          </w:p>
        </w:tc>
        <w:tc>
          <w:tcPr>
            <w:tcW w:w="2835" w:type="dxa"/>
            <w:vAlign w:val="center"/>
          </w:tcPr>
          <w:p>
            <w:pPr>
              <w:pStyle w:val="10"/>
            </w:pPr>
            <w:r>
              <w:t>项目名称</w:t>
            </w:r>
          </w:p>
        </w:tc>
        <w:tc>
          <w:tcPr>
            <w:tcW w:w="6095" w:type="dxa"/>
            <w:gridSpan w:val="3"/>
            <w:vAlign w:val="center"/>
          </w:tcPr>
          <w:p>
            <w:pPr>
              <w:pStyle w:val="12"/>
            </w:pPr>
            <w:r>
              <w:t>政法委疫情防控视频监控接入项目经费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预算规模及资金用途</w:t>
            </w:r>
          </w:p>
        </w:tc>
        <w:tc>
          <w:tcPr>
            <w:tcW w:w="2013" w:type="dxa"/>
            <w:vAlign w:val="center"/>
          </w:tcPr>
          <w:p>
            <w:pPr>
              <w:pStyle w:val="10"/>
            </w:pPr>
            <w:r>
              <w:t>预算数</w:t>
            </w:r>
          </w:p>
        </w:tc>
        <w:tc>
          <w:tcPr>
            <w:tcW w:w="2835" w:type="dxa"/>
            <w:vAlign w:val="center"/>
          </w:tcPr>
          <w:p>
            <w:pPr>
              <w:pStyle w:val="12"/>
            </w:pPr>
            <w:r>
              <w:t>33.44</w:t>
            </w:r>
          </w:p>
        </w:tc>
        <w:tc>
          <w:tcPr>
            <w:tcW w:w="2835" w:type="dxa"/>
            <w:vAlign w:val="center"/>
          </w:tcPr>
          <w:p>
            <w:pPr>
              <w:pStyle w:val="10"/>
            </w:pPr>
            <w:r>
              <w:t>其中：财政    资金</w:t>
            </w:r>
          </w:p>
        </w:tc>
        <w:tc>
          <w:tcPr>
            <w:tcW w:w="2551" w:type="dxa"/>
            <w:vAlign w:val="center"/>
          </w:tcPr>
          <w:p>
            <w:pPr>
              <w:pStyle w:val="12"/>
            </w:pPr>
            <w:r>
              <w:t>33.44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13778" w:type="dxa"/>
            <w:gridSpan w:val="6"/>
            <w:vAlign w:val="center"/>
          </w:tcPr>
          <w:p>
            <w:pPr>
              <w:pStyle w:val="12"/>
            </w:pPr>
            <w:r>
              <w:t>预算数334400元，其中一般公共预算334400元，主要用于监控摄像头租用及线路接入，保持所有摄像头全部接入系统。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restart"/>
            <w:vAlign w:val="center"/>
          </w:tcPr>
          <w:p>
            <w:pPr>
              <w:pStyle w:val="10"/>
            </w:pPr>
            <w:r>
              <w:t>资金支出计划</w:t>
            </w:r>
          </w:p>
        </w:tc>
        <w:tc>
          <w:tcPr>
            <w:tcW w:w="4848"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Merge w:val="continue"/>
          </w:tcPr>
          <w:p/>
        </w:tc>
        <w:tc>
          <w:tcPr>
            <w:tcW w:w="4848" w:type="dxa"/>
            <w:gridSpan w:val="2"/>
            <w:vAlign w:val="center"/>
          </w:tcPr>
          <w:p>
            <w:pPr>
              <w:pStyle w:val="13"/>
            </w:pPr>
            <w:r>
              <w:t>10.38</w:t>
            </w:r>
          </w:p>
        </w:tc>
        <w:tc>
          <w:tcPr>
            <w:tcW w:w="2835" w:type="dxa"/>
            <w:vAlign w:val="center"/>
          </w:tcPr>
          <w:p>
            <w:pPr>
              <w:pStyle w:val="13"/>
            </w:pPr>
            <w:r>
              <w:t>14.78</w:t>
            </w:r>
          </w:p>
        </w:tc>
        <w:tc>
          <w:tcPr>
            <w:tcW w:w="2551" w:type="dxa"/>
            <w:vAlign w:val="center"/>
          </w:tcPr>
          <w:p>
            <w:pPr>
              <w:pStyle w:val="13"/>
            </w:pPr>
            <w:r>
              <w:t>23.06</w:t>
            </w:r>
          </w:p>
        </w:tc>
        <w:tc>
          <w:tcPr>
            <w:tcW w:w="3544" w:type="dxa"/>
            <w:gridSpan w:val="2"/>
            <w:vAlign w:val="center"/>
          </w:tcPr>
          <w:p>
            <w:pPr>
              <w:pStyle w:val="13"/>
            </w:pPr>
            <w:r>
              <w:t>33.44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531" w:type="dxa"/>
            <w:vAlign w:val="center"/>
          </w:tcPr>
          <w:p>
            <w:pPr>
              <w:pStyle w:val="10"/>
            </w:pPr>
            <w:r>
              <w:t>绩效目标</w:t>
            </w:r>
          </w:p>
        </w:tc>
        <w:tc>
          <w:tcPr>
            <w:tcW w:w="13778" w:type="dxa"/>
            <w:gridSpan w:val="6"/>
            <w:vAlign w:val="center"/>
          </w:tcPr>
          <w:p>
            <w:pPr>
              <w:pStyle w:val="12"/>
            </w:pPr>
            <w:r>
              <w:t>1.通过防疫视频监控安装并接入“雪亮工程”平台，顺利完成我县各项突发任务，提高群众安全感。</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31"/>
        <w:gridCol w:w="2013"/>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531" w:type="dxa"/>
            <w:vAlign w:val="center"/>
          </w:tcPr>
          <w:p>
            <w:pPr>
              <w:pStyle w:val="10"/>
            </w:pPr>
            <w:r>
              <w:t>一级指标</w:t>
            </w:r>
          </w:p>
        </w:tc>
        <w:tc>
          <w:tcPr>
            <w:tcW w:w="2013"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restart"/>
            <w:vAlign w:val="center"/>
          </w:tcPr>
          <w:p>
            <w:pPr>
              <w:pStyle w:val="13"/>
            </w:pPr>
            <w:r>
              <w:t>产出指标</w:t>
            </w:r>
          </w:p>
        </w:tc>
        <w:tc>
          <w:tcPr>
            <w:tcW w:w="2013" w:type="dxa"/>
            <w:vAlign w:val="center"/>
          </w:tcPr>
          <w:p>
            <w:pPr>
              <w:pStyle w:val="12"/>
            </w:pPr>
            <w:r>
              <w:t>数量指标</w:t>
            </w:r>
          </w:p>
        </w:tc>
        <w:tc>
          <w:tcPr>
            <w:tcW w:w="2835" w:type="dxa"/>
            <w:vAlign w:val="center"/>
          </w:tcPr>
          <w:p>
            <w:pPr>
              <w:pStyle w:val="12"/>
            </w:pPr>
            <w:r>
              <w:t>视频监控接入平台数量</w:t>
            </w:r>
          </w:p>
        </w:tc>
        <w:tc>
          <w:tcPr>
            <w:tcW w:w="5386" w:type="dxa"/>
            <w:vAlign w:val="center"/>
          </w:tcPr>
          <w:p>
            <w:pPr>
              <w:pStyle w:val="12"/>
            </w:pPr>
            <w:r>
              <w:t>视频监控接入“雪亮工程”平台数量</w:t>
            </w:r>
          </w:p>
        </w:tc>
        <w:tc>
          <w:tcPr>
            <w:tcW w:w="1957" w:type="dxa"/>
            <w:vAlign w:val="center"/>
          </w:tcPr>
          <w:p>
            <w:pPr>
              <w:pStyle w:val="12"/>
            </w:pPr>
            <w:r>
              <w:t>≥230个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质量指标</w:t>
            </w:r>
          </w:p>
        </w:tc>
        <w:tc>
          <w:tcPr>
            <w:tcW w:w="2835" w:type="dxa"/>
            <w:vAlign w:val="center"/>
          </w:tcPr>
          <w:p>
            <w:pPr>
              <w:pStyle w:val="12"/>
            </w:pPr>
            <w:r>
              <w:t>突发事件处理完成率</w:t>
            </w:r>
          </w:p>
        </w:tc>
        <w:tc>
          <w:tcPr>
            <w:tcW w:w="5386" w:type="dxa"/>
            <w:vAlign w:val="center"/>
          </w:tcPr>
          <w:p>
            <w:pPr>
              <w:pStyle w:val="12"/>
            </w:pPr>
            <w:r>
              <w:t>突发事件处理完成率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时效指标</w:t>
            </w:r>
          </w:p>
        </w:tc>
        <w:tc>
          <w:tcPr>
            <w:tcW w:w="2835" w:type="dxa"/>
            <w:vAlign w:val="center"/>
          </w:tcPr>
          <w:p>
            <w:pPr>
              <w:pStyle w:val="12"/>
            </w:pPr>
            <w:r>
              <w:t>突发事件处理时限</w:t>
            </w:r>
          </w:p>
        </w:tc>
        <w:tc>
          <w:tcPr>
            <w:tcW w:w="5386" w:type="dxa"/>
            <w:vAlign w:val="center"/>
          </w:tcPr>
          <w:p>
            <w:pPr>
              <w:pStyle w:val="12"/>
            </w:pPr>
            <w:r>
              <w:t>突发事件处理时限</w:t>
            </w:r>
          </w:p>
        </w:tc>
        <w:tc>
          <w:tcPr>
            <w:tcW w:w="1957" w:type="dxa"/>
            <w:vAlign w:val="center"/>
          </w:tcPr>
          <w:p>
            <w:pPr>
              <w:pStyle w:val="12"/>
            </w:pPr>
            <w:r>
              <w:t>≤48小时</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Merge w:val="continue"/>
            <w:vAlign w:val="center"/>
          </w:tcPr>
          <w:p/>
        </w:tc>
        <w:tc>
          <w:tcPr>
            <w:tcW w:w="2013" w:type="dxa"/>
            <w:vAlign w:val="center"/>
          </w:tcPr>
          <w:p>
            <w:pPr>
              <w:pStyle w:val="12"/>
            </w:pPr>
            <w:r>
              <w:t>成本指标</w:t>
            </w:r>
          </w:p>
        </w:tc>
        <w:tc>
          <w:tcPr>
            <w:tcW w:w="2835" w:type="dxa"/>
            <w:vAlign w:val="center"/>
          </w:tcPr>
          <w:p>
            <w:pPr>
              <w:pStyle w:val="12"/>
            </w:pPr>
            <w:r>
              <w:t>视频监控单个租用成本</w:t>
            </w:r>
          </w:p>
        </w:tc>
        <w:tc>
          <w:tcPr>
            <w:tcW w:w="5386" w:type="dxa"/>
            <w:vAlign w:val="center"/>
          </w:tcPr>
          <w:p>
            <w:pPr>
              <w:pStyle w:val="12"/>
            </w:pPr>
            <w:r>
              <w:t>视频监控单个租用成本</w:t>
            </w:r>
          </w:p>
        </w:tc>
        <w:tc>
          <w:tcPr>
            <w:tcW w:w="1957" w:type="dxa"/>
            <w:vAlign w:val="center"/>
          </w:tcPr>
          <w:p>
            <w:pPr>
              <w:pStyle w:val="12"/>
            </w:pPr>
            <w:r>
              <w:t>360元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效益指标</w:t>
            </w:r>
          </w:p>
        </w:tc>
        <w:tc>
          <w:tcPr>
            <w:tcW w:w="2013" w:type="dxa"/>
            <w:vAlign w:val="center"/>
          </w:tcPr>
          <w:p>
            <w:pPr>
              <w:pStyle w:val="12"/>
            </w:pPr>
            <w:r>
              <w:t>社会效益指标</w:t>
            </w:r>
          </w:p>
        </w:tc>
        <w:tc>
          <w:tcPr>
            <w:tcW w:w="2835" w:type="dxa"/>
            <w:vAlign w:val="center"/>
          </w:tcPr>
          <w:p>
            <w:pPr>
              <w:pStyle w:val="12"/>
            </w:pPr>
            <w:r>
              <w:t>突发事件处理工作保障率</w:t>
            </w:r>
          </w:p>
        </w:tc>
        <w:tc>
          <w:tcPr>
            <w:tcW w:w="5386" w:type="dxa"/>
            <w:vAlign w:val="center"/>
          </w:tcPr>
          <w:p>
            <w:pPr>
              <w:pStyle w:val="12"/>
            </w:pPr>
            <w:r>
              <w:t>突发事件处理工作在全部工作中保障的比率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1" w:type="dxa"/>
            <w:vAlign w:val="center"/>
          </w:tcPr>
          <w:p>
            <w:pPr>
              <w:pStyle w:val="13"/>
            </w:pPr>
            <w:r>
              <w:t>满意度指标</w:t>
            </w:r>
          </w:p>
        </w:tc>
        <w:tc>
          <w:tcPr>
            <w:tcW w:w="2013"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服务对象满意人数占调查人数的比例</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7、政法委政法信息化及租用光纤经费绩效目标表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3"/>
        <w:gridCol w:w="1871"/>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3" w:type="dxa"/>
            <w:vAlign w:val="center"/>
          </w:tcPr>
          <w:p>
            <w:pPr>
              <w:pStyle w:val="10"/>
            </w:pPr>
            <w:r>
              <w:t>项目编码</w:t>
            </w:r>
          </w:p>
        </w:tc>
        <w:tc>
          <w:tcPr>
            <w:tcW w:w="4706" w:type="dxa"/>
            <w:gridSpan w:val="2"/>
            <w:vAlign w:val="center"/>
          </w:tcPr>
          <w:p>
            <w:pPr>
              <w:pStyle w:val="12"/>
            </w:pPr>
            <w:r>
              <w:t>13063424P00F78G100046</w:t>
            </w:r>
          </w:p>
        </w:tc>
        <w:tc>
          <w:tcPr>
            <w:tcW w:w="2835" w:type="dxa"/>
            <w:vAlign w:val="center"/>
          </w:tcPr>
          <w:p>
            <w:pPr>
              <w:pStyle w:val="10"/>
            </w:pPr>
            <w:r>
              <w:t>项目名称</w:t>
            </w:r>
          </w:p>
        </w:tc>
        <w:tc>
          <w:tcPr>
            <w:tcW w:w="6095" w:type="dxa"/>
            <w:gridSpan w:val="3"/>
            <w:vAlign w:val="center"/>
          </w:tcPr>
          <w:p>
            <w:pPr>
              <w:pStyle w:val="12"/>
            </w:pPr>
            <w:r>
              <w:t>政法委政法信息化及租用光纤经费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3" w:type="dxa"/>
            <w:vMerge w:val="restart"/>
            <w:vAlign w:val="center"/>
          </w:tcPr>
          <w:p>
            <w:pPr>
              <w:pStyle w:val="10"/>
            </w:pPr>
            <w:r>
              <w:t>预算规模及资金用途</w:t>
            </w:r>
          </w:p>
        </w:tc>
        <w:tc>
          <w:tcPr>
            <w:tcW w:w="1871" w:type="dxa"/>
            <w:vAlign w:val="center"/>
          </w:tcPr>
          <w:p>
            <w:pPr>
              <w:pStyle w:val="10"/>
            </w:pPr>
            <w:r>
              <w:t>预算数</w:t>
            </w:r>
          </w:p>
        </w:tc>
        <w:tc>
          <w:tcPr>
            <w:tcW w:w="2835" w:type="dxa"/>
            <w:vAlign w:val="center"/>
          </w:tcPr>
          <w:p>
            <w:pPr>
              <w:pStyle w:val="12"/>
            </w:pPr>
            <w:r>
              <w:t>36.84</w:t>
            </w:r>
          </w:p>
        </w:tc>
        <w:tc>
          <w:tcPr>
            <w:tcW w:w="2835" w:type="dxa"/>
            <w:vAlign w:val="center"/>
          </w:tcPr>
          <w:p>
            <w:pPr>
              <w:pStyle w:val="10"/>
            </w:pPr>
            <w:r>
              <w:t>其中：财政    资金</w:t>
            </w:r>
          </w:p>
        </w:tc>
        <w:tc>
          <w:tcPr>
            <w:tcW w:w="2551" w:type="dxa"/>
            <w:vAlign w:val="center"/>
          </w:tcPr>
          <w:p>
            <w:pPr>
              <w:pStyle w:val="12"/>
            </w:pPr>
            <w:r>
              <w:t>36.84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3" w:type="dxa"/>
            <w:vMerge w:val="continue"/>
          </w:tcPr>
          <w:p/>
        </w:tc>
        <w:tc>
          <w:tcPr>
            <w:tcW w:w="13636" w:type="dxa"/>
            <w:gridSpan w:val="6"/>
            <w:vAlign w:val="center"/>
          </w:tcPr>
          <w:p>
            <w:pPr>
              <w:pStyle w:val="12"/>
            </w:pPr>
            <w:r>
              <w:t>预算数36.84万元，其中县级财政资金36.84万元。主要用于我县光纤租用费用及光纤日常维修费用，按工作安排拨付资金。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3" w:type="dxa"/>
            <w:vMerge w:val="restart"/>
            <w:vAlign w:val="center"/>
          </w:tcPr>
          <w:p>
            <w:pPr>
              <w:pStyle w:val="10"/>
            </w:pPr>
            <w:r>
              <w:t>资金支出计划</w:t>
            </w:r>
          </w:p>
        </w:tc>
        <w:tc>
          <w:tcPr>
            <w:tcW w:w="4706"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3" w:type="dxa"/>
            <w:vMerge w:val="continue"/>
          </w:tcPr>
          <w:p/>
        </w:tc>
        <w:tc>
          <w:tcPr>
            <w:tcW w:w="4706" w:type="dxa"/>
            <w:gridSpan w:val="2"/>
            <w:vAlign w:val="center"/>
          </w:tcPr>
          <w:p>
            <w:pPr>
              <w:pStyle w:val="13"/>
            </w:pPr>
            <w:r>
              <w:t>4.80</w:t>
            </w:r>
          </w:p>
        </w:tc>
        <w:tc>
          <w:tcPr>
            <w:tcW w:w="2835" w:type="dxa"/>
            <w:vAlign w:val="center"/>
          </w:tcPr>
          <w:p>
            <w:pPr>
              <w:pStyle w:val="13"/>
            </w:pPr>
            <w:r>
              <w:t>17.50</w:t>
            </w:r>
          </w:p>
        </w:tc>
        <w:tc>
          <w:tcPr>
            <w:tcW w:w="2551" w:type="dxa"/>
            <w:vAlign w:val="center"/>
          </w:tcPr>
          <w:p>
            <w:pPr>
              <w:pStyle w:val="13"/>
            </w:pPr>
            <w:r>
              <w:t>26.40</w:t>
            </w:r>
          </w:p>
        </w:tc>
        <w:tc>
          <w:tcPr>
            <w:tcW w:w="3544" w:type="dxa"/>
            <w:gridSpan w:val="2"/>
            <w:vAlign w:val="center"/>
          </w:tcPr>
          <w:p>
            <w:pPr>
              <w:pStyle w:val="13"/>
            </w:pPr>
            <w:r>
              <w:t>36.84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673" w:type="dxa"/>
            <w:vAlign w:val="center"/>
          </w:tcPr>
          <w:p>
            <w:pPr>
              <w:pStyle w:val="10"/>
            </w:pPr>
            <w:r>
              <w:t>绩效目标</w:t>
            </w:r>
          </w:p>
        </w:tc>
        <w:tc>
          <w:tcPr>
            <w:tcW w:w="13636" w:type="dxa"/>
            <w:gridSpan w:val="6"/>
            <w:vAlign w:val="center"/>
          </w:tcPr>
          <w:p>
            <w:pPr>
              <w:pStyle w:val="12"/>
            </w:pPr>
            <w:r>
              <w:t>1.通过视频会议系统的正常使用，切实保障两会安保、国庆安保、散煤治理等重点工作圆满完成，保障社会安全稳定。</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73"/>
        <w:gridCol w:w="1871"/>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673" w:type="dxa"/>
            <w:vAlign w:val="center"/>
          </w:tcPr>
          <w:p>
            <w:pPr>
              <w:pStyle w:val="10"/>
            </w:pPr>
            <w:r>
              <w:t>一级指标</w:t>
            </w:r>
          </w:p>
        </w:tc>
        <w:tc>
          <w:tcPr>
            <w:tcW w:w="1871"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73" w:type="dxa"/>
            <w:vMerge w:val="restart"/>
            <w:vAlign w:val="center"/>
          </w:tcPr>
          <w:p>
            <w:pPr>
              <w:pStyle w:val="13"/>
            </w:pPr>
            <w:r>
              <w:t>产出指标</w:t>
            </w:r>
          </w:p>
        </w:tc>
        <w:tc>
          <w:tcPr>
            <w:tcW w:w="1871" w:type="dxa"/>
            <w:vAlign w:val="center"/>
          </w:tcPr>
          <w:p>
            <w:pPr>
              <w:pStyle w:val="12"/>
            </w:pPr>
            <w:r>
              <w:t>数量指标</w:t>
            </w:r>
          </w:p>
        </w:tc>
        <w:tc>
          <w:tcPr>
            <w:tcW w:w="2835" w:type="dxa"/>
            <w:vAlign w:val="center"/>
          </w:tcPr>
          <w:p>
            <w:pPr>
              <w:pStyle w:val="12"/>
            </w:pPr>
            <w:r>
              <w:t>光纤线路检修次数</w:t>
            </w:r>
          </w:p>
        </w:tc>
        <w:tc>
          <w:tcPr>
            <w:tcW w:w="5386" w:type="dxa"/>
            <w:vAlign w:val="center"/>
          </w:tcPr>
          <w:p>
            <w:pPr>
              <w:pStyle w:val="12"/>
            </w:pPr>
            <w:r>
              <w:t>光纤线路年检及维护次数</w:t>
            </w:r>
          </w:p>
        </w:tc>
        <w:tc>
          <w:tcPr>
            <w:tcW w:w="1815" w:type="dxa"/>
            <w:vAlign w:val="center"/>
          </w:tcPr>
          <w:p>
            <w:pPr>
              <w:pStyle w:val="12"/>
            </w:pPr>
            <w:r>
              <w:t>≥3次</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73" w:type="dxa"/>
            <w:vMerge w:val="continue"/>
            <w:vAlign w:val="center"/>
          </w:tcPr>
          <w:p/>
        </w:tc>
        <w:tc>
          <w:tcPr>
            <w:tcW w:w="1871" w:type="dxa"/>
            <w:vAlign w:val="center"/>
          </w:tcPr>
          <w:p>
            <w:pPr>
              <w:pStyle w:val="12"/>
            </w:pPr>
            <w:r>
              <w:t>质量指标</w:t>
            </w:r>
          </w:p>
        </w:tc>
        <w:tc>
          <w:tcPr>
            <w:tcW w:w="2835" w:type="dxa"/>
            <w:vAlign w:val="center"/>
          </w:tcPr>
          <w:p>
            <w:pPr>
              <w:pStyle w:val="12"/>
            </w:pPr>
            <w:r>
              <w:t>系统故障率（%）</w:t>
            </w:r>
          </w:p>
        </w:tc>
        <w:tc>
          <w:tcPr>
            <w:tcW w:w="5386" w:type="dxa"/>
            <w:vAlign w:val="center"/>
          </w:tcPr>
          <w:p>
            <w:pPr>
              <w:pStyle w:val="12"/>
            </w:pPr>
            <w:r>
              <w:t>系统出故障时间占运行总时间的比率</w:t>
            </w:r>
          </w:p>
        </w:tc>
        <w:tc>
          <w:tcPr>
            <w:tcW w:w="1815" w:type="dxa"/>
            <w:vAlign w:val="center"/>
          </w:tcPr>
          <w:p>
            <w:pPr>
              <w:pStyle w:val="12"/>
            </w:pPr>
            <w:r>
              <w:t>≤10%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73" w:type="dxa"/>
            <w:vMerge w:val="continue"/>
            <w:vAlign w:val="center"/>
          </w:tcPr>
          <w:p/>
        </w:tc>
        <w:tc>
          <w:tcPr>
            <w:tcW w:w="1871" w:type="dxa"/>
            <w:vAlign w:val="center"/>
          </w:tcPr>
          <w:p>
            <w:pPr>
              <w:pStyle w:val="12"/>
            </w:pPr>
            <w:r>
              <w:t>时效指标</w:t>
            </w:r>
          </w:p>
        </w:tc>
        <w:tc>
          <w:tcPr>
            <w:tcW w:w="2835" w:type="dxa"/>
            <w:vAlign w:val="center"/>
          </w:tcPr>
          <w:p>
            <w:pPr>
              <w:pStyle w:val="12"/>
            </w:pPr>
            <w:r>
              <w:t>故障维修维护时限</w:t>
            </w:r>
          </w:p>
        </w:tc>
        <w:tc>
          <w:tcPr>
            <w:tcW w:w="5386" w:type="dxa"/>
            <w:vAlign w:val="center"/>
          </w:tcPr>
          <w:p>
            <w:pPr>
              <w:pStyle w:val="12"/>
            </w:pPr>
            <w:r>
              <w:t>故障维修维护时限</w:t>
            </w:r>
          </w:p>
        </w:tc>
        <w:tc>
          <w:tcPr>
            <w:tcW w:w="1815" w:type="dxa"/>
            <w:vAlign w:val="center"/>
          </w:tcPr>
          <w:p>
            <w:pPr>
              <w:pStyle w:val="12"/>
            </w:pPr>
            <w:r>
              <w:t>≤48小时</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73" w:type="dxa"/>
            <w:vMerge w:val="continue"/>
            <w:vAlign w:val="center"/>
          </w:tcPr>
          <w:p/>
        </w:tc>
        <w:tc>
          <w:tcPr>
            <w:tcW w:w="1871" w:type="dxa"/>
            <w:vAlign w:val="center"/>
          </w:tcPr>
          <w:p>
            <w:pPr>
              <w:pStyle w:val="12"/>
            </w:pPr>
            <w:r>
              <w:t>成本指标</w:t>
            </w:r>
          </w:p>
        </w:tc>
        <w:tc>
          <w:tcPr>
            <w:tcW w:w="2835" w:type="dxa"/>
            <w:vAlign w:val="center"/>
          </w:tcPr>
          <w:p>
            <w:pPr>
              <w:pStyle w:val="12"/>
            </w:pPr>
            <w:r>
              <w:t>光纤租用成本</w:t>
            </w:r>
          </w:p>
        </w:tc>
        <w:tc>
          <w:tcPr>
            <w:tcW w:w="5386" w:type="dxa"/>
            <w:vAlign w:val="center"/>
          </w:tcPr>
          <w:p>
            <w:pPr>
              <w:pStyle w:val="12"/>
            </w:pPr>
            <w:r>
              <w:t>单个光纤年均租用成本的金额</w:t>
            </w:r>
          </w:p>
        </w:tc>
        <w:tc>
          <w:tcPr>
            <w:tcW w:w="1815" w:type="dxa"/>
            <w:vAlign w:val="center"/>
          </w:tcPr>
          <w:p>
            <w:pPr>
              <w:pStyle w:val="12"/>
            </w:pPr>
            <w:r>
              <w:t>2400元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73" w:type="dxa"/>
            <w:vAlign w:val="center"/>
          </w:tcPr>
          <w:p>
            <w:pPr>
              <w:pStyle w:val="13"/>
            </w:pPr>
            <w:r>
              <w:t>效益指标</w:t>
            </w:r>
          </w:p>
        </w:tc>
        <w:tc>
          <w:tcPr>
            <w:tcW w:w="1871" w:type="dxa"/>
            <w:vAlign w:val="center"/>
          </w:tcPr>
          <w:p>
            <w:pPr>
              <w:pStyle w:val="12"/>
            </w:pPr>
            <w:r>
              <w:t>社会效益指标</w:t>
            </w:r>
          </w:p>
        </w:tc>
        <w:tc>
          <w:tcPr>
            <w:tcW w:w="2835" w:type="dxa"/>
            <w:vAlign w:val="center"/>
          </w:tcPr>
          <w:p>
            <w:pPr>
              <w:pStyle w:val="12"/>
            </w:pPr>
            <w:r>
              <w:t>信息化建设各项工作保障率</w:t>
            </w:r>
          </w:p>
        </w:tc>
        <w:tc>
          <w:tcPr>
            <w:tcW w:w="5386" w:type="dxa"/>
            <w:vAlign w:val="center"/>
          </w:tcPr>
          <w:p>
            <w:pPr>
              <w:pStyle w:val="12"/>
            </w:pPr>
            <w:r>
              <w:t>信息化建设各项工作保障率</w:t>
            </w:r>
          </w:p>
        </w:tc>
        <w:tc>
          <w:tcPr>
            <w:tcW w:w="1815" w:type="dxa"/>
            <w:vAlign w:val="center"/>
          </w:tcPr>
          <w:p>
            <w:pPr>
              <w:pStyle w:val="12"/>
            </w:pPr>
            <w:r>
              <w:t>≥92%</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673" w:type="dxa"/>
            <w:vAlign w:val="center"/>
          </w:tcPr>
          <w:p>
            <w:pPr>
              <w:pStyle w:val="13"/>
            </w:pPr>
            <w:r>
              <w:t>满意度指标</w:t>
            </w:r>
          </w:p>
        </w:tc>
        <w:tc>
          <w:tcPr>
            <w:tcW w:w="1871" w:type="dxa"/>
            <w:vAlign w:val="center"/>
          </w:tcPr>
          <w:p>
            <w:pPr>
              <w:pStyle w:val="12"/>
            </w:pPr>
            <w:r>
              <w:t>服务对象满意度指标</w:t>
            </w:r>
          </w:p>
        </w:tc>
        <w:tc>
          <w:tcPr>
            <w:tcW w:w="2835" w:type="dxa"/>
            <w:vAlign w:val="center"/>
          </w:tcPr>
          <w:p>
            <w:pPr>
              <w:pStyle w:val="12"/>
            </w:pPr>
            <w:r>
              <w:t>服务受益对象满意度</w:t>
            </w:r>
          </w:p>
        </w:tc>
        <w:tc>
          <w:tcPr>
            <w:tcW w:w="5386" w:type="dxa"/>
            <w:vAlign w:val="center"/>
          </w:tcPr>
          <w:p>
            <w:pPr>
              <w:pStyle w:val="12"/>
            </w:pPr>
            <w:r>
              <w:t>服务受益对象满意度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ascii="黑体" w:hAnsi="黑体" w:eastAsia="黑体" w:cs="黑体"/>
          <w:color w:val="000000"/>
          <w:sz w:val="32"/>
        </w:rPr>
        <w:t>、政府采购预算情况</w:t>
      </w:r>
      <w:bookmarkEnd w:id="15"/>
    </w:p>
    <w:p>
      <w:pPr>
        <w:jc w:val="center"/>
      </w:pPr>
      <w:r>
        <w:rPr>
          <w:rFonts w:ascii="方正小标宋_GBK" w:hAnsi="方正小标宋_GBK" w:eastAsia="方正小标宋_GBK" w:cs="方正小标宋_GBK"/>
          <w:color w:val="000000"/>
          <w:sz w:val="36"/>
        </w:rPr>
        <w:t>部门政府采购预算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216中国共产党曲阳县委员会政法委员会</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84.37</w:t>
            </w:r>
          </w:p>
        </w:tc>
        <w:tc>
          <w:tcPr>
            <w:tcW w:w="964" w:type="dxa"/>
            <w:vAlign w:val="center"/>
          </w:tcPr>
          <w:p>
            <w:pPr>
              <w:pStyle w:val="15"/>
            </w:pPr>
            <w:r>
              <w:t>84.37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中国共产党曲阳县委员会政法委员会本级小计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84.37</w:t>
            </w:r>
          </w:p>
        </w:tc>
        <w:tc>
          <w:tcPr>
            <w:tcW w:w="964" w:type="dxa"/>
            <w:vAlign w:val="center"/>
          </w:tcPr>
          <w:p>
            <w:pPr>
              <w:pStyle w:val="15"/>
            </w:pPr>
            <w:r>
              <w:t>84.37</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78.07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7.25</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10</w:t>
            </w:r>
          </w:p>
        </w:tc>
        <w:tc>
          <w:tcPr>
            <w:tcW w:w="850" w:type="dxa"/>
            <w:vAlign w:val="center"/>
          </w:tcPr>
          <w:p>
            <w:pPr>
              <w:pStyle w:val="11"/>
            </w:pPr>
            <w:r>
              <w:t>0.02</w:t>
            </w:r>
          </w:p>
        </w:tc>
        <w:tc>
          <w:tcPr>
            <w:tcW w:w="964" w:type="dxa"/>
            <w:vAlign w:val="center"/>
          </w:tcPr>
          <w:p>
            <w:pPr>
              <w:pStyle w:val="11"/>
            </w:pPr>
            <w:r>
              <w:t>0.22</w:t>
            </w:r>
          </w:p>
        </w:tc>
        <w:tc>
          <w:tcPr>
            <w:tcW w:w="964" w:type="dxa"/>
            <w:vAlign w:val="center"/>
          </w:tcPr>
          <w:p>
            <w:pPr>
              <w:pStyle w:val="11"/>
            </w:pPr>
            <w:r>
              <w:t>0.22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7.25</w:t>
            </w:r>
          </w:p>
        </w:tc>
        <w:tc>
          <w:tcPr>
            <w:tcW w:w="1134" w:type="dxa"/>
            <w:vAlign w:val="center"/>
          </w:tcPr>
          <w:p>
            <w:pPr>
              <w:pStyle w:val="12"/>
            </w:pPr>
            <w:r>
              <w:t>其他运行维护服务</w:t>
            </w:r>
          </w:p>
        </w:tc>
        <w:tc>
          <w:tcPr>
            <w:tcW w:w="1134" w:type="dxa"/>
            <w:vAlign w:val="center"/>
          </w:tcPr>
          <w:p>
            <w:pPr>
              <w:pStyle w:val="12"/>
            </w:pPr>
            <w:r>
              <w:t>C16079900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7.25</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升</w:t>
            </w:r>
          </w:p>
        </w:tc>
        <w:tc>
          <w:tcPr>
            <w:tcW w:w="850" w:type="dxa"/>
            <w:vAlign w:val="center"/>
          </w:tcPr>
          <w:p>
            <w:pPr>
              <w:pStyle w:val="11"/>
            </w:pPr>
            <w:r>
              <w:t>3000</w:t>
            </w:r>
          </w:p>
        </w:tc>
        <w:tc>
          <w:tcPr>
            <w:tcW w:w="850" w:type="dxa"/>
            <w:vAlign w:val="center"/>
          </w:tcPr>
          <w:p>
            <w:pPr>
              <w:pStyle w:val="11"/>
            </w:pPr>
            <w:r>
              <w:t>0.00</w:t>
            </w:r>
          </w:p>
        </w:tc>
        <w:tc>
          <w:tcPr>
            <w:tcW w:w="964" w:type="dxa"/>
            <w:vAlign w:val="center"/>
          </w:tcPr>
          <w:p>
            <w:pPr>
              <w:pStyle w:val="11"/>
            </w:pPr>
            <w:r>
              <w:t>2.40</w:t>
            </w:r>
          </w:p>
        </w:tc>
        <w:tc>
          <w:tcPr>
            <w:tcW w:w="964" w:type="dxa"/>
            <w:vAlign w:val="center"/>
          </w:tcPr>
          <w:p>
            <w:pPr>
              <w:pStyle w:val="11"/>
            </w:pPr>
            <w:r>
              <w:t>2.40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政法委”雪亮工程“建设保障项目</w:t>
            </w:r>
          </w:p>
        </w:tc>
        <w:tc>
          <w:tcPr>
            <w:tcW w:w="964" w:type="dxa"/>
            <w:vAlign w:val="center"/>
          </w:tcPr>
          <w:p>
            <w:pPr>
              <w:pStyle w:val="11"/>
            </w:pPr>
            <w:r>
              <w:t>14.88</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2</w:t>
            </w:r>
          </w:p>
        </w:tc>
        <w:tc>
          <w:tcPr>
            <w:tcW w:w="850" w:type="dxa"/>
            <w:vAlign w:val="center"/>
          </w:tcPr>
          <w:p>
            <w:pPr>
              <w:pStyle w:val="11"/>
            </w:pPr>
            <w:r>
              <w:t>7.44</w:t>
            </w:r>
          </w:p>
        </w:tc>
        <w:tc>
          <w:tcPr>
            <w:tcW w:w="964" w:type="dxa"/>
            <w:vAlign w:val="center"/>
          </w:tcPr>
          <w:p>
            <w:pPr>
              <w:pStyle w:val="11"/>
            </w:pPr>
            <w:r>
              <w:t>14.88</w:t>
            </w:r>
          </w:p>
        </w:tc>
        <w:tc>
          <w:tcPr>
            <w:tcW w:w="964" w:type="dxa"/>
            <w:vAlign w:val="center"/>
          </w:tcPr>
          <w:p>
            <w:pPr>
              <w:pStyle w:val="11"/>
            </w:pPr>
            <w:r>
              <w:t>14.88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14.88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政法委防范和处理邪教组织经费</w:t>
            </w:r>
          </w:p>
        </w:tc>
        <w:tc>
          <w:tcPr>
            <w:tcW w:w="964" w:type="dxa"/>
            <w:vAlign w:val="center"/>
          </w:tcPr>
          <w:p>
            <w:pPr>
              <w:pStyle w:val="11"/>
            </w:pPr>
            <w:r>
              <w:t>15.00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8</w:t>
            </w:r>
          </w:p>
        </w:tc>
        <w:tc>
          <w:tcPr>
            <w:tcW w:w="850" w:type="dxa"/>
            <w:vAlign w:val="center"/>
          </w:tcPr>
          <w:p>
            <w:pPr>
              <w:pStyle w:val="11"/>
            </w:pPr>
            <w:r>
              <w:t>0.02</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政法委社会治安综合治理项目</w:t>
            </w:r>
          </w:p>
        </w:tc>
        <w:tc>
          <w:tcPr>
            <w:tcW w:w="964" w:type="dxa"/>
            <w:vAlign w:val="center"/>
          </w:tcPr>
          <w:p>
            <w:pPr>
              <w:pStyle w:val="11"/>
            </w:pPr>
            <w:r>
              <w:t>51.00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5</w:t>
            </w:r>
          </w:p>
        </w:tc>
        <w:tc>
          <w:tcPr>
            <w:tcW w:w="850" w:type="dxa"/>
            <w:vAlign w:val="center"/>
          </w:tcPr>
          <w:p>
            <w:pPr>
              <w:pStyle w:val="11"/>
            </w:pPr>
            <w:r>
              <w:t>0.02</w:t>
            </w:r>
          </w:p>
        </w:tc>
        <w:tc>
          <w:tcPr>
            <w:tcW w:w="964" w:type="dxa"/>
            <w:vAlign w:val="center"/>
          </w:tcPr>
          <w:p>
            <w:pPr>
              <w:pStyle w:val="11"/>
            </w:pPr>
            <w:r>
              <w:t>0.11</w:t>
            </w:r>
          </w:p>
        </w:tc>
        <w:tc>
          <w:tcPr>
            <w:tcW w:w="964" w:type="dxa"/>
            <w:vAlign w:val="center"/>
          </w:tcPr>
          <w:p>
            <w:pPr>
              <w:pStyle w:val="11"/>
            </w:pPr>
            <w:r>
              <w:t>0.11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政法委社会治安综合治理项目</w:t>
            </w:r>
          </w:p>
        </w:tc>
        <w:tc>
          <w:tcPr>
            <w:tcW w:w="964" w:type="dxa"/>
            <w:vAlign w:val="center"/>
          </w:tcPr>
          <w:p>
            <w:pPr>
              <w:pStyle w:val="11"/>
            </w:pPr>
            <w:r>
              <w:t>51.00</w:t>
            </w:r>
          </w:p>
        </w:tc>
        <w:tc>
          <w:tcPr>
            <w:tcW w:w="1134" w:type="dxa"/>
            <w:vAlign w:val="center"/>
          </w:tcPr>
          <w:p>
            <w:pPr>
              <w:pStyle w:val="12"/>
            </w:pPr>
            <w:r>
              <w:t>一般会议服务</w:t>
            </w:r>
          </w:p>
        </w:tc>
        <w:tc>
          <w:tcPr>
            <w:tcW w:w="1134" w:type="dxa"/>
            <w:vAlign w:val="center"/>
          </w:tcPr>
          <w:p>
            <w:pPr>
              <w:pStyle w:val="12"/>
            </w:pPr>
            <w:r>
              <w:t>C22010200</w:t>
            </w:r>
          </w:p>
        </w:tc>
        <w:tc>
          <w:tcPr>
            <w:tcW w:w="709" w:type="dxa"/>
            <w:vAlign w:val="center"/>
          </w:tcPr>
          <w:p>
            <w:pPr>
              <w:pStyle w:val="13"/>
            </w:pPr>
            <w:r>
              <w:t>人次</w:t>
            </w:r>
          </w:p>
        </w:tc>
        <w:tc>
          <w:tcPr>
            <w:tcW w:w="850" w:type="dxa"/>
            <w:vAlign w:val="center"/>
          </w:tcPr>
          <w:p>
            <w:pPr>
              <w:pStyle w:val="11"/>
            </w:pPr>
            <w:r>
              <w:t>200</w:t>
            </w:r>
          </w:p>
        </w:tc>
        <w:tc>
          <w:tcPr>
            <w:tcW w:w="850" w:type="dxa"/>
            <w:vAlign w:val="center"/>
          </w:tcPr>
          <w:p>
            <w:pPr>
              <w:pStyle w:val="11"/>
            </w:pPr>
            <w:r>
              <w:t>0.01</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政法委社会治安综合治理项目</w:t>
            </w:r>
          </w:p>
        </w:tc>
        <w:tc>
          <w:tcPr>
            <w:tcW w:w="964" w:type="dxa"/>
            <w:vAlign w:val="center"/>
          </w:tcPr>
          <w:p>
            <w:pPr>
              <w:pStyle w:val="11"/>
            </w:pPr>
            <w:r>
              <w:t>51.00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次</w:t>
            </w:r>
          </w:p>
        </w:tc>
        <w:tc>
          <w:tcPr>
            <w:tcW w:w="850" w:type="dxa"/>
            <w:vAlign w:val="center"/>
          </w:tcPr>
          <w:p>
            <w:pPr>
              <w:pStyle w:val="11"/>
            </w:pPr>
            <w:r>
              <w:t>10</w:t>
            </w:r>
          </w:p>
        </w:tc>
        <w:tc>
          <w:tcPr>
            <w:tcW w:w="850" w:type="dxa"/>
            <w:vAlign w:val="center"/>
          </w:tcPr>
          <w:p>
            <w:pPr>
              <w:pStyle w:val="11"/>
            </w:pPr>
            <w:r>
              <w:t>2.40</w:t>
            </w:r>
          </w:p>
        </w:tc>
        <w:tc>
          <w:tcPr>
            <w:tcW w:w="964" w:type="dxa"/>
            <w:vAlign w:val="center"/>
          </w:tcPr>
          <w:p>
            <w:pPr>
              <w:pStyle w:val="11"/>
            </w:pPr>
            <w:r>
              <w:t>24.00</w:t>
            </w:r>
          </w:p>
        </w:tc>
        <w:tc>
          <w:tcPr>
            <w:tcW w:w="964" w:type="dxa"/>
            <w:vAlign w:val="center"/>
          </w:tcPr>
          <w:p>
            <w:pPr>
              <w:pStyle w:val="11"/>
            </w:pPr>
            <w:r>
              <w:t>24.00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政法委疫情防控视频监控接入项目经费</w:t>
            </w:r>
          </w:p>
        </w:tc>
        <w:tc>
          <w:tcPr>
            <w:tcW w:w="964" w:type="dxa"/>
            <w:vAlign w:val="center"/>
          </w:tcPr>
          <w:p>
            <w:pPr>
              <w:pStyle w:val="11"/>
            </w:pPr>
            <w:r>
              <w:t>33.44</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1</w:t>
            </w:r>
          </w:p>
        </w:tc>
        <w:tc>
          <w:tcPr>
            <w:tcW w:w="850" w:type="dxa"/>
            <w:vAlign w:val="center"/>
          </w:tcPr>
          <w:p>
            <w:pPr>
              <w:pStyle w:val="11"/>
            </w:pPr>
            <w:r>
              <w:t>6.30</w:t>
            </w:r>
          </w:p>
        </w:tc>
        <w:tc>
          <w:tcPr>
            <w:tcW w:w="964" w:type="dxa"/>
            <w:vAlign w:val="center"/>
          </w:tcPr>
          <w:p>
            <w:pPr>
              <w:pStyle w:val="11"/>
            </w:pPr>
            <w:r>
              <w:t>6.30</w:t>
            </w:r>
          </w:p>
        </w:tc>
        <w:tc>
          <w:tcPr>
            <w:tcW w:w="964" w:type="dxa"/>
            <w:vAlign w:val="center"/>
          </w:tcPr>
          <w:p>
            <w:pPr>
              <w:pStyle w:val="11"/>
            </w:pPr>
            <w:r>
              <w:t>6.30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政法委政法信息化及租用光纤经费</w:t>
            </w:r>
          </w:p>
        </w:tc>
        <w:tc>
          <w:tcPr>
            <w:tcW w:w="964" w:type="dxa"/>
            <w:vAlign w:val="center"/>
          </w:tcPr>
          <w:p>
            <w:pPr>
              <w:pStyle w:val="11"/>
            </w:pPr>
            <w:r>
              <w:t>36.84</w:t>
            </w:r>
          </w:p>
        </w:tc>
        <w:tc>
          <w:tcPr>
            <w:tcW w:w="1134" w:type="dxa"/>
            <w:vAlign w:val="center"/>
          </w:tcPr>
          <w:p>
            <w:pPr>
              <w:pStyle w:val="12"/>
            </w:pPr>
            <w:r>
              <w:t>网络接入服务</w:t>
            </w:r>
          </w:p>
        </w:tc>
        <w:tc>
          <w:tcPr>
            <w:tcW w:w="1134" w:type="dxa"/>
            <w:vAlign w:val="center"/>
          </w:tcPr>
          <w:p>
            <w:pPr>
              <w:pStyle w:val="12"/>
            </w:pPr>
            <w:r>
              <w:t>C17010200</w:t>
            </w:r>
          </w:p>
        </w:tc>
        <w:tc>
          <w:tcPr>
            <w:tcW w:w="709" w:type="dxa"/>
            <w:vAlign w:val="center"/>
          </w:tcPr>
          <w:p>
            <w:pPr>
              <w:pStyle w:val="13"/>
            </w:pPr>
            <w:r>
              <w:t>年</w:t>
            </w:r>
          </w:p>
        </w:tc>
        <w:tc>
          <w:tcPr>
            <w:tcW w:w="850" w:type="dxa"/>
            <w:vAlign w:val="center"/>
          </w:tcPr>
          <w:p>
            <w:pPr>
              <w:pStyle w:val="11"/>
            </w:pPr>
            <w:r>
              <w:t>2</w:t>
            </w:r>
          </w:p>
        </w:tc>
        <w:tc>
          <w:tcPr>
            <w:tcW w:w="850" w:type="dxa"/>
            <w:vAlign w:val="center"/>
          </w:tcPr>
          <w:p>
            <w:pPr>
              <w:pStyle w:val="11"/>
            </w:pPr>
            <w:r>
              <w:t>17.04</w:t>
            </w:r>
          </w:p>
        </w:tc>
        <w:tc>
          <w:tcPr>
            <w:tcW w:w="964" w:type="dxa"/>
            <w:vAlign w:val="center"/>
          </w:tcPr>
          <w:p>
            <w:pPr>
              <w:pStyle w:val="11"/>
            </w:pPr>
            <w:r>
              <w:t>34.08</w:t>
            </w:r>
          </w:p>
        </w:tc>
        <w:tc>
          <w:tcPr>
            <w:tcW w:w="964" w:type="dxa"/>
            <w:vAlign w:val="center"/>
          </w:tcPr>
          <w:p>
            <w:pPr>
              <w:pStyle w:val="11"/>
            </w:pPr>
            <w:r>
              <w:t>34.08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34.08</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10" w:after="10"/>
        <w:ind w:firstLine="640"/>
        <w:outlineLvl w:val="2"/>
      </w:pPr>
      <w:bookmarkStart w:id="16" w:name="_Toc_3_3_0000000018"/>
      <w:r>
        <w:rPr>
          <w:rFonts w:hint="eastAsia" w:ascii="黑体" w:hAnsi="黑体" w:eastAsia="黑体" w:cs="黑体"/>
          <w:color w:val="000000"/>
          <w:sz w:val="32"/>
          <w:lang w:eastAsia="zh-CN"/>
        </w:rPr>
        <w:t>八</w:t>
      </w:r>
      <w:r>
        <w:rPr>
          <w:rFonts w:ascii="黑体" w:hAnsi="黑体" w:eastAsia="黑体" w:cs="黑体"/>
          <w:color w:val="000000"/>
          <w:sz w:val="32"/>
        </w:rPr>
        <w:t>、国有资产信息</w:t>
      </w:r>
      <w:bookmarkEnd w:id="16"/>
    </w:p>
    <w:p>
      <w:pPr>
        <w:spacing w:line="500" w:lineRule="exact"/>
        <w:ind w:firstLine="560"/>
      </w:pPr>
      <w:r>
        <w:rPr>
          <w:rFonts w:eastAsia="方正仿宋_GBK"/>
          <w:color w:val="000000"/>
          <w:sz w:val="28"/>
        </w:rPr>
        <w:t>中国共产党曲阳县委员会政法委员会（含所属单位）上年末固定资产金额为35.11万元（详见下表）。本年度拟购置固定资产总额为0.00万元，已按要求列入政府采购预算，详见政府采购预算表。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216中国共产党曲阳县委员会政法委员会</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91</w:t>
            </w:r>
          </w:p>
        </w:tc>
        <w:tc>
          <w:tcPr>
            <w:tcW w:w="2835" w:type="dxa"/>
            <w:vAlign w:val="center"/>
          </w:tcPr>
          <w:p>
            <w:pPr>
              <w:pStyle w:val="11"/>
            </w:pPr>
            <w:r>
              <w:t>27.57</w:t>
            </w:r>
          </w:p>
        </w:tc>
      </w:tr>
    </w:tbl>
    <w:p>
      <w:pPr>
        <w:ind w:firstLine="640"/>
      </w:pPr>
    </w:p>
    <w:p>
      <w:pPr>
        <w:spacing w:before="10" w:after="10"/>
        <w:ind w:firstLine="640"/>
        <w:outlineLvl w:val="2"/>
        <w:rPr>
          <w:rFonts w:hint="eastAsia" w:ascii="黑体" w:hAnsi="黑体" w:eastAsia="黑体" w:cs="黑体"/>
          <w:color w:val="000000"/>
          <w:sz w:val="32"/>
          <w:lang w:eastAsia="zh-CN"/>
        </w:rPr>
      </w:pPr>
      <w:bookmarkStart w:id="17" w:name="_Toc_3_3_0000000019"/>
    </w:p>
    <w:p>
      <w:pPr>
        <w:spacing w:before="10" w:after="10"/>
        <w:ind w:firstLine="640"/>
        <w:outlineLvl w:val="2"/>
        <w:rPr>
          <w:rFonts w:hint="eastAsia" w:ascii="黑体" w:hAnsi="黑体" w:eastAsia="黑体" w:cs="黑体"/>
          <w:color w:val="000000"/>
          <w:sz w:val="32"/>
          <w:lang w:eastAsia="zh-CN"/>
        </w:rPr>
      </w:pPr>
    </w:p>
    <w:p>
      <w:pPr>
        <w:spacing w:before="10" w:after="10"/>
        <w:ind w:firstLine="640"/>
        <w:outlineLvl w:val="2"/>
      </w:pPr>
      <w:r>
        <w:rPr>
          <w:rFonts w:hint="eastAsia" w:ascii="黑体" w:hAnsi="黑体" w:eastAsia="黑体" w:cs="黑体"/>
          <w:color w:val="000000"/>
          <w:sz w:val="32"/>
          <w:lang w:eastAsia="zh-CN"/>
        </w:rPr>
        <w:t>九</w:t>
      </w:r>
      <w:r>
        <w:rPr>
          <w:rFonts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ascii="黑体" w:hAnsi="黑体" w:eastAsia="黑体" w:cs="黑体"/>
          <w:color w:val="000000"/>
          <w:sz w:val="32"/>
        </w:rPr>
        <w:t>十、其他需要说明的事项</w:t>
      </w:r>
      <w:bookmarkEnd w:id="18"/>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983E43"/>
    <w:rsid w:val="006168D0"/>
    <w:rsid w:val="00983E43"/>
    <w:rsid w:val="00B701A7"/>
    <w:rsid w:val="00CB7FE0"/>
    <w:rsid w:val="00E7644B"/>
    <w:rsid w:val="3D884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basedOn w:val="1"/>
    <w:qFormat/>
    <w:uiPriority w:val="0"/>
    <w:pPr>
      <w:jc w:val="right"/>
    </w:pPr>
    <w:rPr>
      <w:rFonts w:ascii="方正书宋_GBK" w:hAnsi="方正书宋_GBK" w:eastAsia="方正书宋_GBK" w:cs="方正书宋_GBK"/>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9" Type="http://schemas.openxmlformats.org/officeDocument/2006/relationships/fontTable" Target="fontTable.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2024-02-21T16:46:54Z</dcterms:created>
  <dcterms:modified xsi:type="dcterms:W3CDTF">2024-02-21T08:46:54Z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2024-02-21T16:46:52Z</dcterms:created>
  <dcterms:modified xsi:type="dcterms:W3CDTF">2024-02-21T08:46:52Z</dcterms:modified>
</cp:core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2024-02-21T16:46:53Z</dcterms:created>
  <dcterms:modified xsi:type="dcterms:W3CDTF">2024-02-21T08:46:53Z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2024-02-21T16:46:53Z</dcterms:created>
  <dcterms:modified xsi:type="dcterms:W3CDTF">2024-02-21T08:46:53Z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2024-02-21T16:46:50Z</dcterms:created>
  <dcterms:modified xsi:type="dcterms:W3CDTF">2024-02-21T08:46:50Z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2024-02-21T16:46:53Z</dcterms:created>
  <dcterms:modified xsi:type="dcterms:W3CDTF">2024-02-21T08:46:53Z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2024-02-21T16:46:52Z</dcterms:created>
  <dcterms:modified xsi:type="dcterms:W3CDTF">2024-02-21T08:46:52Z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2024-02-21T16:46:53Z</dcterms:created>
  <dcterms:modified xsi:type="dcterms:W3CDTF">2024-02-21T08:46:53Z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2024-02-21T16:46:52Z</dcterms:created>
  <dcterms:modified xsi:type="dcterms:W3CDTF">2024-02-21T08:46:52Z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2024-02-21T16:46:54Z</dcterms:created>
  <dcterms:modified xsi:type="dcterms:W3CDTF">2024-02-21T08:46:54Z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2024-02-21T16:46:52Z</dcterms:created>
  <dcterms:modified xsi:type="dcterms:W3CDTF">2024-02-21T08:46:52Z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72334BCA-BB58-42A8-8D8C-31637F3D32B8}">
  <ds:schemaRefs/>
</ds:datastoreItem>
</file>

<file path=customXml/itemProps11.xml><?xml version="1.0" encoding="utf-8"?>
<ds:datastoreItem xmlns:ds="http://schemas.openxmlformats.org/officeDocument/2006/customXml" ds:itemID="{ACE528C7-8B25-4D84-9F36-5D22C4649577}">
  <ds:schemaRefs/>
</ds:datastoreItem>
</file>

<file path=customXml/itemProps12.xml><?xml version="1.0" encoding="utf-8"?>
<ds:datastoreItem xmlns:ds="http://schemas.openxmlformats.org/officeDocument/2006/customXml" ds:itemID="{BD4CB06B-376C-48A8-B78A-C4B29D9C9366}">
  <ds:schemaRefs/>
</ds:datastoreItem>
</file>

<file path=customXml/itemProps13.xml><?xml version="1.0" encoding="utf-8"?>
<ds:datastoreItem xmlns:ds="http://schemas.openxmlformats.org/officeDocument/2006/customXml" ds:itemID="{7C61458A-FDBA-440F-8E3A-0E6663D911EA}">
  <ds:schemaRefs/>
</ds:datastoreItem>
</file>

<file path=customXml/itemProps14.xml><?xml version="1.0" encoding="utf-8"?>
<ds:datastoreItem xmlns:ds="http://schemas.openxmlformats.org/officeDocument/2006/customXml" ds:itemID="{DAA25F49-146C-422F-9DAE-D1458FA26E54}">
  <ds:schemaRefs/>
</ds:datastoreItem>
</file>

<file path=customXml/itemProps15.xml><?xml version="1.0" encoding="utf-8"?>
<ds:datastoreItem xmlns:ds="http://schemas.openxmlformats.org/officeDocument/2006/customXml" ds:itemID="{E9700E9F-71E0-40A9-B5AA-8BFE56894108}">
  <ds:schemaRefs/>
</ds:datastoreItem>
</file>

<file path=customXml/itemProps16.xml><?xml version="1.0" encoding="utf-8"?>
<ds:datastoreItem xmlns:ds="http://schemas.openxmlformats.org/officeDocument/2006/customXml" ds:itemID="{13E98C86-BCA9-40A7-883E-D6DDE9BCCB9C}">
  <ds:schemaRefs/>
</ds:datastoreItem>
</file>

<file path=customXml/itemProps17.xml><?xml version="1.0" encoding="utf-8"?>
<ds:datastoreItem xmlns:ds="http://schemas.openxmlformats.org/officeDocument/2006/customXml" ds:itemID="{073EF0FF-A407-4506-A22C-FEAAD05EE564}">
  <ds:schemaRefs/>
</ds:datastoreItem>
</file>

<file path=customXml/itemProps18.xml><?xml version="1.0" encoding="utf-8"?>
<ds:datastoreItem xmlns:ds="http://schemas.openxmlformats.org/officeDocument/2006/customXml" ds:itemID="{1FAA7152-4284-42A0-81AA-72D95F5A990F}">
  <ds:schemaRefs/>
</ds:datastoreItem>
</file>

<file path=customXml/itemProps19.xml><?xml version="1.0" encoding="utf-8"?>
<ds:datastoreItem xmlns:ds="http://schemas.openxmlformats.org/officeDocument/2006/customXml" ds:itemID="{5F300ED3-5784-4E51-9018-23EF79034464}">
  <ds:schemaRefs/>
</ds:datastoreItem>
</file>

<file path=customXml/itemProps2.xml><?xml version="1.0" encoding="utf-8"?>
<ds:datastoreItem xmlns:ds="http://schemas.openxmlformats.org/officeDocument/2006/customXml" ds:itemID="{000E4CAC-C36B-4318-AFDC-A2B64EC0C80B}">
  <ds:schemaRefs/>
</ds:datastoreItem>
</file>

<file path=customXml/itemProps20.xml><?xml version="1.0" encoding="utf-8"?>
<ds:datastoreItem xmlns:ds="http://schemas.openxmlformats.org/officeDocument/2006/customXml" ds:itemID="{A44D8C22-94C6-4C73-B74D-98656AA92859}">
  <ds:schemaRefs/>
</ds:datastoreItem>
</file>

<file path=customXml/itemProps21.xml><?xml version="1.0" encoding="utf-8"?>
<ds:datastoreItem xmlns:ds="http://schemas.openxmlformats.org/officeDocument/2006/customXml" ds:itemID="{A15A1556-CA78-4D57-92AA-3027A07210D5}">
  <ds:schemaRefs/>
</ds:datastoreItem>
</file>

<file path=customXml/itemProps22.xml><?xml version="1.0" encoding="utf-8"?>
<ds:datastoreItem xmlns:ds="http://schemas.openxmlformats.org/officeDocument/2006/customXml" ds:itemID="{C168DF55-27CF-432D-9772-1F88AFF6EB81}">
  <ds:schemaRefs/>
</ds:datastoreItem>
</file>

<file path=customXml/itemProps23.xml><?xml version="1.0" encoding="utf-8"?>
<ds:datastoreItem xmlns:ds="http://schemas.openxmlformats.org/officeDocument/2006/customXml" ds:itemID="{CC796AC2-A559-478F-8522-D44460E3D993}">
  <ds:schemaRefs/>
</ds:datastoreItem>
</file>

<file path=customXml/itemProps3.xml><?xml version="1.0" encoding="utf-8"?>
<ds:datastoreItem xmlns:ds="http://schemas.openxmlformats.org/officeDocument/2006/customXml" ds:itemID="{D8ECB782-D6EB-4647-B9BB-1C00F30E5F85}">
  <ds:schemaRefs/>
</ds:datastoreItem>
</file>

<file path=customXml/itemProps4.xml><?xml version="1.0" encoding="utf-8"?>
<ds:datastoreItem xmlns:ds="http://schemas.openxmlformats.org/officeDocument/2006/customXml" ds:itemID="{270DC273-C14A-490A-9EED-E099502ED69D}">
  <ds:schemaRefs/>
</ds:datastoreItem>
</file>

<file path=customXml/itemProps5.xml><?xml version="1.0" encoding="utf-8"?>
<ds:datastoreItem xmlns:ds="http://schemas.openxmlformats.org/officeDocument/2006/customXml" ds:itemID="{4924F747-416F-4998-9298-A8B1A4125A0D}">
  <ds:schemaRefs/>
</ds:datastoreItem>
</file>

<file path=customXml/itemProps6.xml><?xml version="1.0" encoding="utf-8"?>
<ds:datastoreItem xmlns:ds="http://schemas.openxmlformats.org/officeDocument/2006/customXml" ds:itemID="{1488B730-8D71-4D1C-9341-FFA57A297C29}">
  <ds:schemaRefs/>
</ds:datastoreItem>
</file>

<file path=customXml/itemProps7.xml><?xml version="1.0" encoding="utf-8"?>
<ds:datastoreItem xmlns:ds="http://schemas.openxmlformats.org/officeDocument/2006/customXml" ds:itemID="{9008EE2B-1798-473A-A724-B8104AFE20EF}">
  <ds:schemaRefs/>
</ds:datastoreItem>
</file>

<file path=customXml/itemProps8.xml><?xml version="1.0" encoding="utf-8"?>
<ds:datastoreItem xmlns:ds="http://schemas.openxmlformats.org/officeDocument/2006/customXml" ds:itemID="{4CA6341B-C911-41D1-B406-3A31BC3F381F}">
  <ds:schemaRefs/>
</ds:datastoreItem>
</file>

<file path=customXml/itemProps9.xml><?xml version="1.0" encoding="utf-8"?>
<ds:datastoreItem xmlns:ds="http://schemas.openxmlformats.org/officeDocument/2006/customXml" ds:itemID="{7715431E-660B-4CBD-AFF0-BCF4C42A80B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34</Pages>
  <Words>2703</Words>
  <Characters>15408</Characters>
  <Lines>128</Lines>
  <Paragraphs>36</Paragraphs>
  <TotalTime>5</TotalTime>
  <ScaleCrop>false</ScaleCrop>
  <LinksUpToDate>false</LinksUpToDate>
  <CharactersWithSpaces>18075</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2024-02-21T08:49:00Z</dcterms:created>
  <dc:creator>Administrator</dc:creator>
  <cp:lastModifiedBy>6665</cp:lastModifiedBy>
  <dcterms:modified xsi:type="dcterms:W3CDTF">2024-05-31T03:08:41Z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