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河北省电子烟零售点布局规划</w:t>
      </w:r>
    </w:p>
    <w:p>
      <w:pPr>
        <w:rPr>
          <w:rFonts w:hint="eastAsia"/>
        </w:rPr>
      </w:pPr>
    </w:p>
    <w:p>
      <w:pPr>
        <w:keepNext w:val="0"/>
        <w:keepLines w:val="0"/>
        <w:widowControl/>
        <w:suppressLineNumbers w:val="0"/>
        <w:shd w:val="clear" w:fill="FFFFFF"/>
        <w:spacing w:before="0" w:beforeAutospacing="1" w:after="0" w:afterAutospacing="1"/>
        <w:ind w:left="0" w:right="0" w:firstLine="0"/>
        <w:jc w:val="center"/>
        <w:rPr>
          <w:rFonts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河北省电子烟零售点布局规划</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iCs w:val="0"/>
          <w:caps w:val="0"/>
          <w:color w:val="555555"/>
          <w:spacing w:val="0"/>
          <w:sz w:val="21"/>
          <w:szCs w:val="21"/>
        </w:rPr>
      </w:pP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1"/>
          <w:szCs w:val="21"/>
          <w:shd w:val="clear" w:fill="FFFFFF"/>
          <w:lang w:val="en-US" w:eastAsia="zh-CN" w:bidi="ar"/>
        </w:rPr>
        <w:t>第</w:t>
      </w: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一条  为规范电子烟零售市场秩序，合理配置电子烟零售市场资源，根据《中华人民共和国行政许可法》《中华人民共和国未成年人保护法》《中华人民共和国烟草专卖法》《中华人民共和国烟草专卖法实施条例》《烟草专卖许可证管理办法》《烟草专卖许可证管理办法实施细则》《电子烟管理办法》等法律法规、规章和规范性文件，制定本规划。</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第二条  本规划适用于河北省内电子烟零售点的布局管理。</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第三条  本规划所称电子烟零售点，是指依法取得电子烟零售许可的公民、法人或其他组织从事电子烟（包括烟弹、烟具、烟弹与烟具组合销售的产品）零售业务的经营场所。</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第四条  全省电子烟零售点布局遵循依法依规、尊重市场、保护未成年人权益、数量管理、防止无序扩张的布局原则。</w:t>
      </w:r>
    </w:p>
    <w:p>
      <w:pPr>
        <w:keepNext w:val="0"/>
        <w:keepLines w:val="0"/>
        <w:widowControl/>
        <w:suppressLineNumbers w:val="0"/>
        <w:shd w:val="clear" w:fill="FFFFFF"/>
        <w:spacing w:before="0" w:beforeAutospacing="1" w:after="0" w:afterAutospacing="1"/>
        <w:ind w:left="0" w:right="0" w:firstLine="80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第五条  根据市场需求、市场容量、电子烟企业成本、零售点合理利润、经济社会发展水平等因素，全省电子烟零售点实行数量管理，并视市场需求、市场状态变化情况进行动态调整。</w:t>
      </w:r>
    </w:p>
    <w:p>
      <w:pPr>
        <w:keepNext w:val="0"/>
        <w:keepLines w:val="0"/>
        <w:widowControl/>
        <w:suppressLineNumbers w:val="0"/>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第六条</w:t>
      </w:r>
      <w:r>
        <w:rPr>
          <w:rFonts w:hint="eastAsia" w:ascii="微软雅黑" w:hAnsi="微软雅黑" w:eastAsia="微软雅黑" w:cs="微软雅黑"/>
          <w:b/>
          <w:bCs/>
          <w:i w:val="0"/>
          <w:iCs w:val="0"/>
          <w:caps w:val="0"/>
          <w:color w:val="555555"/>
          <w:spacing w:val="0"/>
          <w:kern w:val="0"/>
          <w:sz w:val="24"/>
          <w:szCs w:val="24"/>
          <w:shd w:val="clear" w:fill="FFFFFF"/>
          <w:lang w:val="en-US" w:eastAsia="zh-CN" w:bidi="ar"/>
        </w:rPr>
        <w:t>  </w:t>
      </w: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河北省烟草专卖局根据各地人口数量、经济发展水平、消费行为习惯、市场容量等因素，确定行政区域内各市县电子烟零售点数量（具体数量详见附件1）。各市县电子烟零售点达到规定数量的，不予设置新的电子烟零售点,并按照“退一进一”的原则实行动态管理。</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第七条  电子烟零售实行“一店一证”，连锁企业申请电子烟零售许可时，应当由各个分店分别向所在地烟草专卖局提出申请。</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第八条  母婴用品店、文具店、玩具店、游乐场所等容易诱导未成年人关注、购买、吸食电子烟的经营场所不予设置电子烟零售点。</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第九条  主营业务为通信器材、电子商品、汽车维修、美容美甲、保健按摩、药妆医械等专业性较强，与电子烟零售业务没有直接或间接互补营销关系的业态类型，不予设置电子烟零售点。</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第十条  因向未成年人销售电子烟或通过信息网络销售电子烟被行政处罚未满三年的，不得从事电子烟零售业务。</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因销售非法生产的电子烟或不按要求在全国统一电子烟交易管理平台交易被行政处罚未满三年的，不得从事电子烟零售业务。</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第十一条  排他性经营上市销售的电子烟产品的，不予设置电子烟零售点。</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第十二条  报送信息存在虚报材料等不诚信行为未满一年的，不得从事电子烟零售业务。</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第十三条  存在法律法规和规章、国家烟草专卖局规定的下列不予核发烟草专卖零售许可证的情形的，不得从事电子烟零售业务：</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（一）取消从事烟草专卖业务资格不满三年的；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（二）申请人隐瞒有关情况或者提供虚假材料的；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（三）因申请人隐瞒有关情况或者提供虚假材料烟草专卖局作出不予受理或者不予许可决定后，申请人一年内再次提出申请的；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（四）因申请人以欺骗、贿赂等不正当手段取得的烟草专卖许可证被撤销后，申请人三年内再次提出申请的；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（五）未领取烟草专卖零售许可证经营电子烟业务，并且一年内被执法机关处罚两次以上，在三年内申请的；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（六）不符合国家有关规定的外商投资企业；</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（七）未领取烟草专卖零售许可证经营电子烟业务被追究刑事责任，在三年内申请的;</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（八）申请人没有固定经营场所的；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（九）申请人的经营场所与住所不相独立的；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（十）经营场所基于安全因素不适宜经营电子烟的；</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（十一）位于中小学校、幼儿园周围的；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（十二）利用自动售货机或者其他自动售货形式，销售或者变相销售电子烟的；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（十三）通过信息网络销售电子烟的；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（十四）位于党政机关、医院内部的；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（十五）经营场所已经办理了仍在有效期内的烟草专卖零售许可证的；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（十六）申请人为无民事行为能力人或者限制民事行为能力人的；</w:t>
      </w:r>
    </w:p>
    <w:p>
      <w:pPr>
        <w:keepNext w:val="0"/>
        <w:keepLines w:val="0"/>
        <w:widowControl/>
        <w:suppressLineNumbers w:val="0"/>
        <w:shd w:val="clear" w:fill="FFFFFF"/>
        <w:spacing w:before="0" w:beforeAutospacing="1" w:after="0" w:afterAutospacing="1"/>
        <w:ind w:left="0" w:right="0" w:firstLine="707"/>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（十七）其他不予核发烟草专卖零售许可证的情形。</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第十四条  本规划所称的“中小学校”,，是指普通中小学、特殊教育学校、中等职业学校、专门学校。</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第十五条  本规划所称的“中小学校、幼儿园周围”,是指上述机构进出通道口向外延伸一定距离的区域（各市县具体距离及测量标准详见附件2）。</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第十六条  本规划所称“经营场所”是指具备电子烟经营的基本设施和条件，对公众全开放的商品销售和商品仓储场所，不包含住宅、公寓、生活住所的地下室、储藏室等,，不包含无实际商品经营设施的场所。“固定经营场所”是指不可移动的合法的经营场所，不包含违法建筑、流动摊点、售货车、集装箱屋、临时棚舍等。“与住所不相独立”是指经营场所与住所混同或相连。</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第十七条  本规划自2022年5月20日起施行，有效期五年。</w:t>
      </w:r>
    </w:p>
    <w:p>
      <w:pPr>
        <w:keepNext w:val="0"/>
        <w:keepLines w:val="0"/>
        <w:widowControl/>
        <w:suppressLineNumbers w:val="0"/>
        <w:shd w:val="clear" w:fill="FFFFFF"/>
        <w:spacing w:before="0" w:beforeAutospacing="1" w:after="0" w:afterAutospacing="1"/>
        <w:ind w:left="0" w:right="0" w:firstLine="640"/>
        <w:jc w:val="both"/>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kern w:val="0"/>
          <w:sz w:val="24"/>
          <w:szCs w:val="24"/>
          <w:shd w:val="clear" w:fill="FFFFFF"/>
          <w:lang w:val="en-US" w:eastAsia="zh-CN" w:bidi="ar"/>
        </w:rPr>
        <w:t>第十八条  本规划由河北省烟草专卖局负责解释。</w:t>
      </w:r>
    </w:p>
    <w:p>
      <w:pPr>
        <w:pStyle w:val="2"/>
        <w:keepNext w:val="0"/>
        <w:keepLines w:val="0"/>
        <w:widowControl/>
        <w:suppressLineNumbers w:val="0"/>
        <w:shd w:val="clear" w:fill="FFFFFF"/>
        <w:spacing w:before="0" w:beforeAutospacing="1" w:after="0" w:afterAutospacing="1"/>
        <w:ind w:left="0" w:right="0" w:firstLine="64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4"/>
          <w:szCs w:val="24"/>
          <w:shd w:val="clear" w:fill="FFFFFF"/>
        </w:rPr>
        <w:t> </w:t>
      </w:r>
    </w:p>
    <w:p>
      <w:pPr>
        <w:pStyle w:val="2"/>
        <w:keepNext w:val="0"/>
        <w:keepLines w:val="0"/>
        <w:widowControl/>
        <w:suppressLineNumbers w:val="0"/>
        <w:shd w:val="clear" w:fill="FFFFFF"/>
        <w:spacing w:before="0" w:beforeAutospacing="1" w:after="0" w:afterAutospacing="1"/>
        <w:ind w:left="0" w:right="0" w:firstLine="64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4"/>
          <w:szCs w:val="24"/>
          <w:shd w:val="clear" w:fill="FFFFFF"/>
        </w:rPr>
        <w:t>高阳县电子烟零售点数量标准</w:t>
      </w:r>
    </w:p>
    <w:tbl>
      <w:tblPr>
        <w:tblW w:w="874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45"/>
        <w:gridCol w:w="1425"/>
        <w:gridCol w:w="2355"/>
        <w:gridCol w:w="1680"/>
        <w:gridCol w:w="23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555555"/>
                <w:spacing w:val="0"/>
                <w:kern w:val="0"/>
                <w:sz w:val="22"/>
                <w:szCs w:val="22"/>
                <w:vertAlign w:val="baseline"/>
                <w:lang w:val="en-US" w:eastAsia="zh-CN" w:bidi="ar"/>
              </w:rPr>
              <w:t>序号</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555555"/>
                <w:spacing w:val="0"/>
                <w:kern w:val="0"/>
                <w:sz w:val="22"/>
                <w:szCs w:val="22"/>
                <w:vertAlign w:val="baseline"/>
                <w:lang w:val="en-US" w:eastAsia="zh-CN" w:bidi="ar"/>
              </w:rPr>
              <w:t>地级市</w:t>
            </w:r>
          </w:p>
        </w:tc>
        <w:tc>
          <w:tcPr>
            <w:tcW w:w="23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555555"/>
                <w:spacing w:val="0"/>
                <w:kern w:val="0"/>
                <w:sz w:val="22"/>
                <w:szCs w:val="22"/>
                <w:vertAlign w:val="baseline"/>
                <w:lang w:val="en-US" w:eastAsia="zh-CN" w:bidi="ar"/>
              </w:rPr>
              <w:t>县（市、区）</w:t>
            </w:r>
          </w:p>
        </w:tc>
        <w:tc>
          <w:tcPr>
            <w:tcW w:w="16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555555"/>
                <w:spacing w:val="0"/>
                <w:kern w:val="0"/>
                <w:sz w:val="22"/>
                <w:szCs w:val="22"/>
                <w:vertAlign w:val="baseline"/>
                <w:lang w:val="en-US" w:eastAsia="zh-CN" w:bidi="ar"/>
              </w:rPr>
              <w:t>数量标准</w:t>
            </w:r>
          </w:p>
        </w:tc>
        <w:tc>
          <w:tcPr>
            <w:tcW w:w="234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555555"/>
                <w:spacing w:val="0"/>
                <w:kern w:val="0"/>
                <w:sz w:val="22"/>
                <w:szCs w:val="22"/>
                <w:vertAlign w:val="baseline"/>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4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left"/>
            </w:pPr>
            <w:r>
              <w:rPr>
                <w:rFonts w:hint="eastAsia" w:ascii="微软雅黑" w:hAnsi="微软雅黑" w:eastAsia="微软雅黑" w:cs="微软雅黑"/>
                <w:i w:val="0"/>
                <w:iCs w:val="0"/>
                <w:caps w:val="0"/>
                <w:color w:val="555555"/>
                <w:spacing w:val="0"/>
                <w:kern w:val="0"/>
                <w:sz w:val="22"/>
                <w:szCs w:val="22"/>
                <w:lang w:val="en-US" w:eastAsia="zh-CN" w:bidi="ar"/>
              </w:rPr>
              <w:t>1</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i w:val="0"/>
                <w:iCs w:val="0"/>
                <w:caps w:val="0"/>
                <w:color w:val="555555"/>
                <w:spacing w:val="0"/>
                <w:kern w:val="0"/>
                <w:sz w:val="22"/>
                <w:szCs w:val="22"/>
                <w:vertAlign w:val="baseline"/>
                <w:lang w:val="en-US" w:eastAsia="zh-CN" w:bidi="ar"/>
              </w:rPr>
              <w:t>保定市</w:t>
            </w:r>
          </w:p>
        </w:tc>
        <w:tc>
          <w:tcPr>
            <w:tcW w:w="23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i w:val="0"/>
                <w:iCs w:val="0"/>
                <w:caps w:val="0"/>
                <w:color w:val="555555"/>
                <w:spacing w:val="0"/>
                <w:kern w:val="0"/>
                <w:sz w:val="22"/>
                <w:szCs w:val="22"/>
                <w:vertAlign w:val="baseline"/>
                <w:lang w:val="en-US" w:eastAsia="zh-CN" w:bidi="ar"/>
              </w:rPr>
              <w:t>高阳县</w:t>
            </w:r>
          </w:p>
        </w:tc>
        <w:tc>
          <w:tcPr>
            <w:tcW w:w="16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center"/>
            </w:pPr>
            <w:r>
              <w:rPr>
                <w:rFonts w:hint="eastAsia" w:ascii="微软雅黑" w:hAnsi="微软雅黑" w:eastAsia="微软雅黑" w:cs="微软雅黑"/>
                <w:i w:val="0"/>
                <w:iCs w:val="0"/>
                <w:caps w:val="0"/>
                <w:color w:val="555555"/>
                <w:spacing w:val="0"/>
                <w:kern w:val="0"/>
                <w:sz w:val="22"/>
                <w:szCs w:val="22"/>
                <w:lang w:val="en-US" w:eastAsia="zh-CN" w:bidi="ar"/>
              </w:rPr>
              <w:t>11</w:t>
            </w:r>
          </w:p>
        </w:tc>
        <w:tc>
          <w:tcPr>
            <w:tcW w:w="234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firstLine="0"/>
              <w:jc w:val="left"/>
            </w:pPr>
            <w:r>
              <w:rPr>
                <w:rFonts w:hint="eastAsia" w:ascii="微软雅黑" w:hAnsi="微软雅黑" w:eastAsia="微软雅黑" w:cs="微软雅黑"/>
                <w:i w:val="0"/>
                <w:iCs w:val="0"/>
                <w:caps w:val="0"/>
                <w:color w:val="555555"/>
                <w:spacing w:val="0"/>
                <w:kern w:val="0"/>
                <w:sz w:val="21"/>
                <w:szCs w:val="21"/>
                <w:lang w:val="en-US" w:eastAsia="zh-CN" w:bidi="ar"/>
              </w:rPr>
              <w:t> </w:t>
            </w:r>
          </w:p>
        </w:tc>
      </w:tr>
    </w:tbl>
    <w:p>
      <w:pPr>
        <w:pStyle w:val="2"/>
        <w:keepNext w:val="0"/>
        <w:keepLines w:val="0"/>
        <w:widowControl/>
        <w:suppressLineNumbers w:val="0"/>
        <w:shd w:val="clear" w:fill="FFFFFF"/>
        <w:spacing w:before="0" w:beforeAutospacing="1" w:after="0" w:afterAutospacing="1"/>
        <w:ind w:left="0" w:right="0" w:firstLine="0"/>
        <w:jc w:val="both"/>
        <w:rPr>
          <w:rFonts w:hint="eastAsia" w:ascii="微软雅黑" w:hAnsi="微软雅黑" w:eastAsia="微软雅黑" w:cs="微软雅黑"/>
          <w:i w:val="0"/>
          <w:iCs w:val="0"/>
          <w:caps w:val="0"/>
          <w:color w:val="555555"/>
          <w:spacing w:val="0"/>
          <w:sz w:val="21"/>
          <w:szCs w:val="21"/>
        </w:rPr>
      </w:pPr>
    </w:p>
    <w:p>
      <w:pPr>
        <w:pStyle w:val="2"/>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4"/>
          <w:szCs w:val="24"/>
          <w:shd w:val="clear" w:fill="FFFFFF"/>
        </w:rPr>
        <w:t>保定市中小学校、幼儿园周围电子烟零售点距离及测量标准</w:t>
      </w:r>
    </w:p>
    <w:tbl>
      <w:tblPr>
        <w:tblW w:w="8856"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69"/>
        <w:gridCol w:w="251"/>
        <w:gridCol w:w="673"/>
        <w:gridCol w:w="410"/>
        <w:gridCol w:w="287"/>
        <w:gridCol w:w="140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57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auto"/>
                <w:spacing w:val="0"/>
                <w:sz w:val="21"/>
                <w:szCs w:val="21"/>
                <w:vertAlign w:val="baseline"/>
              </w:rPr>
              <w:t>序号</w:t>
            </w:r>
          </w:p>
        </w:tc>
        <w:tc>
          <w:tcPr>
            <w:tcW w:w="85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auto"/>
                <w:spacing w:val="0"/>
                <w:sz w:val="21"/>
                <w:szCs w:val="21"/>
                <w:vertAlign w:val="baseline"/>
              </w:rPr>
              <w:t>地级市</w:t>
            </w:r>
          </w:p>
        </w:tc>
        <w:tc>
          <w:tcPr>
            <w:tcW w:w="126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auto"/>
                <w:spacing w:val="0"/>
                <w:sz w:val="21"/>
                <w:szCs w:val="21"/>
                <w:vertAlign w:val="baseline"/>
              </w:rPr>
              <w:t>县（市、区）</w:t>
            </w:r>
          </w:p>
        </w:tc>
        <w:tc>
          <w:tcPr>
            <w:tcW w:w="207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auto"/>
                <w:spacing w:val="0"/>
                <w:sz w:val="21"/>
                <w:szCs w:val="21"/>
                <w:vertAlign w:val="baseline"/>
              </w:rPr>
              <w:t>距离标准</w:t>
            </w:r>
          </w:p>
        </w:tc>
        <w:tc>
          <w:tcPr>
            <w:tcW w:w="4095"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auto"/>
                <w:spacing w:val="0"/>
                <w:sz w:val="21"/>
                <w:szCs w:val="21"/>
                <w:vertAlign w:val="baseline"/>
              </w:rPr>
              <w:t>测量标准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7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26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c>
          <w:tcPr>
            <w:tcW w:w="121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auto"/>
                <w:spacing w:val="0"/>
                <w:sz w:val="21"/>
                <w:szCs w:val="21"/>
                <w:vertAlign w:val="baseline"/>
              </w:rPr>
              <w:t>中小学校</w:t>
            </w:r>
          </w:p>
        </w:tc>
        <w:tc>
          <w:tcPr>
            <w:tcW w:w="8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b/>
                <w:bCs/>
                <w:i w:val="0"/>
                <w:iCs w:val="0"/>
                <w:caps w:val="0"/>
                <w:color w:val="auto"/>
                <w:spacing w:val="0"/>
                <w:sz w:val="21"/>
                <w:szCs w:val="21"/>
                <w:vertAlign w:val="baseline"/>
              </w:rPr>
              <w:t>幼儿园</w:t>
            </w:r>
          </w:p>
        </w:tc>
        <w:tc>
          <w:tcPr>
            <w:tcW w:w="4095"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555555"/>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7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105"/>
              <w:jc w:val="both"/>
            </w:pPr>
            <w:r>
              <w:rPr>
                <w:rFonts w:hint="eastAsia" w:ascii="微软雅黑" w:hAnsi="微软雅黑" w:eastAsia="微软雅黑" w:cs="微软雅黑"/>
                <w:i w:val="0"/>
                <w:iCs w:val="0"/>
                <w:caps w:val="0"/>
                <w:color w:val="555555"/>
                <w:spacing w:val="0"/>
                <w:sz w:val="21"/>
                <w:szCs w:val="21"/>
              </w:rPr>
              <w:t>1</w:t>
            </w:r>
          </w:p>
        </w:tc>
        <w:tc>
          <w:tcPr>
            <w:tcW w:w="8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i w:val="0"/>
                <w:iCs w:val="0"/>
                <w:caps w:val="0"/>
                <w:color w:val="auto"/>
                <w:spacing w:val="0"/>
                <w:sz w:val="21"/>
                <w:szCs w:val="21"/>
                <w:vertAlign w:val="baseline"/>
              </w:rPr>
              <w:t>保定</w:t>
            </w:r>
          </w:p>
        </w:tc>
        <w:tc>
          <w:tcPr>
            <w:tcW w:w="1260"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宋体" w:hAnsi="宋体" w:eastAsia="宋体" w:cs="宋体"/>
                <w:i w:val="0"/>
                <w:iCs w:val="0"/>
                <w:caps w:val="0"/>
                <w:color w:val="auto"/>
                <w:spacing w:val="0"/>
                <w:sz w:val="21"/>
                <w:szCs w:val="21"/>
                <w:vertAlign w:val="baseline"/>
              </w:rPr>
              <w:t>全域</w:t>
            </w:r>
          </w:p>
        </w:tc>
        <w:tc>
          <w:tcPr>
            <w:tcW w:w="121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微软雅黑" w:hAnsi="微软雅黑" w:eastAsia="微软雅黑" w:cs="微软雅黑"/>
                <w:i w:val="0"/>
                <w:iCs w:val="0"/>
                <w:caps w:val="0"/>
                <w:color w:val="555555"/>
                <w:spacing w:val="0"/>
                <w:sz w:val="21"/>
                <w:szCs w:val="21"/>
              </w:rPr>
              <w:t>100</w:t>
            </w:r>
            <w:r>
              <w:rPr>
                <w:rFonts w:hint="eastAsia" w:ascii="宋体" w:hAnsi="宋体" w:eastAsia="宋体" w:cs="宋体"/>
                <w:i w:val="0"/>
                <w:iCs w:val="0"/>
                <w:caps w:val="0"/>
                <w:color w:val="auto"/>
                <w:spacing w:val="0"/>
                <w:sz w:val="21"/>
                <w:szCs w:val="21"/>
                <w:vertAlign w:val="baseline"/>
              </w:rPr>
              <w:t>米</w:t>
            </w:r>
          </w:p>
        </w:tc>
        <w:tc>
          <w:tcPr>
            <w:tcW w:w="85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jc w:val="center"/>
            </w:pPr>
            <w:r>
              <w:rPr>
                <w:rFonts w:hint="eastAsia" w:ascii="微软雅黑" w:hAnsi="微软雅黑" w:eastAsia="微软雅黑" w:cs="微软雅黑"/>
                <w:i w:val="0"/>
                <w:iCs w:val="0"/>
                <w:caps w:val="0"/>
                <w:color w:val="555555"/>
                <w:spacing w:val="0"/>
                <w:sz w:val="21"/>
                <w:szCs w:val="21"/>
              </w:rPr>
              <w:t>20</w:t>
            </w:r>
            <w:r>
              <w:rPr>
                <w:rFonts w:hint="eastAsia" w:ascii="宋体" w:hAnsi="宋体" w:eastAsia="宋体" w:cs="宋体"/>
                <w:i w:val="0"/>
                <w:iCs w:val="0"/>
                <w:caps w:val="0"/>
                <w:color w:val="auto"/>
                <w:spacing w:val="0"/>
                <w:sz w:val="21"/>
                <w:szCs w:val="21"/>
                <w:vertAlign w:val="baseline"/>
              </w:rPr>
              <w:t>米</w:t>
            </w:r>
          </w:p>
        </w:tc>
        <w:tc>
          <w:tcPr>
            <w:tcW w:w="409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0" w:beforeAutospacing="1" w:after="0" w:afterAutospacing="1"/>
              <w:ind w:left="0" w:right="0" w:firstLine="0"/>
            </w:pPr>
            <w:r>
              <w:rPr>
                <w:rFonts w:hint="eastAsia" w:ascii="宋体" w:hAnsi="宋体" w:eastAsia="宋体" w:cs="宋体"/>
                <w:i w:val="0"/>
                <w:iCs w:val="0"/>
                <w:caps w:val="0"/>
                <w:color w:val="auto"/>
                <w:spacing w:val="0"/>
                <w:sz w:val="21"/>
                <w:szCs w:val="21"/>
                <w:vertAlign w:val="baseline"/>
              </w:rPr>
              <w:t>从申请人经营场所靠近中小学校、幼儿园一侧的出(入)口边线到中小学校、幼儿园最近的进出通道口边线之间的符合交通规则的最短可通行距离。                                                                进出通道口是指供各类人员进出校园的通道，含正门、边门、侧门、专用消防通道等。申请人的经营场所有两个或两个以上出（入）口的，各出（入）口之间的距离应当同时满足所在区域零售点间距规定。</w:t>
            </w:r>
          </w:p>
        </w:tc>
      </w:tr>
    </w:tbl>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iCs w:val="0"/>
          <w:caps w:val="0"/>
          <w:color w:val="555555"/>
          <w:spacing w:val="0"/>
          <w:sz w:val="21"/>
          <w:szCs w:val="21"/>
        </w:rPr>
      </w:pP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iCs w:val="0"/>
          <w:caps w:val="0"/>
          <w:color w:val="555555"/>
          <w:spacing w:val="0"/>
          <w:sz w:val="21"/>
          <w:szCs w:val="21"/>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WJiMTE3MGExN2M5ZDBkMmFlYzA5MjA1Njg5NzYifQ=="/>
  </w:docVars>
  <w:rsids>
    <w:rsidRoot w:val="3E6D0489"/>
    <w:rsid w:val="3E6D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2024-06-18T03:31:00Z</dcterms:created>
  <dc:creator>Administrator</dc:creator>
  <cp:lastModifiedBy>Administrator</cp:lastModifiedBy>
  <dcterms:modified xsi:type="dcterms:W3CDTF">2024-06-18T03:34:28Z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30F3466F64D448C9920EDDFCE397FCB9_11</vt:lpwstr>
  </property>
</Properties>
</file>