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default" w:ascii="方正小标宋简体" w:hAnsi="华文中宋" w:eastAsia="方正小标宋简体"/>
          <w:spacing w:val="20"/>
          <w:sz w:val="72"/>
          <w:szCs w:val="72"/>
          <w:lang w:val="en-US"/>
        </w:rPr>
        <w:t>曲阳县</w:t>
      </w:r>
      <w:r>
        <w:rPr>
          <w:rFonts w:hint="eastAsia" w:ascii="方正小标宋简体" w:hAnsi="华文中宋" w:eastAsia="方正小标宋简体"/>
          <w:spacing w:val="20"/>
          <w:sz w:val="72"/>
          <w:szCs w:val="72"/>
          <w:lang w:val="en-US" w:eastAsia="zh-CN"/>
        </w:rPr>
        <w:t>范家庄乡</w:t>
      </w:r>
    </w:p>
    <w:p>
      <w:pPr>
        <w:spacing w:after="0" w:line="1300" w:lineRule="exact"/>
        <w:jc w:val="center"/>
        <w:rPr>
          <w:rFonts w:hint="default" w:ascii="方正小标宋简体" w:hAnsi="华文中宋" w:eastAsia="方正小标宋简体"/>
          <w:spacing w:val="20"/>
          <w:sz w:val="72"/>
          <w:szCs w:val="72"/>
          <w:lang w:val="en-US"/>
        </w:rPr>
      </w:pPr>
      <w:r>
        <w:rPr>
          <w:rFonts w:hint="eastAsia" w:ascii="方正小标宋简体" w:hAnsi="华文中宋" w:eastAsia="方正小标宋简体"/>
          <w:spacing w:val="20"/>
          <w:sz w:val="72"/>
          <w:szCs w:val="72"/>
        </w:rPr>
        <w:t>基层政务公开标准</w:t>
      </w:r>
      <w:r>
        <w:rPr>
          <w:rFonts w:hint="eastAsia" w:ascii="方正小标宋简体" w:hAnsi="华文中宋" w:eastAsia="方正小标宋简体"/>
          <w:spacing w:val="20"/>
          <w:sz w:val="72"/>
          <w:szCs w:val="72"/>
          <w:lang w:val="en-US"/>
        </w:rPr>
        <w:t>目</w:t>
      </w:r>
      <w:r>
        <w:rPr>
          <w:rFonts w:hint="default" w:ascii="方正小标宋简体" w:hAnsi="华文中宋" w:eastAsia="方正小标宋简体"/>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1ED064C"/>
    <w:rsid w:val="206611FB"/>
    <w:rsid w:val="2B224C2A"/>
    <w:rsid w:val="505E3727"/>
    <w:rsid w:val="7F8104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autoRedefine/>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7266</Words>
  <Characters>7356</Characters>
  <Paragraphs>1105</Paragraphs>
  <TotalTime>31</TotalTime>
  <ScaleCrop>false</ScaleCrop>
  <LinksUpToDate>false</LinksUpToDate>
  <CharactersWithSpaces>12810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2024-06-25T02:00:38Z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9E7F47A51B4E4018935032F1D0C9989B_13</vt:lpwstr>
  </property>
</Properties>
</file>