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曲阳县安全生产监督管理局</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中华人民共和国</w:t>
      </w:r>
      <w:r>
        <w:rPr>
          <w:rFonts w:hint="eastAsia" w:ascii="仿宋" w:hAnsi="仿宋" w:eastAsia="仿宋" w:cs="Times New Roman"/>
          <w:color w:val="auto"/>
          <w:sz w:val="32"/>
          <w:szCs w:val="32"/>
        </w:rPr>
        <w:t>预算法》、</w:t>
      </w:r>
      <w:r>
        <w:rPr>
          <w:rFonts w:ascii="仿宋" w:hAnsi="仿宋" w:eastAsia="仿宋" w:cs="Times New Roman"/>
          <w:color w:val="auto"/>
          <w:sz w:val="32"/>
          <w:szCs w:val="32"/>
        </w:rPr>
        <w:t>《地方预决算公开操作规程》和《河北省</w:t>
      </w:r>
      <w:r>
        <w:rPr>
          <w:rFonts w:hint="eastAsia" w:ascii="仿宋" w:hAnsi="仿宋" w:eastAsia="仿宋" w:cs="Times New Roman"/>
          <w:color w:val="auto"/>
          <w:sz w:val="32"/>
          <w:szCs w:val="32"/>
          <w:lang w:eastAsia="zh-CN"/>
        </w:rPr>
        <w:t>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Times New Roman"/>
          <w:color w:val="auto"/>
          <w:sz w:val="32"/>
          <w:szCs w:val="32"/>
        </w:rPr>
        <w:t>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w:t>
      </w:r>
      <w:r>
        <w:rPr>
          <w:rFonts w:hint="eastAsia" w:ascii="仿宋" w:hAnsi="仿宋" w:eastAsia="仿宋" w:cs="Times New Roman"/>
          <w:color w:val="auto"/>
          <w:sz w:val="32"/>
          <w:szCs w:val="32"/>
          <w:lang w:eastAsia="zh-CN"/>
        </w:rPr>
        <w:t>曲阳县</w:t>
      </w:r>
      <w:r>
        <w:rPr>
          <w:rFonts w:hint="eastAsia" w:ascii="仿宋" w:hAnsi="仿宋" w:eastAsia="仿宋" w:cs="Times New Roman"/>
          <w:color w:val="auto"/>
          <w:sz w:val="32"/>
          <w:szCs w:val="32"/>
        </w:rPr>
        <w:t>安全生产监督管理局</w:t>
      </w:r>
      <w:r>
        <w:rPr>
          <w:rFonts w:ascii="仿宋" w:hAnsi="仿宋" w:eastAsia="仿宋" w:cs="Times New Roman"/>
          <w:color w:val="auto"/>
          <w:sz w:val="32"/>
          <w:szCs w:val="32"/>
        </w:rPr>
        <w:t>201</w:t>
      </w:r>
      <w:r>
        <w:rPr>
          <w:rFonts w:hint="eastAsia" w:ascii="仿宋" w:hAnsi="仿宋" w:eastAsia="仿宋" w:cs="Times New Roman"/>
          <w:color w:val="auto"/>
          <w:sz w:val="32"/>
          <w:szCs w:val="32"/>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ind w:firstLine="161" w:firstLineChars="50"/>
        <w:rPr>
          <w:rFonts w:ascii="新宋体" w:hAnsi="新宋体" w:eastAsia="新宋体"/>
          <w:color w:val="auto"/>
          <w:sz w:val="28"/>
          <w:szCs w:val="28"/>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新宋体" w:hAnsi="新宋体" w:eastAsia="新宋体"/>
          <w:color w:val="auto"/>
          <w:sz w:val="28"/>
          <w:szCs w:val="28"/>
        </w:rPr>
        <w:t>主要职能</w:t>
      </w:r>
    </w:p>
    <w:p>
      <w:pPr>
        <w:rPr>
          <w:rFonts w:ascii="新宋体" w:hAnsi="新宋体" w:eastAsia="新宋体"/>
          <w:color w:val="auto"/>
          <w:sz w:val="28"/>
          <w:szCs w:val="28"/>
        </w:rPr>
      </w:pPr>
      <w:r>
        <w:rPr>
          <w:rFonts w:ascii="新宋体" w:hAnsi="新宋体" w:eastAsia="新宋体"/>
          <w:color w:val="auto"/>
          <w:sz w:val="28"/>
          <w:szCs w:val="28"/>
        </w:rPr>
        <w:t>（一）综合监督管理全县安全生产工作，组织起草有关安全生产方面的管理办法和实施意见；组织实施工矿商贸企业安全生产标准。</w:t>
      </w:r>
    </w:p>
    <w:p>
      <w:pPr>
        <w:rPr>
          <w:rFonts w:ascii="新宋体" w:hAnsi="新宋体" w:eastAsia="新宋体"/>
          <w:color w:val="auto"/>
          <w:sz w:val="28"/>
          <w:szCs w:val="28"/>
        </w:rPr>
      </w:pPr>
      <w:r>
        <w:rPr>
          <w:rFonts w:ascii="新宋体" w:hAnsi="新宋体" w:eastAsia="新宋体"/>
          <w:color w:val="auto"/>
          <w:sz w:val="28"/>
          <w:szCs w:val="28"/>
        </w:rPr>
        <w:t>（二）依法行使安全生产综合监督管理职权，指导、协调和监督全县安全生产监督管理工作；制定全县安全生产发展规划；定期分析和预测全县安全生产形势，研究、协调解决安全生产中的重大问题。</w:t>
      </w:r>
    </w:p>
    <w:p>
      <w:pPr>
        <w:rPr>
          <w:rFonts w:ascii="新宋体" w:hAnsi="新宋体" w:eastAsia="新宋体"/>
          <w:color w:val="auto"/>
          <w:sz w:val="28"/>
          <w:szCs w:val="28"/>
        </w:rPr>
      </w:pPr>
      <w:r>
        <w:rPr>
          <w:rFonts w:ascii="新宋体" w:hAnsi="新宋体" w:eastAsia="新宋体"/>
          <w:color w:val="auto"/>
          <w:sz w:val="28"/>
          <w:szCs w:val="28"/>
        </w:rPr>
        <w:t>（三）依法行使矿山、矿井安全监察职权，负责全县矿山、矿井安全生产监督管理工作。</w:t>
      </w:r>
    </w:p>
    <w:p>
      <w:pPr>
        <w:rPr>
          <w:rFonts w:ascii="新宋体" w:hAnsi="新宋体" w:eastAsia="新宋体"/>
          <w:color w:val="auto"/>
          <w:sz w:val="28"/>
          <w:szCs w:val="28"/>
        </w:rPr>
      </w:pPr>
      <w:r>
        <w:rPr>
          <w:rFonts w:ascii="新宋体" w:hAnsi="新宋体" w:eastAsia="新宋体"/>
          <w:color w:val="auto"/>
          <w:sz w:val="28"/>
          <w:szCs w:val="28"/>
        </w:rPr>
        <w:t>（四）负责发布全县安全生产信息，综合管理全县安全生产死亡事故统计、分析和上报工作；依法组织、协调重大事故的调查处理工作；组织、指挥和协调安全生产应急救援工作。</w:t>
      </w:r>
    </w:p>
    <w:p>
      <w:pPr>
        <w:rPr>
          <w:rFonts w:ascii="新宋体" w:hAnsi="新宋体" w:eastAsia="新宋体"/>
          <w:color w:val="auto"/>
          <w:sz w:val="28"/>
          <w:szCs w:val="28"/>
        </w:rPr>
      </w:pPr>
      <w:r>
        <w:rPr>
          <w:rFonts w:ascii="新宋体" w:hAnsi="新宋体" w:eastAsia="新宋体"/>
          <w:color w:val="auto"/>
          <w:sz w:val="28"/>
          <w:szCs w:val="28"/>
        </w:rPr>
        <w:t>（五）负责综合监督管理危险化学品安全生产工作，指导和协调化学事故的应急救援工作。</w:t>
      </w:r>
    </w:p>
    <w:p>
      <w:pPr>
        <w:rPr>
          <w:rFonts w:ascii="新宋体" w:hAnsi="新宋体" w:eastAsia="新宋体"/>
          <w:color w:val="auto"/>
          <w:sz w:val="28"/>
          <w:szCs w:val="28"/>
        </w:rPr>
      </w:pPr>
      <w:r>
        <w:rPr>
          <w:rFonts w:ascii="新宋体" w:hAnsi="新宋体" w:eastAsia="新宋体"/>
          <w:color w:val="auto"/>
          <w:sz w:val="28"/>
          <w:szCs w:val="28"/>
        </w:rPr>
        <w:t>（六）指导、协调全县安全生产检测检验工作，组织实施对工矿商贸企业安全生产和有关设备（特种设备除外，包括锅</w:t>
      </w:r>
    </w:p>
    <w:p>
      <w:pPr>
        <w:rPr>
          <w:rFonts w:ascii="新宋体" w:hAnsi="新宋体" w:eastAsia="新宋体"/>
          <w:color w:val="auto"/>
          <w:sz w:val="28"/>
          <w:szCs w:val="28"/>
        </w:rPr>
      </w:pPr>
      <w:r>
        <w:rPr>
          <w:rFonts w:ascii="新宋体" w:hAnsi="新宋体" w:eastAsia="新宋体"/>
          <w:color w:val="auto"/>
          <w:sz w:val="28"/>
          <w:szCs w:val="28"/>
        </w:rPr>
        <w:t>炉、压力容器、压力管道、电梯、起重机械、厂内机动车、游乐设施、客运索道等，下同）进行检测、检验、安全评价、安全培训、安全咨询等社会中介组织的资质申报工作，并进行监督检查。</w:t>
      </w:r>
    </w:p>
    <w:p>
      <w:pPr>
        <w:rPr>
          <w:rFonts w:ascii="新宋体" w:hAnsi="新宋体" w:eastAsia="新宋体"/>
          <w:color w:val="auto"/>
          <w:sz w:val="28"/>
          <w:szCs w:val="28"/>
        </w:rPr>
      </w:pPr>
      <w:r>
        <w:rPr>
          <w:rFonts w:ascii="新宋体" w:hAnsi="新宋体" w:eastAsia="新宋体"/>
          <w:color w:val="auto"/>
          <w:sz w:val="28"/>
          <w:szCs w:val="28"/>
        </w:rPr>
        <w:t>（七）组织、指导全县安全生产宣传教育工作，负责安全生产监督管理人员的安全培训、考核工作；依法组织、指导并监督特种作业人员（特种设备作业人员除外）的考核工作和生产经营单位主要经营管理者、安全管理人员的安全资格考核工作，监督检查生产经营单位安全培训工作。</w:t>
      </w:r>
    </w:p>
    <w:p>
      <w:pPr>
        <w:rPr>
          <w:rFonts w:ascii="新宋体" w:hAnsi="新宋体" w:eastAsia="新宋体"/>
          <w:color w:val="auto"/>
          <w:sz w:val="28"/>
          <w:szCs w:val="28"/>
        </w:rPr>
      </w:pPr>
      <w:r>
        <w:rPr>
          <w:rFonts w:ascii="新宋体" w:hAnsi="新宋体" w:eastAsia="新宋体"/>
          <w:color w:val="auto"/>
          <w:sz w:val="28"/>
          <w:szCs w:val="28"/>
        </w:rPr>
        <w:t>（八）指导、监督企业主管部门和行业管理部门对所属的工矿商贸企业贯彻执行安全生产法律、法规情况及安全生产条件和有关设备（特种设备除外）、材料、劳动防护用品的安全管理工作。</w:t>
      </w:r>
    </w:p>
    <w:p>
      <w:pPr>
        <w:rPr>
          <w:rFonts w:ascii="新宋体" w:hAnsi="新宋体" w:eastAsia="新宋体"/>
          <w:color w:val="auto"/>
          <w:sz w:val="28"/>
          <w:szCs w:val="28"/>
        </w:rPr>
      </w:pPr>
      <w:r>
        <w:rPr>
          <w:rFonts w:ascii="新宋体" w:hAnsi="新宋体" w:eastAsia="新宋体"/>
          <w:color w:val="auto"/>
          <w:sz w:val="28"/>
          <w:szCs w:val="28"/>
        </w:rPr>
        <w:t>（九）依法监督检查新建、改建、扩建工程项目的安全设施与主体工程同时设计、同时施工、同时投产使用情况；依法监督重大危险源监控，重大事故隐患的整改工作，依法查处不具备安全生产条件的生产经营单位。</w:t>
      </w:r>
    </w:p>
    <w:p>
      <w:pPr>
        <w:rPr>
          <w:rFonts w:ascii="新宋体" w:hAnsi="新宋体" w:eastAsia="新宋体"/>
          <w:color w:val="auto"/>
          <w:sz w:val="28"/>
          <w:szCs w:val="28"/>
        </w:rPr>
      </w:pPr>
      <w:r>
        <w:rPr>
          <w:rFonts w:ascii="新宋体" w:hAnsi="新宋体" w:eastAsia="新宋体"/>
          <w:color w:val="auto"/>
          <w:sz w:val="28"/>
          <w:szCs w:val="28"/>
        </w:rPr>
        <w:t>（十）拟定安全生产科技规划，指导安全生产科学技术研究和技术示范工作。</w:t>
      </w:r>
    </w:p>
    <w:p>
      <w:pPr>
        <w:rPr>
          <w:rFonts w:ascii="新宋体" w:hAnsi="新宋体" w:eastAsia="新宋体"/>
          <w:color w:val="auto"/>
          <w:sz w:val="28"/>
          <w:szCs w:val="28"/>
        </w:rPr>
      </w:pPr>
      <w:r>
        <w:rPr>
          <w:rFonts w:ascii="新宋体" w:hAnsi="新宋体" w:eastAsia="新宋体"/>
          <w:color w:val="auto"/>
          <w:sz w:val="28"/>
          <w:szCs w:val="28"/>
        </w:rPr>
        <w:t>（十一）负责组织开展有关安全生产方面的对外交流与合作。</w:t>
      </w:r>
    </w:p>
    <w:p>
      <w:pPr>
        <w:rPr>
          <w:rFonts w:ascii="新宋体" w:hAnsi="新宋体" w:eastAsia="新宋体"/>
          <w:color w:val="auto"/>
          <w:sz w:val="28"/>
          <w:szCs w:val="28"/>
        </w:rPr>
      </w:pPr>
      <w:r>
        <w:rPr>
          <w:rFonts w:ascii="新宋体" w:hAnsi="新宋体" w:eastAsia="新宋体"/>
          <w:color w:val="auto"/>
          <w:sz w:val="28"/>
          <w:szCs w:val="28"/>
        </w:rPr>
        <w:t>（十二）承担县安全生产委员会办公室的日常工作。</w:t>
      </w:r>
    </w:p>
    <w:p>
      <w:pPr>
        <w:rPr>
          <w:rFonts w:ascii="新宋体" w:hAnsi="新宋体" w:eastAsia="新宋体"/>
          <w:color w:val="auto"/>
          <w:sz w:val="28"/>
          <w:szCs w:val="28"/>
        </w:rPr>
      </w:pPr>
      <w:r>
        <w:rPr>
          <w:rFonts w:ascii="新宋体" w:hAnsi="新宋体" w:eastAsia="新宋体"/>
          <w:color w:val="auto"/>
          <w:sz w:val="28"/>
          <w:szCs w:val="28"/>
        </w:rPr>
        <w:t>（十三）承办县政府交办的其他事项。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5"/>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0" w:hRule="atLeast"/>
          <w:tblHeader/>
          <w:jc w:val="center"/>
        </w:trPr>
        <w:tc>
          <w:tcPr>
            <w:tcW w:w="4417" w:type="dxa"/>
            <w:vMerge w:val="continue"/>
            <w:vAlign w:val="center"/>
          </w:tcPr>
          <w:p>
            <w:pPr>
              <w:spacing w:line="300" w:lineRule="exact"/>
              <w:outlineLvl w:val="0"/>
              <w:rPr>
                <w:rFonts w:ascii="Times New Roman" w:hAnsi="Times New Roman" w:cs="Times New Roman"/>
                <w:color w:val="auto"/>
                <w:szCs w:val="24"/>
              </w:rPr>
            </w:pPr>
          </w:p>
        </w:tc>
        <w:tc>
          <w:tcPr>
            <w:tcW w:w="1134" w:type="dxa"/>
            <w:vMerge w:val="continue"/>
            <w:vAlign w:val="center"/>
          </w:tcPr>
          <w:p>
            <w:pPr>
              <w:spacing w:line="300" w:lineRule="exact"/>
              <w:outlineLvl w:val="0"/>
              <w:rPr>
                <w:rFonts w:ascii="Times New Roman" w:hAnsi="Times New Roman" w:cs="Times New Roman"/>
                <w:color w:val="auto"/>
                <w:szCs w:val="24"/>
              </w:rPr>
            </w:pPr>
          </w:p>
        </w:tc>
        <w:tc>
          <w:tcPr>
            <w:tcW w:w="1276" w:type="dxa"/>
            <w:vMerge w:val="continue"/>
            <w:vAlign w:val="center"/>
          </w:tcPr>
          <w:p>
            <w:pPr>
              <w:spacing w:line="300" w:lineRule="exact"/>
              <w:outlineLvl w:val="0"/>
              <w:rPr>
                <w:rFonts w:ascii="Times New Roman" w:hAnsi="Times New Roman" w:cs="Times New Roman"/>
                <w:color w:val="auto"/>
                <w:szCs w:val="24"/>
              </w:rPr>
            </w:pPr>
          </w:p>
        </w:tc>
        <w:tc>
          <w:tcPr>
            <w:tcW w:w="2902" w:type="dxa"/>
            <w:vMerge w:val="continue"/>
            <w:vAlign w:val="center"/>
          </w:tcPr>
          <w:p>
            <w:pPr>
              <w:spacing w:line="300" w:lineRule="exac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ascii="Times New Roman" w:hAnsi="Times New Roman" w:eastAsia="方正书宋_GBK" w:cs="Times New Roman"/>
                <w:color w:val="auto"/>
                <w:szCs w:val="24"/>
              </w:rPr>
            </w:pPr>
            <w:r>
              <w:rPr>
                <w:rFonts w:hint="eastAsia" w:ascii="方正书宋_GBK" w:eastAsia="方正书宋_GBK"/>
                <w:color w:val="auto"/>
              </w:rPr>
              <w:t>曲阳县安全生产监督管理局机关</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行政</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正科级</w:t>
            </w:r>
          </w:p>
        </w:tc>
        <w:tc>
          <w:tcPr>
            <w:tcW w:w="2902"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ascii="Times New Roman" w:hAnsi="Times New Roman" w:eastAsia="方正书宋_GBK" w:cs="Times New Roman"/>
                <w:color w:val="auto"/>
                <w:szCs w:val="24"/>
              </w:rPr>
            </w:pPr>
            <w:r>
              <w:rPr>
                <w:rFonts w:hint="eastAsia" w:ascii="方正书宋_GBK" w:eastAsia="方正书宋_GBK"/>
                <w:color w:val="auto"/>
              </w:rPr>
              <w:t>曲阳县培训认证中心</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股级</w:t>
            </w:r>
          </w:p>
        </w:tc>
        <w:tc>
          <w:tcPr>
            <w:tcW w:w="2902"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ascii="Times New Roman" w:hAnsi="Times New Roman" w:eastAsia="方正书宋_GBK" w:cs="Times New Roman"/>
                <w:color w:val="auto"/>
                <w:szCs w:val="24"/>
              </w:rPr>
            </w:pPr>
            <w:r>
              <w:rPr>
                <w:rFonts w:hint="eastAsia" w:ascii="方正书宋_GBK" w:eastAsia="方正书宋_GBK"/>
                <w:color w:val="auto"/>
              </w:rPr>
              <w:t>曲阳县安全监察大队</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正科级</w:t>
            </w:r>
          </w:p>
        </w:tc>
        <w:tc>
          <w:tcPr>
            <w:tcW w:w="2902"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ascii="Times New Roman" w:hAnsi="Times New Roman" w:eastAsia="方正书宋_GBK" w:cs="Times New Roman"/>
                <w:color w:val="auto"/>
                <w:szCs w:val="24"/>
              </w:rPr>
            </w:pPr>
            <w:r>
              <w:rPr>
                <w:rFonts w:hint="eastAsia" w:ascii="方正书宋_GBK" w:eastAsia="方正书宋_GBK"/>
                <w:color w:val="auto"/>
              </w:rPr>
              <w:t>曲阳县煤炭矿山公安大队</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正处级</w:t>
            </w:r>
          </w:p>
        </w:tc>
        <w:tc>
          <w:tcPr>
            <w:tcW w:w="2902"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财政性资金定额或定项补助</w:t>
            </w:r>
          </w:p>
        </w:tc>
      </w:tr>
    </w:tbl>
    <w:p>
      <w:pPr>
        <w:ind w:firstLine="640"/>
        <w:rPr>
          <w:rFonts w:ascii="黑体" w:hAnsi="黑体" w:eastAsia="黑体" w:cs="Times New Roman"/>
          <w:color w:val="auto"/>
          <w:sz w:val="32"/>
          <w:szCs w:val="32"/>
        </w:rPr>
      </w:pPr>
    </w:p>
    <w:p>
      <w:pPr>
        <w:ind w:firstLine="640"/>
        <w:rPr>
          <w:rFonts w:ascii="黑体" w:hAnsi="黑体" w:eastAsia="黑体" w:cs="Times New Roman"/>
          <w:color w:val="auto"/>
          <w:sz w:val="32"/>
          <w:szCs w:val="32"/>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r>
        <w:rPr>
          <w:rFonts w:hint="eastAsia" w:ascii="Times New Roman" w:hAnsi="Times New Roman" w:eastAsia="仿宋" w:cs="Times New Roman"/>
          <w:color w:val="auto"/>
          <w:sz w:val="32"/>
          <w:szCs w:val="32"/>
        </w:rPr>
        <w:t>曲阳县安全生产监督管理局</w:t>
      </w:r>
      <w:r>
        <w:rPr>
          <w:rFonts w:ascii="Times New Roman" w:hAnsi="Times New Roman" w:eastAsia="仿宋" w:cs="Times New Roman"/>
          <w:color w:val="auto"/>
          <w:sz w:val="32"/>
          <w:szCs w:val="32"/>
        </w:rPr>
        <w:t>及所属事业单位的收支包含在部门预算中。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反应本部门当年全部收入。2019年预算收入833.79万元，其中：一般公共预算收入753.79万元，基金预算收入0万元，财政专户核拨收入0万元，其他收入80万元。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安全生产监督管理局年度部门预算中支出预算的总体情况。2019年部门支出预算为833.79万元，其中基本支出785.22万元，包括人员经费726.56万元和日常公用经费58.66万元；项目支出48.57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2019年，部门预算收支安排833.79万元，较2018年增长37.7万元，其中：基本支出增长64.37万元，主要是增加人员经费；项目支出减少26.67万元，主要是由于减少了项目经费。</w:t>
      </w:r>
    </w:p>
    <w:p>
      <w:pPr>
        <w:autoSpaceDE w:val="0"/>
        <w:autoSpaceDN w:val="0"/>
        <w:ind w:firstLine="960" w:firstLineChars="300"/>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ind w:left="198"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机关运行经费共计安排36.61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ind w:left="198"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ind w:left="198"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财政拨款“三公”经费预算安排2万元，其中：因公出国（境）费0万元；公务用车购置及运维费0万元（其中：公务用车运行维护费2万元，公务用车购置费0万元)；公务接待费0万元。“三公”经费与上年持平，无增减变化。</w:t>
      </w:r>
    </w:p>
    <w:p>
      <w:pPr>
        <w:autoSpaceDE w:val="0"/>
        <w:autoSpaceDN w:val="0"/>
        <w:ind w:left="198"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spacing w:line="500" w:lineRule="exact"/>
        <w:ind w:firstLine="560"/>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总体绩效目标：</w:t>
      </w:r>
    </w:p>
    <w:p>
      <w:pPr>
        <w:spacing w:line="500" w:lineRule="exact"/>
        <w:ind w:firstLine="560"/>
        <w:rPr>
          <w:rFonts w:ascii="方正仿宋_GBK" w:eastAsia="方正仿宋_GBK"/>
          <w:color w:val="auto"/>
          <w:sz w:val="28"/>
        </w:rPr>
      </w:pPr>
      <w:r>
        <w:rPr>
          <w:rFonts w:ascii="方正仿宋_GBK" w:eastAsia="方正仿宋_GBK"/>
          <w:color w:val="auto"/>
          <w:sz w:val="28"/>
        </w:rPr>
        <w:t>曲阳县安全生产监督管理局以党的十九大精神为指导，以县委、县政府工作部署，承担全县安全生产综合监督管理责任，依法行使综合监督管理职权；根据《</w:t>
      </w:r>
      <w:r>
        <w:rPr>
          <w:rFonts w:hint="eastAsia" w:ascii="方正仿宋_GBK" w:eastAsia="方正仿宋_GBK"/>
          <w:color w:val="auto"/>
          <w:sz w:val="28"/>
          <w:lang w:eastAsia="zh-CN"/>
        </w:rPr>
        <w:t>中华人民共和国</w:t>
      </w:r>
      <w:r>
        <w:rPr>
          <w:rFonts w:ascii="方正仿宋_GBK" w:eastAsia="方正仿宋_GBK"/>
          <w:color w:val="auto"/>
          <w:sz w:val="28"/>
        </w:rPr>
        <w:t>安全生产法》、《安全生产违法行为行政处罚办法》等法律法规，依法开展执法检查工作，对发现的安全生产违法行为依法进行行政处罚，遏制重特大事故发生，确保全县安全生产形势稳定好转。</w:t>
      </w:r>
    </w:p>
    <w:p>
      <w:pPr>
        <w:spacing w:line="500" w:lineRule="exact"/>
        <w:ind w:firstLine="560"/>
        <w:rPr>
          <w:rFonts w:ascii="方正仿宋_GBK" w:eastAsia="方正仿宋_GBK"/>
          <w:color w:val="auto"/>
          <w:sz w:val="28"/>
        </w:rPr>
      </w:pPr>
      <w:r>
        <w:rPr>
          <w:rFonts w:ascii="方正仿宋_GBK" w:eastAsia="方正仿宋_GBK"/>
          <w:color w:val="auto"/>
          <w:sz w:val="28"/>
        </w:rPr>
        <w:t>（一）进一步推进企业安全生产主体责任落实。以安全事项清单化管理和隐患排查治理信息系统建设为抓手，落实各企业的安全生产全面责任。</w:t>
      </w:r>
    </w:p>
    <w:p>
      <w:pPr>
        <w:spacing w:line="500" w:lineRule="exact"/>
        <w:ind w:firstLine="560"/>
        <w:rPr>
          <w:rFonts w:ascii="方正仿宋_GBK" w:eastAsia="方正仿宋_GBK"/>
          <w:color w:val="auto"/>
          <w:sz w:val="28"/>
        </w:rPr>
      </w:pPr>
      <w:r>
        <w:rPr>
          <w:rFonts w:ascii="方正仿宋_GBK" w:eastAsia="方正仿宋_GBK"/>
          <w:color w:val="auto"/>
          <w:sz w:val="28"/>
        </w:rPr>
        <w:t>（二）进一步加强基础工作。继续推进企业标准化、诚信企业创建、隐患排查治理体系建设等基础性工作，通过开展基础性创建工作，进一步夯实安全生产工作基础。</w:t>
      </w:r>
    </w:p>
    <w:p>
      <w:pPr>
        <w:spacing w:line="500" w:lineRule="exact"/>
        <w:ind w:firstLine="560"/>
        <w:rPr>
          <w:rFonts w:ascii="方正仿宋_GBK" w:eastAsia="方正仿宋_GBK"/>
          <w:color w:val="auto"/>
          <w:sz w:val="28"/>
        </w:rPr>
      </w:pPr>
      <w:r>
        <w:rPr>
          <w:rFonts w:ascii="方正仿宋_GBK" w:eastAsia="方正仿宋_GBK"/>
          <w:color w:val="auto"/>
          <w:sz w:val="28"/>
        </w:rPr>
        <w:t>（三）进一步加大安全生产宣传教育力度。深入开展全国第17个“安全生产月”活动，广泛宣传普及安全知识。继续加强对企业负责人、安全管理人员、从业人员、特种作业人员的培训力度，努力提高人员素质。</w:t>
      </w:r>
    </w:p>
    <w:p>
      <w:pPr>
        <w:spacing w:line="500" w:lineRule="exact"/>
        <w:ind w:firstLine="560"/>
        <w:rPr>
          <w:rFonts w:ascii="方正仿宋_GBK" w:eastAsia="方正仿宋_GBK"/>
          <w:color w:val="auto"/>
          <w:sz w:val="28"/>
        </w:rPr>
      </w:pPr>
      <w:r>
        <w:rPr>
          <w:rFonts w:ascii="方正仿宋_GBK" w:eastAsia="方正仿宋_GBK"/>
          <w:color w:val="auto"/>
          <w:sz w:val="28"/>
        </w:rPr>
        <w:t>（四）进一步加大对重点行业专项整治力度。继续深化非煤矿山、危险化学品、烟花爆竹等行业领域的整治力度，确保重点行业安全生产形势稳定。</w:t>
      </w:r>
    </w:p>
    <w:p>
      <w:pPr>
        <w:autoSpaceDE w:val="0"/>
        <w:autoSpaceDN w:val="0"/>
        <w:ind w:left="198" w:firstLine="643" w:firstLineChars="200"/>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为了落实好2019年全县的安全生产工作为基调，我单位扎实开展好工作，确保全县安全生产工作安全稳定。</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1、组织全县安全生产综合监督管理</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定期组织在全县开展安全生产督导检查活动，对重点行业和作业场所职业卫生安全生产加强行政执法监察，依法对违法行为实施行政处罚；不断加强安全生产监管能力建设，改善执法检测、监察检查等能力。加强重大危险源的监测、监控安全管理，建设县级监管体系；开展重大危险源执法检查工作。组织调查处理职业危害事故和违法违规行为；组织查处用人单位职业病危害事故。  组织制订全县各行业隐患排查标准；组织开展安全生产事故专项调查；提出安全生产举报奖励意见；开展安全生产宣传教育活动，定期向社会公布安全生产重大事项情况；组织对安全生产责任人.</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2、重点行业安全生产监管</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 加强煤矿的安全生产执法、职业卫生监管和隐患排查力度；实施全县煤矿整合关闭等整顿政策；组织开展煤矿安全生产标准化和执法活动；监督指导煤矿安全事故隐患排查治理；监督指导</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3、组织指挥和协调全县安全生产应急救援</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组织指导全县安全生产应急救援预案编制和备案管理，结合事故多发、易发，应急管理基础薄弱的地区、领域、时段、岗位等重点，组织开展实战化应急演练。          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 启动应急预案，组织协调救援力量、装备、专家参与救援.</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4、安全生产政务管理</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制定全县安全生产发展战略和规划、指导系统业务活动；加强专项资金监管；开展对外合作交流；加强安全生产审批管理；信访接待、业务宣传、政务信息公开等工作；开展网上行政服务；依法行政等。做好会议组织管理、信息化建设与维护、机关财务和资产管理、标准化建设、基建及维修、大型设备购置、人事管理、党务管理、老干部工作等。负责直属企事业单位管理工作。原煤炭局矿山死亡家属抚恤金工作安抚，补助覆盖率100%，优抚对象抚恤金和生活补助足额兑现，补助人群生活的到有效改善。</w:t>
      </w:r>
    </w:p>
    <w:p>
      <w:pPr>
        <w:spacing w:line="500" w:lineRule="exact"/>
        <w:ind w:firstLine="560"/>
        <w:rPr>
          <w:rFonts w:ascii="方正仿宋_GBK" w:eastAsia="方正仿宋_GBK"/>
          <w:color w:val="auto"/>
          <w:sz w:val="28"/>
        </w:rPr>
      </w:pPr>
    </w:p>
    <w:p>
      <w:pPr>
        <w:autoSpaceDE w:val="0"/>
        <w:autoSpaceDN w:val="0"/>
        <w:ind w:left="198" w:firstLine="643" w:firstLineChars="200"/>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p>
    <w:p>
      <w:pPr>
        <w:jc w:val="center"/>
        <w:outlineLvl w:val="0"/>
        <w:rPr>
          <w:rFonts w:ascii="方正小标宋_GBK" w:eastAsia="方正小标宋_GBK"/>
          <w:color w:val="auto"/>
          <w:sz w:val="32"/>
        </w:rPr>
      </w:pPr>
      <w:bookmarkStart w:id="0" w:name="_Toc536865369"/>
      <w:r>
        <w:rPr>
          <w:rFonts w:hint="eastAsia" w:ascii="方正小标宋_GBK" w:eastAsia="方正小标宋_GBK"/>
          <w:color w:val="auto"/>
          <w:sz w:val="32"/>
        </w:rPr>
        <w:t>部门职责-工作活动绩效目标</w:t>
      </w:r>
      <w:r>
        <w:rPr>
          <w:rStyle w:val="7"/>
          <w:rFonts w:ascii="方正小标宋_GBK" w:eastAsia="方正小标宋_GBK"/>
          <w:color w:val="auto"/>
          <w:sz w:val="32"/>
        </w:rPr>
        <w:footnoteReference w:id="0" w:customMarkFollows="1"/>
        <w:sym w:font="Symbol" w:char="F020"/>
      </w:r>
      <w:bookmarkEnd w:id="0"/>
    </w:p>
    <w:tbl>
      <w:tblPr>
        <w:tblStyle w:val="5"/>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112"/>
        <w:gridCol w:w="2977"/>
        <w:gridCol w:w="3139"/>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auto"/>
                <w:sz w:val="24"/>
              </w:rPr>
            </w:pPr>
            <w:r>
              <w:rPr>
                <w:rFonts w:ascii="方正小标宋_GBK" w:eastAsia="方正小标宋_GBK"/>
                <w:color w:val="auto"/>
                <w:sz w:val="24"/>
              </w:rPr>
              <w:t>342</w:t>
            </w:r>
            <w:r>
              <w:rPr>
                <w:rFonts w:hint="eastAsia" w:ascii="方正小标宋_GBK" w:eastAsia="方正小标宋_GBK"/>
                <w:color w:val="auto"/>
                <w:sz w:val="24"/>
              </w:rPr>
              <w:t>曲阳县安全生产监督管理局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112"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313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outlineLvl w:val="0"/>
              <w:rPr>
                <w:color w:val="auto"/>
              </w:rPr>
            </w:pPr>
          </w:p>
        </w:tc>
        <w:tc>
          <w:tcPr>
            <w:tcW w:w="1112" w:type="dxa"/>
            <w:vMerge w:val="continue"/>
            <w:shd w:val="clear" w:color="auto" w:fill="auto"/>
            <w:vAlign w:val="center"/>
          </w:tcPr>
          <w:p>
            <w:pPr>
              <w:spacing w:line="300" w:lineRule="exact"/>
              <w:outlineLvl w:val="0"/>
              <w:rPr>
                <w:color w:val="auto"/>
              </w:rPr>
            </w:pPr>
          </w:p>
        </w:tc>
        <w:tc>
          <w:tcPr>
            <w:tcW w:w="2977" w:type="dxa"/>
            <w:vMerge w:val="continue"/>
            <w:shd w:val="clear" w:color="auto" w:fill="auto"/>
            <w:vAlign w:val="center"/>
          </w:tcPr>
          <w:p>
            <w:pPr>
              <w:spacing w:line="300" w:lineRule="exact"/>
              <w:outlineLvl w:val="0"/>
              <w:rPr>
                <w:color w:val="auto"/>
              </w:rPr>
            </w:pPr>
          </w:p>
        </w:tc>
        <w:tc>
          <w:tcPr>
            <w:tcW w:w="3139" w:type="dxa"/>
            <w:vMerge w:val="continue"/>
            <w:shd w:val="clear" w:color="auto" w:fill="auto"/>
            <w:vAlign w:val="center"/>
          </w:tcPr>
          <w:p>
            <w:pPr>
              <w:spacing w:line="300" w:lineRule="exact"/>
              <w:outlineLvl w:val="0"/>
              <w:rPr>
                <w:color w:val="auto"/>
              </w:rPr>
            </w:pPr>
          </w:p>
        </w:tc>
        <w:tc>
          <w:tcPr>
            <w:tcW w:w="1417" w:type="dxa"/>
            <w:vMerge w:val="continue"/>
            <w:shd w:val="clear" w:color="auto" w:fill="auto"/>
            <w:vAlign w:val="center"/>
          </w:tcPr>
          <w:p>
            <w:pPr>
              <w:spacing w:line="300" w:lineRule="exac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74"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一、一、组织全县安全生产综合监督管理</w:t>
            </w:r>
          </w:p>
        </w:tc>
        <w:tc>
          <w:tcPr>
            <w:tcW w:w="1112"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18.00</w:t>
            </w:r>
          </w:p>
        </w:tc>
        <w:tc>
          <w:tcPr>
            <w:tcW w:w="297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承担全县安全生产综合监督管理责任，依法行使综合监督管理职权；根据</w:t>
            </w:r>
            <w:bookmarkStart w:id="3" w:name="_GoBack"/>
            <w:bookmarkEnd w:id="3"/>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w:t>
            </w:r>
          </w:p>
        </w:tc>
        <w:tc>
          <w:tcPr>
            <w:tcW w:w="3139"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定期组织在全县开展安全生产督导检查活动，对重点行业和作业场所职业卫生安全生产加强行政执法监察，依法对违法行为实施行政处罚；不断加强安全生产监管能力建设，改善执法检测、监察检查等能力。加强重大危险源的监测、监控安全管理，建设县级监管体系；开展重大危险源执法检查工作。组织调查处理职业危害事故和违法违规行为；组织查处用人单位职业病危害事故。</w:t>
            </w:r>
            <w:r>
              <w:rPr>
                <w:rFonts w:ascii="方正书宋_GBK" w:eastAsia="方正书宋_GBK"/>
                <w:color w:val="auto"/>
              </w:rPr>
              <w:t xml:space="preserve">  </w:t>
            </w:r>
            <w:r>
              <w:rPr>
                <w:rFonts w:hint="eastAsia" w:ascii="方正书宋_GBK" w:eastAsia="方正书宋_GBK"/>
                <w:color w:val="auto"/>
              </w:rPr>
              <w:t>组织制订全县各行业隐患排查标准；组织开展安全生产事故专项调查；提出安全生产举报奖励意见；开展安全生产宣传教育活动，定期向社会公布安全生产重大事项情况；组织对安全生产责任人</w:t>
            </w:r>
          </w:p>
        </w:tc>
        <w:tc>
          <w:tcPr>
            <w:tcW w:w="1417" w:type="dxa"/>
            <w:shd w:val="clear" w:color="auto" w:fill="auto"/>
            <w:vAlign w:val="center"/>
          </w:tcPr>
          <w:p>
            <w:pPr>
              <w:spacing w:line="300" w:lineRule="exac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、加强安全生产执法监察检查</w:t>
            </w:r>
          </w:p>
        </w:tc>
        <w:tc>
          <w:tcPr>
            <w:tcW w:w="1112" w:type="dxa"/>
            <w:vMerge w:val="restart"/>
            <w:shd w:val="clear" w:color="auto" w:fill="auto"/>
            <w:vAlign w:val="center"/>
          </w:tcPr>
          <w:p>
            <w:pPr>
              <w:spacing w:line="300" w:lineRule="exact"/>
              <w:rPr>
                <w:rFonts w:ascii="方正书宋_GBK" w:eastAsia="方正书宋_GBK"/>
                <w:color w:val="auto"/>
              </w:rPr>
            </w:pPr>
            <w:r>
              <w:rPr>
                <w:rFonts w:ascii="方正书宋_GBK" w:eastAsia="方正书宋_GBK"/>
                <w:color w:val="auto"/>
              </w:rPr>
              <w:t>18.00</w:t>
            </w: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定期组织在全县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通过督导检查全县安全生产，最大限度地发现、纠正、督促企业消除各类隐患，预防和减少事故的发生，确保全县安全生产形势持续稳定好转</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行政处罚率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生产经营单位执法检查率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隐患整改率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112" w:type="dxa"/>
            <w:vMerge w:val="restart"/>
            <w:shd w:val="clear" w:color="auto" w:fill="auto"/>
            <w:vAlign w:val="center"/>
          </w:tcPr>
          <w:p>
            <w:pPr>
              <w:spacing w:line="300" w:lineRule="exact"/>
              <w:rPr>
                <w:rFonts w:ascii="方正书宋_GBK" w:eastAsia="方正书宋_GBK"/>
                <w:color w:val="auto"/>
              </w:rPr>
            </w:pP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加强重大危险源的监测、监控、辨识与评估及登记建档、备案与核销等安全管理；建设县级重大危险源单位监管体系；开展重大危险源执法检查工作。</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危险源点安全运行率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重大危险源备案数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重大危险源辨识、登记建档数</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重大危险源企业备案率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、加强职业危害防治及专项治理</w:t>
            </w:r>
          </w:p>
        </w:tc>
        <w:tc>
          <w:tcPr>
            <w:tcW w:w="1112" w:type="dxa"/>
            <w:vMerge w:val="restart"/>
            <w:shd w:val="clear" w:color="auto" w:fill="auto"/>
            <w:vAlign w:val="center"/>
          </w:tcPr>
          <w:p>
            <w:pPr>
              <w:spacing w:line="300" w:lineRule="exact"/>
              <w:rPr>
                <w:rFonts w:ascii="方正书宋_GBK" w:eastAsia="方正书宋_GBK"/>
                <w:color w:val="auto"/>
              </w:rPr>
            </w:pP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承担工矿商贸作业场所（煤矿作业场所除外）职业卫生监督检查责任，依法颁发和管理职业卫生安全许可证，组织调查处理职业危害事故和违法违规行为；完成对水泥、石材加工行业以及重点行业的专项治理，组织查处用人单位职业病危害事故。</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开展职业病危害严重行业的专项治理，组织职业病危害项目申报工作，查处用人单位职业病危害事故和违法行为。</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树立职业卫生标杆示范企业数量</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群体性职业病危害事件发生次数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职业病危害专项治理企业占比数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、构建和完善安全生产监管体系</w:t>
            </w:r>
          </w:p>
        </w:tc>
        <w:tc>
          <w:tcPr>
            <w:tcW w:w="1112" w:type="dxa"/>
            <w:vMerge w:val="restart"/>
            <w:shd w:val="clear" w:color="auto" w:fill="auto"/>
            <w:vAlign w:val="center"/>
          </w:tcPr>
          <w:p>
            <w:pPr>
              <w:spacing w:line="300" w:lineRule="exact"/>
              <w:rPr>
                <w:rFonts w:ascii="方正书宋_GBK" w:eastAsia="方正书宋_GBK"/>
                <w:color w:val="auto"/>
              </w:rPr>
            </w:pP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制定实施行业及有关综合性安全生产规章、规程和工矿商贸安全生产标准；组织开展安全生产事故专项调查；提出安全生产举报奖励意见；开展安全生产宣传教育活动，定期向社会公布安全生产重大事项情况；组织全县安全生产目标管理及考核工作；促进企业全面落实安全生产诚信管理。</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基本建成全县安全生产隐患排查治理体系，提高生产经营单位建设标准，规范安全生产操作规程，提升特种作业人员安全操作能力和执法监察能力和水平，加大安全生产宣传和信息公开力度，提高全社会安全生产意识，提高事故调查工作的准确性、真实性和可靠性，组织完成安全生产责任目标考核，推进企业诚信和承诺制相关工作制度化、信息化。</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信息平台功能实现情况</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监管覆盖率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安全培训达标率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安全事故有效处理率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A</w:t>
            </w:r>
            <w:r>
              <w:rPr>
                <w:rFonts w:hint="eastAsia" w:ascii="方正书宋_GBK" w:eastAsia="方正书宋_GBK"/>
                <w:color w:val="auto"/>
              </w:rPr>
              <w:t>级以上企业比例</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安全生产标准化达标率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专项抽查覆盖率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、促进安全生产科学技术研究与推广应用</w:t>
            </w:r>
          </w:p>
        </w:tc>
        <w:tc>
          <w:tcPr>
            <w:tcW w:w="1112" w:type="dxa"/>
            <w:vMerge w:val="restart"/>
            <w:shd w:val="clear" w:color="auto" w:fill="auto"/>
            <w:vAlign w:val="center"/>
          </w:tcPr>
          <w:p>
            <w:pPr>
              <w:spacing w:line="300" w:lineRule="exact"/>
              <w:rPr>
                <w:rFonts w:ascii="方正书宋_GBK" w:eastAsia="方正书宋_GBK"/>
                <w:color w:val="auto"/>
              </w:rPr>
            </w:pP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组织有关企事业单位和科研院所开展全县安全生产创新科技成果研发和推广；按照国家统一要求，组织推荐申报国家安全生产科技成果。</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完成科技成果奖励和推广应用工作</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创新科技成果评选</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优秀成果数量</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安全科技成果推广应用效果</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事故下降</w:t>
            </w:r>
            <w:r>
              <w:rPr>
                <w:rFonts w:ascii="方正书宋_GBK" w:eastAsia="方正书宋_GBK"/>
                <w:color w:val="auto"/>
              </w:rPr>
              <w:t>2%</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事故下降</w:t>
            </w: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持平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上升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二、重点行业安全生产监管</w:t>
            </w:r>
          </w:p>
        </w:tc>
        <w:tc>
          <w:tcPr>
            <w:tcW w:w="1112" w:type="dxa"/>
            <w:shd w:val="clear" w:color="auto" w:fill="auto"/>
            <w:vAlign w:val="center"/>
          </w:tcPr>
          <w:p>
            <w:pPr>
              <w:spacing w:line="300" w:lineRule="exact"/>
              <w:rPr>
                <w:rFonts w:ascii="方正书宋_GBK" w:eastAsia="方正书宋_GBK"/>
                <w:color w:val="auto"/>
              </w:rPr>
            </w:pPr>
          </w:p>
        </w:tc>
        <w:tc>
          <w:tcPr>
            <w:tcW w:w="297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按照分级、属地原则，依法监督检查工矿商贸生产经营单位贯彻执行安全生产法律法规情况及其安全生产条件和有关设备</w:t>
            </w:r>
            <w:r>
              <w:rPr>
                <w:rFonts w:ascii="方正书宋_GBK" w:eastAsia="方正书宋_GBK"/>
                <w:color w:val="auto"/>
              </w:rPr>
              <w:t>(</w:t>
            </w:r>
            <w:r>
              <w:rPr>
                <w:rFonts w:hint="eastAsia" w:ascii="方正书宋_GBK" w:eastAsia="方正书宋_GBK"/>
                <w:color w:val="auto"/>
              </w:rPr>
              <w:t>适用《特种设备安全监察条例》的特种设备除外</w:t>
            </w:r>
            <w:r>
              <w:rPr>
                <w:rFonts w:ascii="方正书宋_GBK" w:eastAsia="方正书宋_GBK"/>
                <w:color w:val="auto"/>
              </w:rPr>
              <w:t>)</w:t>
            </w:r>
            <w:r>
              <w:rPr>
                <w:rFonts w:hint="eastAsia" w:ascii="方正书宋_GBK" w:eastAsia="方正书宋_GBK"/>
                <w:color w:val="auto"/>
              </w:rPr>
              <w:t>、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tc>
        <w:tc>
          <w:tcPr>
            <w:tcW w:w="3139"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p>
            <w:pPr>
              <w:spacing w:line="300" w:lineRule="exact"/>
              <w:rPr>
                <w:rFonts w:ascii="方正书宋_GBK" w:eastAsia="方正书宋_GBK"/>
                <w:color w:val="auto"/>
              </w:rPr>
            </w:pPr>
            <w:r>
              <w:rPr>
                <w:rFonts w:ascii="方正书宋_GBK" w:eastAsia="方正书宋_GBK"/>
                <w:color w:val="auto"/>
              </w:rPr>
              <w:t xml:space="preserve">    </w:t>
            </w:r>
            <w:r>
              <w:rPr>
                <w:rFonts w:hint="eastAsia" w:ascii="方正书宋_GBK" w:eastAsia="方正书宋_GBK"/>
                <w:color w:val="auto"/>
              </w:rPr>
              <w:t>加强煤矿的安全生产执法、职业卫生监管和隐患排查力度；实施全县煤矿整合关闭等整顿政策；组织开展煤矿安全生产标准化和执法活动；监督指导煤矿安全事故隐患排查治理；监督指导</w:t>
            </w:r>
          </w:p>
        </w:tc>
        <w:tc>
          <w:tcPr>
            <w:tcW w:w="1417" w:type="dxa"/>
            <w:shd w:val="clear" w:color="auto" w:fill="auto"/>
            <w:vAlign w:val="center"/>
          </w:tcPr>
          <w:p>
            <w:pPr>
              <w:spacing w:line="300" w:lineRule="exac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、加强高危重点行业、商贸及金属非金属矿山安全生产监管</w:t>
            </w:r>
          </w:p>
        </w:tc>
        <w:tc>
          <w:tcPr>
            <w:tcW w:w="1112" w:type="dxa"/>
            <w:vMerge w:val="restart"/>
            <w:shd w:val="clear" w:color="auto" w:fill="auto"/>
            <w:vAlign w:val="center"/>
          </w:tcPr>
          <w:p>
            <w:pPr>
              <w:spacing w:line="300" w:lineRule="exact"/>
              <w:rPr>
                <w:rFonts w:ascii="方正书宋_GBK" w:eastAsia="方正书宋_GBK"/>
                <w:color w:val="auto"/>
              </w:rPr>
            </w:pP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加强高危行业安全生产事故排查和事故隐患治理力度</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矿山整治率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隐患整改率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事故发生数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排查高危生产经营企业（家）安全隐患企业数量</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隐患排查率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事故有效处理率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、加强煤炭安全监管</w:t>
            </w:r>
          </w:p>
        </w:tc>
        <w:tc>
          <w:tcPr>
            <w:tcW w:w="1112" w:type="dxa"/>
            <w:vMerge w:val="restart"/>
            <w:shd w:val="clear" w:color="auto" w:fill="auto"/>
            <w:vAlign w:val="center"/>
          </w:tcPr>
          <w:p>
            <w:pPr>
              <w:spacing w:line="300" w:lineRule="exact"/>
              <w:rPr>
                <w:rFonts w:ascii="方正书宋_GBK" w:eastAsia="方正书宋_GBK"/>
                <w:color w:val="auto"/>
              </w:rPr>
            </w:pP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加强煤矿的安全生产执法、职业卫生监管和隐患排查力度；实施全县煤矿整合关闭等整顿政策；组织开展煤矿安全生产标准化和执法活动；监督指导煤矿安全事故隐患排查治理；监督指导煤矿灾害防治措施的落实；开展煤矿隐蔽致灾因素普查工作；组织对煤矿建设项目联合试运转审查；监督企业提升煤矿安全保障能力，组织煤矿新建、改扩建、资源整合项目设计审查。</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提高矿井安全质量标准、完成淘汰落后产能任务、消除灾害威胁危害；全县生产矿井安全质量标准化建设全部达标，力争实现动态达标；完成关闭整顿、淘汰落后产能目标任务；同时按设计要求实施煤矿建设项目联合试运转</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煤矿事故起数和死亡人数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低于国家下达目标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与国家下达目标持平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高于国家下达目标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大幅度高于国家下达目标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煤矿关停工作目标完成率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安全质量标准化达标率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煤矿事故有效处理率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、非煤矿山综合治理</w:t>
            </w:r>
          </w:p>
        </w:tc>
        <w:tc>
          <w:tcPr>
            <w:tcW w:w="1112" w:type="dxa"/>
            <w:vMerge w:val="restart"/>
            <w:shd w:val="clear" w:color="auto" w:fill="auto"/>
            <w:vAlign w:val="center"/>
          </w:tcPr>
          <w:p>
            <w:pPr>
              <w:spacing w:line="300" w:lineRule="exact"/>
              <w:rPr>
                <w:rFonts w:ascii="方正书宋_GBK" w:eastAsia="方正书宋_GBK"/>
                <w:color w:val="auto"/>
              </w:rPr>
            </w:pP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对尾矿库进行必库和生态修复，实施石膏矿关闭退出，组织非煤矿山隐患排查活动，实施一批安全隐患治理项目，提升非煤矿山安全生产水平。</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消除危库、险库，完成尾矿库生态修复工作任务，完成石膏矿退出，实现非煤矿山事故起数和死亡人数双下降，坚决遏制较大以上事故。</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尾矿库生态修复任务完成率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非煤矿山安全事故的减少量</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r>
              <w:rPr>
                <w:rFonts w:hint="eastAsia" w:ascii="方正书宋_GBK" w:eastAsia="方正书宋_GBK"/>
                <w:color w:val="auto"/>
              </w:rPr>
              <w:t>起以上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起</w:t>
            </w:r>
            <w:r>
              <w:rPr>
                <w:rFonts w:ascii="方正书宋_GBK" w:eastAsia="方正书宋_GBK"/>
                <w:color w:val="auto"/>
              </w:rPr>
              <w:t>-3</w:t>
            </w:r>
            <w:r>
              <w:rPr>
                <w:rFonts w:hint="eastAsia" w:ascii="方正书宋_GBK" w:eastAsia="方正书宋_GBK"/>
                <w:color w:val="auto"/>
              </w:rPr>
              <w:t>起</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与</w:t>
            </w:r>
            <w:r>
              <w:rPr>
                <w:rFonts w:ascii="方正书宋_GBK" w:eastAsia="方正书宋_GBK"/>
                <w:color w:val="auto"/>
              </w:rPr>
              <w:t>2016</w:t>
            </w:r>
            <w:r>
              <w:rPr>
                <w:rFonts w:hint="eastAsia" w:ascii="方正书宋_GBK" w:eastAsia="方正书宋_GBK"/>
                <w:color w:val="auto"/>
              </w:rPr>
              <w:t>年持平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事故增加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隐患排查整改率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石膏矿关停取缔完成率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、全县铁路道口安全管理</w:t>
            </w:r>
          </w:p>
        </w:tc>
        <w:tc>
          <w:tcPr>
            <w:tcW w:w="1112" w:type="dxa"/>
            <w:vMerge w:val="restart"/>
            <w:shd w:val="clear" w:color="auto" w:fill="auto"/>
            <w:vAlign w:val="center"/>
          </w:tcPr>
          <w:p>
            <w:pPr>
              <w:spacing w:line="300" w:lineRule="exact"/>
              <w:rPr>
                <w:rFonts w:ascii="方正书宋_GBK" w:eastAsia="方正书宋_GBK"/>
                <w:color w:val="auto"/>
              </w:rPr>
            </w:pP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制定本县监护道口安全管理制度，会同县政府及铁路部门综合分析全县监护道口安全监护现状及存在问题，制定改进措施，并监督实施；组织全县监护道口安全大检查和专项督查，督促有关部门及时消除安全隐患；配合铁路有关部门对重大道口事故进行调查、处理。</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确保本县铁路道口正常运转；实现道口雨后无积水，天寒无冻结，确保车辆行人安全和铁路交通通畅运行；降低铁路道口交通事故。</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铁路交通运行情况</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通畅运行</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出现拥堵</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发生交通事故</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发生死亡事故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铁路道口标准化创建情况</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铁路道口安全隐患排查整改率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三、组织指挥和协调全县安全生产应急救援</w:t>
            </w:r>
          </w:p>
        </w:tc>
        <w:tc>
          <w:tcPr>
            <w:tcW w:w="1112" w:type="dxa"/>
            <w:shd w:val="clear" w:color="auto" w:fill="auto"/>
            <w:vAlign w:val="center"/>
          </w:tcPr>
          <w:p>
            <w:pPr>
              <w:spacing w:line="300" w:lineRule="exact"/>
              <w:rPr>
                <w:rFonts w:ascii="方正书宋_GBK" w:eastAsia="方正书宋_GBK"/>
                <w:color w:val="auto"/>
              </w:rPr>
            </w:pPr>
          </w:p>
        </w:tc>
        <w:tc>
          <w:tcPr>
            <w:tcW w:w="297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安全生产指导预案编制和备案管理，组织应急救援演练，组织协调全县安全生产救援工作。</w:t>
            </w:r>
          </w:p>
        </w:tc>
        <w:tc>
          <w:tcPr>
            <w:tcW w:w="3139"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组织指导全县安全生产应急救援预案编制和备案管理，结合事故多发、易发，应急管理基础薄弱的地区、领域、时段、岗位等重点，组织开展实战化应急演练。</w:t>
            </w:r>
            <w:r>
              <w:rPr>
                <w:rFonts w:ascii="方正书宋_GBK" w:eastAsia="方正书宋_GBK"/>
                <w:color w:val="auto"/>
              </w:rPr>
              <w:t xml:space="preserve">          </w:t>
            </w:r>
            <w:r>
              <w:rPr>
                <w:rFonts w:hint="eastAsia" w:ascii="方正书宋_GBK" w:eastAsia="方正书宋_GBK"/>
                <w:color w:val="auto"/>
              </w:rPr>
              <w:t>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w:t>
            </w:r>
          </w:p>
          <w:p>
            <w:pPr>
              <w:spacing w:line="300" w:lineRule="exact"/>
              <w:rPr>
                <w:rFonts w:ascii="方正书宋_GBK" w:eastAsia="方正书宋_GBK"/>
                <w:color w:val="auto"/>
              </w:rPr>
            </w:pPr>
            <w:r>
              <w:rPr>
                <w:rFonts w:ascii="方正书宋_GBK" w:eastAsia="方正书宋_GBK"/>
                <w:color w:val="auto"/>
              </w:rPr>
              <w:t xml:space="preserve">   </w:t>
            </w:r>
            <w:r>
              <w:rPr>
                <w:rFonts w:hint="eastAsia" w:ascii="方正书宋_GBK" w:eastAsia="方正书宋_GBK"/>
                <w:color w:val="auto"/>
              </w:rPr>
              <w:t>启动应急预案，组织协调救援力量、装备、专家参与救援，制</w:t>
            </w:r>
          </w:p>
        </w:tc>
        <w:tc>
          <w:tcPr>
            <w:tcW w:w="1417" w:type="dxa"/>
            <w:shd w:val="clear" w:color="auto" w:fill="auto"/>
            <w:vAlign w:val="center"/>
          </w:tcPr>
          <w:p>
            <w:pPr>
              <w:spacing w:line="300" w:lineRule="exac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、组织应急预案编制及应急演练</w:t>
            </w:r>
          </w:p>
        </w:tc>
        <w:tc>
          <w:tcPr>
            <w:tcW w:w="1112" w:type="dxa"/>
            <w:vMerge w:val="restart"/>
            <w:shd w:val="clear" w:color="auto" w:fill="auto"/>
            <w:vAlign w:val="center"/>
          </w:tcPr>
          <w:p>
            <w:pPr>
              <w:spacing w:line="300" w:lineRule="exact"/>
              <w:rPr>
                <w:rFonts w:ascii="方正书宋_GBK" w:eastAsia="方正书宋_GBK"/>
                <w:color w:val="auto"/>
              </w:rPr>
            </w:pP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组织指导全县安全生产应急救援预案编制和备案管理，结合事故多发、易发，应急管理基础薄弱的地区、领域、时段、岗位等重点，组织开展实战化应急演练。</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加强应急预案的管理与实施，及时组织锻炼应急救援队伍，切实提升应急处置能力。</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应急演练次数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应急预案演练完成率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专业救援队伍人员增长率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持平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、加强应急救援体系建设</w:t>
            </w:r>
          </w:p>
        </w:tc>
        <w:tc>
          <w:tcPr>
            <w:tcW w:w="1112" w:type="dxa"/>
            <w:vMerge w:val="restart"/>
            <w:shd w:val="clear" w:color="auto" w:fill="auto"/>
            <w:vAlign w:val="center"/>
          </w:tcPr>
          <w:p>
            <w:pPr>
              <w:spacing w:line="300" w:lineRule="exact"/>
              <w:rPr>
                <w:rFonts w:ascii="方正书宋_GBK" w:eastAsia="方正书宋_GBK"/>
                <w:color w:val="auto"/>
              </w:rPr>
            </w:pP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理顺应急救援工作机制，推动应急救援指挥中心和应急平台建设，提高突发事件的应急救援能力，保证政府及时采取应对措施，避免或降低事故及其危害程度。</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应急管理人员培训人次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应急救援中心设备有效运转率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应急基地演练次数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应急救援平台功能实现率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应急救援装备、设备完好率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、组织实施应急处置与救援</w:t>
            </w:r>
          </w:p>
        </w:tc>
        <w:tc>
          <w:tcPr>
            <w:tcW w:w="1112" w:type="dxa"/>
            <w:vMerge w:val="restart"/>
            <w:shd w:val="clear" w:color="auto" w:fill="auto"/>
            <w:vAlign w:val="center"/>
          </w:tcPr>
          <w:p>
            <w:pPr>
              <w:spacing w:line="300" w:lineRule="exact"/>
              <w:rPr>
                <w:rFonts w:ascii="方正书宋_GBK" w:eastAsia="方正书宋_GBK"/>
                <w:color w:val="auto"/>
              </w:rPr>
            </w:pPr>
          </w:p>
        </w:tc>
        <w:tc>
          <w:tcPr>
            <w:tcW w:w="2977"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启动应急预案，组织协调救援力量、装备、专家参与救援，制定救援方案，科学施救，保障救援工作顺利进行</w:t>
            </w:r>
          </w:p>
        </w:tc>
        <w:tc>
          <w:tcPr>
            <w:tcW w:w="3139"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增强组织协调能力，提高应急救援效果。</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应急预案演练完成率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专业救援队伍人员增长率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112" w:type="dxa"/>
            <w:vMerge w:val="continue"/>
            <w:shd w:val="clear" w:color="auto" w:fill="auto"/>
            <w:vAlign w:val="center"/>
          </w:tcPr>
          <w:p>
            <w:pPr>
              <w:spacing w:line="300" w:lineRule="exact"/>
              <w:rPr>
                <w:rFonts w:ascii="方正书宋_GBK" w:eastAsia="方正书宋_GBK"/>
                <w:color w:val="auto"/>
              </w:rPr>
            </w:pPr>
          </w:p>
        </w:tc>
        <w:tc>
          <w:tcPr>
            <w:tcW w:w="2977" w:type="dxa"/>
            <w:vMerge w:val="continue"/>
            <w:shd w:val="clear" w:color="auto" w:fill="auto"/>
            <w:vAlign w:val="center"/>
          </w:tcPr>
          <w:p>
            <w:pPr>
              <w:spacing w:line="300" w:lineRule="exact"/>
              <w:rPr>
                <w:rFonts w:ascii="方正书宋_GBK" w:eastAsia="方正书宋_GBK"/>
                <w:color w:val="auto"/>
              </w:rPr>
            </w:pPr>
          </w:p>
        </w:tc>
        <w:tc>
          <w:tcPr>
            <w:tcW w:w="3139"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应急救援任务有效完成率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四、安全生产政务管理</w:t>
            </w:r>
          </w:p>
        </w:tc>
        <w:tc>
          <w:tcPr>
            <w:tcW w:w="1112"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30.57</w:t>
            </w:r>
          </w:p>
        </w:tc>
        <w:tc>
          <w:tcPr>
            <w:tcW w:w="297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实施安全生产法规及标准制定</w:t>
            </w:r>
            <w:r>
              <w:rPr>
                <w:rFonts w:ascii="方正书宋_GBK" w:eastAsia="方正书宋_GBK"/>
                <w:color w:val="auto"/>
              </w:rPr>
              <w:t>,</w:t>
            </w:r>
            <w:r>
              <w:rPr>
                <w:rFonts w:hint="eastAsia" w:ascii="方正书宋_GBK" w:eastAsia="方正书宋_GBK"/>
                <w:color w:val="auto"/>
              </w:rPr>
              <w:t>编制安全生产规划，开展安全生产调研和相关政策制订；开展对外合作交流；加强行政审批管理；为保障机关履行安全生产监管基本职责提供必要条件。</w:t>
            </w:r>
          </w:p>
        </w:tc>
        <w:tc>
          <w:tcPr>
            <w:tcW w:w="3139"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制定全县安全生产发展战略和规划、指导系统业务活动；加强专项资金监管；开展对外合作交流；加强安全生产审批管理；信访接待、业务宣传、政务信息公开等工作；开展网上行政服务；依法行政等。</w:t>
            </w:r>
          </w:p>
          <w:p>
            <w:pPr>
              <w:spacing w:line="300" w:lineRule="exact"/>
              <w:rPr>
                <w:rFonts w:ascii="方正书宋_GBK" w:eastAsia="方正书宋_GBK"/>
                <w:color w:val="auto"/>
              </w:rPr>
            </w:pPr>
            <w:r>
              <w:rPr>
                <w:rFonts w:ascii="方正书宋_GBK" w:eastAsia="方正书宋_GBK"/>
                <w:color w:val="auto"/>
              </w:rPr>
              <w:t xml:space="preserve">   </w:t>
            </w:r>
            <w:r>
              <w:rPr>
                <w:rFonts w:hint="eastAsia" w:ascii="方正书宋_GBK" w:eastAsia="方正书宋_GBK"/>
                <w:color w:val="auto"/>
              </w:rPr>
              <w:t>做好会议组织管理、信息化建设与维护、机关财务和资产管理、标准化建设、基建及维修、大型设备购置、人事管理、党务管理、老干部工作等。负责直属企事业单位管理工作。</w:t>
            </w:r>
          </w:p>
        </w:tc>
        <w:tc>
          <w:tcPr>
            <w:tcW w:w="1417" w:type="dxa"/>
            <w:shd w:val="clear" w:color="auto" w:fill="auto"/>
            <w:vAlign w:val="center"/>
          </w:tcPr>
          <w:p>
            <w:pPr>
              <w:spacing w:line="300" w:lineRule="exac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、综合业务管理</w:t>
            </w:r>
          </w:p>
        </w:tc>
        <w:tc>
          <w:tcPr>
            <w:tcW w:w="1112" w:type="dxa"/>
            <w:shd w:val="clear" w:color="auto" w:fill="auto"/>
            <w:vAlign w:val="center"/>
          </w:tcPr>
          <w:p>
            <w:pPr>
              <w:spacing w:line="300" w:lineRule="exact"/>
              <w:rPr>
                <w:rFonts w:ascii="方正书宋_GBK" w:eastAsia="方正书宋_GBK"/>
                <w:color w:val="auto"/>
              </w:rPr>
            </w:pPr>
          </w:p>
        </w:tc>
        <w:tc>
          <w:tcPr>
            <w:tcW w:w="297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制定全县安全生产发展战略和规划、指导系统业务活动；开展安全生产专项调查研究，加强专项资金监管；开展对外合作交流；加强安全生产审批管理；信访接待、业务宣传、政务信息公开等工作；开展网上行政服务；依法行政等。</w:t>
            </w:r>
          </w:p>
        </w:tc>
        <w:tc>
          <w:tcPr>
            <w:tcW w:w="3139"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指导系统业务活动，依法开展网上行政服务。保障各项业务工作畅通。</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综合业务管理工作完成率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、综合事务管理</w:t>
            </w:r>
          </w:p>
        </w:tc>
        <w:tc>
          <w:tcPr>
            <w:tcW w:w="1112"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30.57</w:t>
            </w:r>
          </w:p>
        </w:tc>
        <w:tc>
          <w:tcPr>
            <w:tcW w:w="297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做好会议组织管理、信息化建设与维护、机关财务和资产管理、标准化建设、基建及维修、大型设备购置、人事管理、党务管理、老干部工作等。负责直属企事业单位管理工作。</w:t>
            </w:r>
          </w:p>
        </w:tc>
        <w:tc>
          <w:tcPr>
            <w:tcW w:w="3139"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加强资产管理、完善机关基础建设，保障机关各项工作高效运转。</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综合事务管理工作完成率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bl>
    <w:p>
      <w:pPr>
        <w:spacing w:line="300" w:lineRule="exact"/>
        <w:outlineLvl w:val="0"/>
        <w:rPr>
          <w:color w:val="auto"/>
        </w:rPr>
        <w:sectPr>
          <w:pgSz w:w="16839" w:h="11907" w:orient="landscape"/>
          <w:pgMar w:top="1020" w:right="1361" w:bottom="1020" w:left="1361" w:header="851" w:footer="992" w:gutter="0"/>
          <w:cols w:space="425" w:num="1"/>
          <w:docGrid w:type="lines" w:linePitch="312" w:charSpace="0"/>
        </w:sectPr>
      </w:pPr>
    </w:p>
    <w:p>
      <w:pPr>
        <w:autoSpaceDE w:val="0"/>
        <w:autoSpaceDN w:val="0"/>
        <w:ind w:firstLine="960" w:firstLineChars="300"/>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1"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我部门无</w:t>
      </w:r>
      <w:r>
        <w:rPr>
          <w:rFonts w:ascii="Times New Roman" w:hAnsi="Times New Roman" w:eastAsia="仿宋" w:cs="Times New Roman"/>
          <w:color w:val="auto"/>
          <w:sz w:val="32"/>
          <w:szCs w:val="24"/>
        </w:rPr>
        <w:t>安排政府采购预算。</w:t>
      </w:r>
      <w:bookmarkEnd w:id="1"/>
    </w:p>
    <w:p>
      <w:pPr>
        <w:jc w:val="center"/>
        <w:outlineLvl w:val="0"/>
        <w:rPr>
          <w:rFonts w:hint="eastAsia" w:ascii="方正小标宋_GBK" w:eastAsia="方正小标宋_GBK"/>
          <w:color w:val="auto"/>
          <w:sz w:val="32"/>
        </w:rPr>
      </w:pPr>
      <w:bookmarkStart w:id="2" w:name="_Toc503971530"/>
      <w:r>
        <w:rPr>
          <w:rFonts w:hint="eastAsia" w:ascii="方正小标宋_GBK" w:eastAsia="方正小标宋_GBK"/>
          <w:color w:val="auto"/>
          <w:sz w:val="32"/>
        </w:rPr>
        <w:t>部门政府采购预算</w:t>
      </w:r>
      <w:bookmarkEnd w:id="2"/>
    </w:p>
    <w:tbl>
      <w:tblPr>
        <w:tblStyle w:val="5"/>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5"/>
        <w:gridCol w:w="1076"/>
        <w:gridCol w:w="951"/>
        <w:gridCol w:w="1161"/>
        <w:gridCol w:w="738"/>
        <w:gridCol w:w="967"/>
        <w:gridCol w:w="705"/>
        <w:gridCol w:w="939"/>
        <w:gridCol w:w="940"/>
        <w:gridCol w:w="940"/>
        <w:gridCol w:w="940"/>
        <w:gridCol w:w="943"/>
        <w:gridCol w:w="943"/>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02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p>
        </w:tc>
        <w:tc>
          <w:tcPr>
            <w:tcW w:w="654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01" w:type="dxa"/>
            <w:gridSpan w:val="2"/>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5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116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3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96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705"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545" w:type="dxa"/>
            <w:gridSpan w:val="7"/>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25"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51" w:type="dxa"/>
            <w:vMerge w:val="continue"/>
            <w:shd w:val="clear" w:color="auto" w:fill="auto"/>
            <w:vAlign w:val="center"/>
          </w:tcPr>
          <w:p>
            <w:pPr>
              <w:spacing w:line="300" w:lineRule="exact"/>
              <w:jc w:val="left"/>
              <w:outlineLvl w:val="0"/>
              <w:rPr>
                <w:color w:val="auto"/>
              </w:rPr>
            </w:pPr>
          </w:p>
        </w:tc>
        <w:tc>
          <w:tcPr>
            <w:tcW w:w="1161" w:type="dxa"/>
            <w:vMerge w:val="continue"/>
            <w:shd w:val="clear" w:color="auto" w:fill="auto"/>
            <w:vAlign w:val="center"/>
          </w:tcPr>
          <w:p>
            <w:pPr>
              <w:spacing w:line="300" w:lineRule="exact"/>
              <w:jc w:val="left"/>
              <w:outlineLvl w:val="0"/>
              <w:rPr>
                <w:color w:val="auto"/>
              </w:rPr>
            </w:pPr>
          </w:p>
        </w:tc>
        <w:tc>
          <w:tcPr>
            <w:tcW w:w="738" w:type="dxa"/>
            <w:vMerge w:val="continue"/>
            <w:shd w:val="clear" w:color="auto" w:fill="auto"/>
            <w:vAlign w:val="center"/>
          </w:tcPr>
          <w:p>
            <w:pPr>
              <w:spacing w:line="300" w:lineRule="exact"/>
              <w:jc w:val="left"/>
              <w:outlineLvl w:val="0"/>
              <w:rPr>
                <w:color w:val="auto"/>
              </w:rPr>
            </w:pPr>
          </w:p>
        </w:tc>
        <w:tc>
          <w:tcPr>
            <w:tcW w:w="967" w:type="dxa"/>
            <w:vMerge w:val="continue"/>
            <w:shd w:val="clear" w:color="auto" w:fill="auto"/>
            <w:vAlign w:val="center"/>
          </w:tcPr>
          <w:p>
            <w:pPr>
              <w:spacing w:line="300" w:lineRule="exact"/>
              <w:jc w:val="left"/>
              <w:outlineLvl w:val="0"/>
              <w:rPr>
                <w:color w:val="auto"/>
              </w:rPr>
            </w:pPr>
          </w:p>
        </w:tc>
        <w:tc>
          <w:tcPr>
            <w:tcW w:w="705" w:type="dxa"/>
            <w:vMerge w:val="continue"/>
            <w:shd w:val="clear" w:color="auto" w:fill="auto"/>
            <w:vAlign w:val="center"/>
          </w:tcPr>
          <w:p>
            <w:pPr>
              <w:spacing w:line="300" w:lineRule="exact"/>
              <w:jc w:val="left"/>
              <w:outlineLvl w:val="0"/>
              <w:rPr>
                <w:color w:val="auto"/>
              </w:rPr>
            </w:pPr>
          </w:p>
        </w:tc>
        <w:tc>
          <w:tcPr>
            <w:tcW w:w="93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706" w:type="dxa"/>
            <w:gridSpan w:val="5"/>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0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25" w:type="dxa"/>
            <w:vMerge w:val="continue"/>
            <w:shd w:val="clear" w:color="auto" w:fill="auto"/>
            <w:vAlign w:val="center"/>
          </w:tcPr>
          <w:p>
            <w:pPr>
              <w:spacing w:line="300" w:lineRule="exact"/>
              <w:jc w:val="left"/>
              <w:outlineLvl w:val="0"/>
              <w:rPr>
                <w:color w:val="auto"/>
              </w:rPr>
            </w:pPr>
          </w:p>
        </w:tc>
        <w:tc>
          <w:tcPr>
            <w:tcW w:w="1076" w:type="dxa"/>
            <w:vMerge w:val="continue"/>
            <w:shd w:val="clear" w:color="auto" w:fill="auto"/>
            <w:vAlign w:val="center"/>
          </w:tcPr>
          <w:p>
            <w:pPr>
              <w:spacing w:line="300" w:lineRule="exact"/>
              <w:jc w:val="left"/>
              <w:outlineLvl w:val="0"/>
              <w:rPr>
                <w:color w:val="auto"/>
              </w:rPr>
            </w:pPr>
          </w:p>
        </w:tc>
        <w:tc>
          <w:tcPr>
            <w:tcW w:w="951" w:type="dxa"/>
            <w:vMerge w:val="continue"/>
            <w:shd w:val="clear" w:color="auto" w:fill="auto"/>
            <w:vAlign w:val="center"/>
          </w:tcPr>
          <w:p>
            <w:pPr>
              <w:spacing w:line="300" w:lineRule="exact"/>
              <w:jc w:val="left"/>
              <w:outlineLvl w:val="0"/>
              <w:rPr>
                <w:color w:val="auto"/>
              </w:rPr>
            </w:pPr>
          </w:p>
        </w:tc>
        <w:tc>
          <w:tcPr>
            <w:tcW w:w="1161" w:type="dxa"/>
            <w:vMerge w:val="continue"/>
            <w:shd w:val="clear" w:color="auto" w:fill="auto"/>
            <w:vAlign w:val="center"/>
          </w:tcPr>
          <w:p>
            <w:pPr>
              <w:spacing w:line="300" w:lineRule="exact"/>
              <w:jc w:val="left"/>
              <w:outlineLvl w:val="0"/>
              <w:rPr>
                <w:color w:val="auto"/>
              </w:rPr>
            </w:pPr>
          </w:p>
        </w:tc>
        <w:tc>
          <w:tcPr>
            <w:tcW w:w="738" w:type="dxa"/>
            <w:vMerge w:val="continue"/>
            <w:shd w:val="clear" w:color="auto" w:fill="auto"/>
            <w:vAlign w:val="center"/>
          </w:tcPr>
          <w:p>
            <w:pPr>
              <w:spacing w:line="300" w:lineRule="exact"/>
              <w:jc w:val="left"/>
              <w:outlineLvl w:val="0"/>
              <w:rPr>
                <w:color w:val="auto"/>
              </w:rPr>
            </w:pPr>
          </w:p>
        </w:tc>
        <w:tc>
          <w:tcPr>
            <w:tcW w:w="967" w:type="dxa"/>
            <w:vMerge w:val="continue"/>
            <w:shd w:val="clear" w:color="auto" w:fill="auto"/>
            <w:vAlign w:val="center"/>
          </w:tcPr>
          <w:p>
            <w:pPr>
              <w:spacing w:line="300" w:lineRule="exact"/>
              <w:jc w:val="left"/>
              <w:outlineLvl w:val="0"/>
              <w:rPr>
                <w:color w:val="auto"/>
              </w:rPr>
            </w:pPr>
          </w:p>
        </w:tc>
        <w:tc>
          <w:tcPr>
            <w:tcW w:w="705" w:type="dxa"/>
            <w:vMerge w:val="continue"/>
            <w:shd w:val="clear" w:color="auto" w:fill="auto"/>
            <w:vAlign w:val="center"/>
          </w:tcPr>
          <w:p>
            <w:pPr>
              <w:spacing w:line="300" w:lineRule="exact"/>
              <w:jc w:val="left"/>
              <w:outlineLvl w:val="0"/>
              <w:rPr>
                <w:color w:val="auto"/>
              </w:rPr>
            </w:pPr>
          </w:p>
        </w:tc>
        <w:tc>
          <w:tcPr>
            <w:tcW w:w="939" w:type="dxa"/>
            <w:vMerge w:val="continue"/>
            <w:shd w:val="clear" w:color="auto" w:fill="auto"/>
            <w:vAlign w:val="center"/>
          </w:tcPr>
          <w:p>
            <w:pPr>
              <w:spacing w:line="300" w:lineRule="exact"/>
              <w:jc w:val="left"/>
              <w:outlineLvl w:val="0"/>
              <w:rPr>
                <w:color w:val="auto"/>
              </w:rPr>
            </w:pPr>
          </w:p>
        </w:tc>
        <w:tc>
          <w:tcPr>
            <w:tcW w:w="940"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40"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40"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43"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43"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00" w:type="dxa"/>
            <w:vMerge w:val="continue"/>
            <w:shd w:val="clear" w:color="auto" w:fill="auto"/>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76" w:type="dxa"/>
            <w:shd w:val="clear" w:color="auto" w:fill="auto"/>
            <w:vAlign w:val="center"/>
          </w:tcPr>
          <w:p>
            <w:pPr>
              <w:spacing w:line="300" w:lineRule="exact"/>
              <w:jc w:val="right"/>
              <w:rPr>
                <w:rFonts w:ascii="方正书宋_GBK" w:eastAsia="方正书宋_GBK"/>
                <w:b/>
                <w:color w:val="auto"/>
              </w:rPr>
            </w:pPr>
          </w:p>
        </w:tc>
        <w:tc>
          <w:tcPr>
            <w:tcW w:w="951" w:type="dxa"/>
            <w:shd w:val="clear" w:color="auto" w:fill="auto"/>
            <w:vAlign w:val="center"/>
          </w:tcPr>
          <w:p>
            <w:pPr>
              <w:spacing w:line="300" w:lineRule="exact"/>
              <w:jc w:val="left"/>
              <w:rPr>
                <w:rFonts w:ascii="方正书宋_GBK" w:eastAsia="方正书宋_GBK"/>
                <w:b/>
                <w:color w:val="auto"/>
              </w:rPr>
            </w:pPr>
          </w:p>
        </w:tc>
        <w:tc>
          <w:tcPr>
            <w:tcW w:w="1161" w:type="dxa"/>
            <w:shd w:val="clear" w:color="auto" w:fill="auto"/>
            <w:vAlign w:val="center"/>
          </w:tcPr>
          <w:p>
            <w:pPr>
              <w:spacing w:line="300" w:lineRule="exact"/>
              <w:jc w:val="left"/>
              <w:rPr>
                <w:rFonts w:ascii="方正书宋_GBK" w:eastAsia="方正书宋_GBK"/>
                <w:b/>
                <w:color w:val="auto"/>
              </w:rPr>
            </w:pPr>
          </w:p>
        </w:tc>
        <w:tc>
          <w:tcPr>
            <w:tcW w:w="738" w:type="dxa"/>
            <w:shd w:val="clear" w:color="auto" w:fill="auto"/>
            <w:vAlign w:val="center"/>
          </w:tcPr>
          <w:p>
            <w:pPr>
              <w:spacing w:line="300" w:lineRule="exact"/>
              <w:jc w:val="left"/>
              <w:rPr>
                <w:rFonts w:ascii="方正书宋_GBK" w:eastAsia="方正书宋_GBK"/>
                <w:b/>
                <w:color w:val="auto"/>
              </w:rPr>
            </w:pPr>
          </w:p>
        </w:tc>
        <w:tc>
          <w:tcPr>
            <w:tcW w:w="967" w:type="dxa"/>
            <w:shd w:val="clear" w:color="auto" w:fill="auto"/>
            <w:vAlign w:val="center"/>
          </w:tcPr>
          <w:p>
            <w:pPr>
              <w:spacing w:line="300" w:lineRule="exact"/>
              <w:jc w:val="right"/>
              <w:rPr>
                <w:rFonts w:ascii="方正书宋_GBK" w:eastAsia="方正书宋_GBK"/>
                <w:b/>
                <w:color w:val="auto"/>
              </w:rPr>
            </w:pPr>
          </w:p>
        </w:tc>
        <w:tc>
          <w:tcPr>
            <w:tcW w:w="705" w:type="dxa"/>
            <w:shd w:val="clear" w:color="auto" w:fill="auto"/>
            <w:vAlign w:val="center"/>
          </w:tcPr>
          <w:p>
            <w:pPr>
              <w:spacing w:line="300" w:lineRule="exact"/>
              <w:jc w:val="right"/>
              <w:rPr>
                <w:rFonts w:ascii="方正书宋_GBK" w:eastAsia="方正书宋_GBK"/>
                <w:b/>
                <w:color w:val="auto"/>
              </w:rPr>
            </w:pPr>
          </w:p>
        </w:tc>
        <w:tc>
          <w:tcPr>
            <w:tcW w:w="939" w:type="dxa"/>
            <w:shd w:val="clear" w:color="auto" w:fill="auto"/>
            <w:vAlign w:val="center"/>
          </w:tcPr>
          <w:p>
            <w:pPr>
              <w:spacing w:line="300" w:lineRule="exact"/>
              <w:jc w:val="right"/>
              <w:rPr>
                <w:rFonts w:ascii="方正书宋_GBK" w:eastAsia="方正书宋_GBK"/>
                <w:b/>
                <w:color w:val="auto"/>
              </w:rPr>
            </w:pPr>
          </w:p>
        </w:tc>
        <w:tc>
          <w:tcPr>
            <w:tcW w:w="940" w:type="dxa"/>
            <w:shd w:val="clear" w:color="auto" w:fill="auto"/>
            <w:vAlign w:val="center"/>
          </w:tcPr>
          <w:p>
            <w:pPr>
              <w:spacing w:line="300" w:lineRule="exact"/>
              <w:jc w:val="right"/>
              <w:rPr>
                <w:rFonts w:ascii="方正书宋_GBK" w:eastAsia="方正书宋_GBK"/>
                <w:b/>
                <w:color w:val="auto"/>
              </w:rPr>
            </w:pPr>
          </w:p>
        </w:tc>
        <w:tc>
          <w:tcPr>
            <w:tcW w:w="940" w:type="dxa"/>
            <w:shd w:val="clear" w:color="auto" w:fill="auto"/>
            <w:vAlign w:val="center"/>
          </w:tcPr>
          <w:p>
            <w:pPr>
              <w:spacing w:line="300" w:lineRule="exact"/>
              <w:jc w:val="both"/>
              <w:rPr>
                <w:rFonts w:ascii="方正书宋_GBK" w:eastAsia="方正书宋_GBK"/>
                <w:b/>
                <w:color w:val="auto"/>
              </w:rPr>
            </w:pPr>
          </w:p>
        </w:tc>
        <w:tc>
          <w:tcPr>
            <w:tcW w:w="940" w:type="dxa"/>
            <w:shd w:val="clear" w:color="auto" w:fill="auto"/>
            <w:vAlign w:val="center"/>
          </w:tcPr>
          <w:p>
            <w:pPr>
              <w:spacing w:line="300" w:lineRule="exact"/>
              <w:jc w:val="right"/>
              <w:rPr>
                <w:rFonts w:ascii="方正书宋_GBK" w:eastAsia="方正书宋_GBK"/>
                <w:b/>
                <w:color w:val="auto"/>
              </w:rPr>
            </w:pPr>
          </w:p>
        </w:tc>
        <w:tc>
          <w:tcPr>
            <w:tcW w:w="943" w:type="dxa"/>
            <w:shd w:val="clear" w:color="auto" w:fill="auto"/>
            <w:vAlign w:val="center"/>
          </w:tcPr>
          <w:p>
            <w:pPr>
              <w:spacing w:line="300" w:lineRule="exact"/>
              <w:jc w:val="right"/>
              <w:rPr>
                <w:rFonts w:ascii="方正书宋_GBK" w:eastAsia="方正书宋_GBK"/>
                <w:b/>
                <w:color w:val="auto"/>
              </w:rPr>
            </w:pPr>
          </w:p>
        </w:tc>
        <w:tc>
          <w:tcPr>
            <w:tcW w:w="943" w:type="dxa"/>
            <w:shd w:val="clear" w:color="auto" w:fill="auto"/>
            <w:vAlign w:val="center"/>
          </w:tcPr>
          <w:p>
            <w:pPr>
              <w:spacing w:line="300" w:lineRule="exact"/>
              <w:jc w:val="right"/>
              <w:rPr>
                <w:rFonts w:ascii="方正书宋_GBK" w:eastAsia="方正书宋_GBK"/>
                <w:b/>
                <w:color w:val="auto"/>
              </w:rPr>
            </w:pPr>
          </w:p>
        </w:tc>
        <w:tc>
          <w:tcPr>
            <w:tcW w:w="900"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both"/>
              <w:rPr>
                <w:rFonts w:hint="eastAsia" w:ascii="方正书宋_GBK" w:eastAsia="方正书宋_GBK"/>
                <w:b/>
                <w:color w:val="auto"/>
              </w:rPr>
            </w:pPr>
          </w:p>
        </w:tc>
        <w:tc>
          <w:tcPr>
            <w:tcW w:w="1076" w:type="dxa"/>
            <w:shd w:val="clear" w:color="auto" w:fill="auto"/>
            <w:vAlign w:val="center"/>
          </w:tcPr>
          <w:p>
            <w:pPr>
              <w:spacing w:line="300" w:lineRule="exact"/>
              <w:jc w:val="right"/>
              <w:rPr>
                <w:rFonts w:ascii="方正书宋_GBK" w:eastAsia="方正书宋_GBK"/>
                <w:b/>
                <w:color w:val="auto"/>
              </w:rPr>
            </w:pPr>
          </w:p>
        </w:tc>
        <w:tc>
          <w:tcPr>
            <w:tcW w:w="951" w:type="dxa"/>
            <w:shd w:val="clear" w:color="auto" w:fill="auto"/>
            <w:vAlign w:val="center"/>
          </w:tcPr>
          <w:p>
            <w:pPr>
              <w:spacing w:line="300" w:lineRule="exact"/>
              <w:jc w:val="left"/>
              <w:rPr>
                <w:rFonts w:ascii="方正书宋_GBK" w:eastAsia="方正书宋_GBK"/>
                <w:b/>
                <w:color w:val="auto"/>
              </w:rPr>
            </w:pPr>
          </w:p>
        </w:tc>
        <w:tc>
          <w:tcPr>
            <w:tcW w:w="1161" w:type="dxa"/>
            <w:shd w:val="clear" w:color="auto" w:fill="auto"/>
            <w:vAlign w:val="center"/>
          </w:tcPr>
          <w:p>
            <w:pPr>
              <w:spacing w:line="300" w:lineRule="exact"/>
              <w:jc w:val="left"/>
              <w:rPr>
                <w:rFonts w:ascii="方正书宋_GBK" w:eastAsia="方正书宋_GBK"/>
                <w:b/>
                <w:color w:val="auto"/>
              </w:rPr>
            </w:pPr>
          </w:p>
        </w:tc>
        <w:tc>
          <w:tcPr>
            <w:tcW w:w="738" w:type="dxa"/>
            <w:shd w:val="clear" w:color="auto" w:fill="auto"/>
            <w:vAlign w:val="center"/>
          </w:tcPr>
          <w:p>
            <w:pPr>
              <w:spacing w:line="300" w:lineRule="exact"/>
              <w:jc w:val="left"/>
              <w:rPr>
                <w:rFonts w:ascii="方正书宋_GBK" w:eastAsia="方正书宋_GBK"/>
                <w:b/>
                <w:color w:val="auto"/>
              </w:rPr>
            </w:pPr>
          </w:p>
        </w:tc>
        <w:tc>
          <w:tcPr>
            <w:tcW w:w="967" w:type="dxa"/>
            <w:shd w:val="clear" w:color="auto" w:fill="auto"/>
            <w:vAlign w:val="center"/>
          </w:tcPr>
          <w:p>
            <w:pPr>
              <w:spacing w:line="300" w:lineRule="exact"/>
              <w:jc w:val="right"/>
              <w:rPr>
                <w:rFonts w:ascii="方正书宋_GBK" w:eastAsia="方正书宋_GBK"/>
                <w:b/>
                <w:color w:val="auto"/>
              </w:rPr>
            </w:pPr>
          </w:p>
        </w:tc>
        <w:tc>
          <w:tcPr>
            <w:tcW w:w="705" w:type="dxa"/>
            <w:shd w:val="clear" w:color="auto" w:fill="auto"/>
            <w:vAlign w:val="center"/>
          </w:tcPr>
          <w:p>
            <w:pPr>
              <w:spacing w:line="300" w:lineRule="exact"/>
              <w:jc w:val="right"/>
              <w:rPr>
                <w:rFonts w:ascii="方正书宋_GBK" w:eastAsia="方正书宋_GBK"/>
                <w:b/>
                <w:color w:val="auto"/>
              </w:rPr>
            </w:pPr>
          </w:p>
        </w:tc>
        <w:tc>
          <w:tcPr>
            <w:tcW w:w="939" w:type="dxa"/>
            <w:shd w:val="clear" w:color="auto" w:fill="auto"/>
            <w:vAlign w:val="center"/>
          </w:tcPr>
          <w:p>
            <w:pPr>
              <w:spacing w:line="300" w:lineRule="exact"/>
              <w:jc w:val="both"/>
              <w:rPr>
                <w:rFonts w:ascii="方正书宋_GBK" w:eastAsia="方正书宋_GBK"/>
                <w:b/>
                <w:color w:val="auto"/>
              </w:rPr>
            </w:pPr>
          </w:p>
        </w:tc>
        <w:tc>
          <w:tcPr>
            <w:tcW w:w="940" w:type="dxa"/>
            <w:shd w:val="clear" w:color="auto" w:fill="auto"/>
            <w:vAlign w:val="center"/>
          </w:tcPr>
          <w:p>
            <w:pPr>
              <w:spacing w:line="300" w:lineRule="exact"/>
              <w:jc w:val="right"/>
              <w:rPr>
                <w:rFonts w:ascii="方正书宋_GBK" w:eastAsia="方正书宋_GBK"/>
                <w:b/>
                <w:color w:val="auto"/>
              </w:rPr>
            </w:pPr>
          </w:p>
        </w:tc>
        <w:tc>
          <w:tcPr>
            <w:tcW w:w="940" w:type="dxa"/>
            <w:shd w:val="clear" w:color="auto" w:fill="auto"/>
            <w:vAlign w:val="center"/>
          </w:tcPr>
          <w:p>
            <w:pPr>
              <w:spacing w:line="300" w:lineRule="exact"/>
              <w:jc w:val="both"/>
              <w:rPr>
                <w:rFonts w:ascii="方正书宋_GBK" w:eastAsia="方正书宋_GBK"/>
                <w:b/>
                <w:color w:val="auto"/>
              </w:rPr>
            </w:pPr>
          </w:p>
        </w:tc>
        <w:tc>
          <w:tcPr>
            <w:tcW w:w="940" w:type="dxa"/>
            <w:shd w:val="clear" w:color="auto" w:fill="auto"/>
            <w:vAlign w:val="center"/>
          </w:tcPr>
          <w:p>
            <w:pPr>
              <w:spacing w:line="300" w:lineRule="exact"/>
              <w:jc w:val="right"/>
              <w:rPr>
                <w:rFonts w:ascii="方正书宋_GBK" w:eastAsia="方正书宋_GBK"/>
                <w:b/>
                <w:color w:val="auto"/>
              </w:rPr>
            </w:pPr>
          </w:p>
        </w:tc>
        <w:tc>
          <w:tcPr>
            <w:tcW w:w="943" w:type="dxa"/>
            <w:shd w:val="clear" w:color="auto" w:fill="auto"/>
            <w:vAlign w:val="center"/>
          </w:tcPr>
          <w:p>
            <w:pPr>
              <w:spacing w:line="300" w:lineRule="exact"/>
              <w:jc w:val="right"/>
              <w:rPr>
                <w:rFonts w:ascii="方正书宋_GBK" w:eastAsia="方正书宋_GBK"/>
                <w:b/>
                <w:color w:val="auto"/>
              </w:rPr>
            </w:pPr>
          </w:p>
        </w:tc>
        <w:tc>
          <w:tcPr>
            <w:tcW w:w="943" w:type="dxa"/>
            <w:shd w:val="clear" w:color="auto" w:fill="auto"/>
            <w:vAlign w:val="center"/>
          </w:tcPr>
          <w:p>
            <w:pPr>
              <w:spacing w:line="300" w:lineRule="exact"/>
              <w:jc w:val="right"/>
              <w:rPr>
                <w:rFonts w:ascii="方正书宋_GBK" w:eastAsia="方正书宋_GBK"/>
                <w:b/>
                <w:color w:val="auto"/>
              </w:rPr>
            </w:pPr>
          </w:p>
        </w:tc>
        <w:tc>
          <w:tcPr>
            <w:tcW w:w="900"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color w:val="auto"/>
              </w:rPr>
            </w:pPr>
          </w:p>
        </w:tc>
        <w:tc>
          <w:tcPr>
            <w:tcW w:w="1076" w:type="dxa"/>
            <w:shd w:val="clear" w:color="auto" w:fill="auto"/>
            <w:vAlign w:val="center"/>
          </w:tcPr>
          <w:p>
            <w:pPr>
              <w:spacing w:line="300" w:lineRule="exact"/>
              <w:jc w:val="both"/>
              <w:rPr>
                <w:rFonts w:ascii="方正书宋_GBK" w:eastAsia="方正书宋_GBK"/>
                <w:color w:val="auto"/>
              </w:rPr>
            </w:pPr>
          </w:p>
        </w:tc>
        <w:tc>
          <w:tcPr>
            <w:tcW w:w="951" w:type="dxa"/>
            <w:shd w:val="clear" w:color="auto" w:fill="auto"/>
            <w:vAlign w:val="center"/>
          </w:tcPr>
          <w:p>
            <w:pPr>
              <w:spacing w:line="300" w:lineRule="exact"/>
              <w:jc w:val="left"/>
              <w:rPr>
                <w:rFonts w:hint="eastAsia" w:ascii="方正书宋_GBK" w:eastAsia="方正书宋_GBK"/>
                <w:color w:val="auto"/>
              </w:rPr>
            </w:pPr>
          </w:p>
        </w:tc>
        <w:tc>
          <w:tcPr>
            <w:tcW w:w="1161" w:type="dxa"/>
            <w:shd w:val="clear" w:color="auto" w:fill="auto"/>
            <w:vAlign w:val="center"/>
          </w:tcPr>
          <w:p>
            <w:pPr>
              <w:spacing w:line="300" w:lineRule="exact"/>
              <w:jc w:val="left"/>
              <w:rPr>
                <w:rFonts w:ascii="方正书宋_GBK" w:eastAsia="方正书宋_GBK"/>
                <w:color w:val="auto"/>
              </w:rPr>
            </w:pPr>
          </w:p>
        </w:tc>
        <w:tc>
          <w:tcPr>
            <w:tcW w:w="738" w:type="dxa"/>
            <w:shd w:val="clear" w:color="auto" w:fill="auto"/>
            <w:vAlign w:val="center"/>
          </w:tcPr>
          <w:p>
            <w:pPr>
              <w:spacing w:line="300" w:lineRule="exact"/>
              <w:jc w:val="left"/>
              <w:rPr>
                <w:rFonts w:hint="eastAsia" w:ascii="方正书宋_GBK" w:eastAsia="方正书宋_GBK"/>
                <w:color w:val="auto"/>
              </w:rPr>
            </w:pPr>
          </w:p>
        </w:tc>
        <w:tc>
          <w:tcPr>
            <w:tcW w:w="967" w:type="dxa"/>
            <w:shd w:val="clear" w:color="auto" w:fill="auto"/>
            <w:vAlign w:val="center"/>
          </w:tcPr>
          <w:p>
            <w:pPr>
              <w:spacing w:line="300" w:lineRule="exact"/>
              <w:jc w:val="both"/>
              <w:rPr>
                <w:rFonts w:ascii="方正书宋_GBK" w:eastAsia="方正书宋_GBK"/>
                <w:color w:val="auto"/>
              </w:rPr>
            </w:pPr>
          </w:p>
        </w:tc>
        <w:tc>
          <w:tcPr>
            <w:tcW w:w="705" w:type="dxa"/>
            <w:shd w:val="clear" w:color="auto" w:fill="auto"/>
            <w:vAlign w:val="center"/>
          </w:tcPr>
          <w:p>
            <w:pPr>
              <w:spacing w:line="300" w:lineRule="exact"/>
              <w:jc w:val="both"/>
              <w:rPr>
                <w:rFonts w:ascii="方正书宋_GBK" w:eastAsia="方正书宋_GBK"/>
                <w:color w:val="auto"/>
              </w:rPr>
            </w:pPr>
          </w:p>
        </w:tc>
        <w:tc>
          <w:tcPr>
            <w:tcW w:w="939" w:type="dxa"/>
            <w:shd w:val="clear" w:color="auto" w:fill="auto"/>
            <w:vAlign w:val="center"/>
          </w:tcPr>
          <w:p>
            <w:pPr>
              <w:spacing w:line="300" w:lineRule="exact"/>
              <w:jc w:val="both"/>
              <w:rPr>
                <w:rFonts w:ascii="方正书宋_GBK" w:eastAsia="方正书宋_GBK"/>
                <w:color w:val="auto"/>
              </w:rPr>
            </w:pPr>
          </w:p>
        </w:tc>
        <w:tc>
          <w:tcPr>
            <w:tcW w:w="940" w:type="dxa"/>
            <w:shd w:val="clear" w:color="auto" w:fill="auto"/>
            <w:vAlign w:val="center"/>
          </w:tcPr>
          <w:p>
            <w:pPr>
              <w:spacing w:line="300" w:lineRule="exact"/>
              <w:jc w:val="center"/>
              <w:rPr>
                <w:rFonts w:ascii="方正书宋_GBK" w:eastAsia="方正书宋_GBK"/>
                <w:color w:val="auto"/>
              </w:rPr>
            </w:pPr>
          </w:p>
        </w:tc>
        <w:tc>
          <w:tcPr>
            <w:tcW w:w="940" w:type="dxa"/>
            <w:shd w:val="clear" w:color="auto" w:fill="auto"/>
            <w:vAlign w:val="center"/>
          </w:tcPr>
          <w:p>
            <w:pPr>
              <w:spacing w:line="300" w:lineRule="exact"/>
              <w:jc w:val="both"/>
              <w:rPr>
                <w:rFonts w:ascii="方正书宋_GBK" w:eastAsia="方正书宋_GBK"/>
                <w:color w:val="auto"/>
              </w:rPr>
            </w:pPr>
          </w:p>
        </w:tc>
        <w:tc>
          <w:tcPr>
            <w:tcW w:w="940" w:type="dxa"/>
            <w:shd w:val="clear" w:color="auto" w:fill="auto"/>
            <w:vAlign w:val="center"/>
          </w:tcPr>
          <w:p>
            <w:pPr>
              <w:spacing w:line="300" w:lineRule="exact"/>
              <w:jc w:val="right"/>
              <w:rPr>
                <w:rFonts w:ascii="方正书宋_GBK" w:eastAsia="方正书宋_GBK"/>
                <w:color w:val="auto"/>
              </w:rPr>
            </w:pPr>
          </w:p>
        </w:tc>
        <w:tc>
          <w:tcPr>
            <w:tcW w:w="943" w:type="dxa"/>
            <w:shd w:val="clear" w:color="auto" w:fill="auto"/>
            <w:vAlign w:val="center"/>
          </w:tcPr>
          <w:p>
            <w:pPr>
              <w:spacing w:line="300" w:lineRule="exact"/>
              <w:jc w:val="right"/>
              <w:rPr>
                <w:rFonts w:ascii="方正书宋_GBK" w:eastAsia="方正书宋_GBK"/>
                <w:color w:val="auto"/>
              </w:rPr>
            </w:pPr>
          </w:p>
        </w:tc>
        <w:tc>
          <w:tcPr>
            <w:tcW w:w="943" w:type="dxa"/>
            <w:shd w:val="clear" w:color="auto" w:fill="auto"/>
            <w:vAlign w:val="center"/>
          </w:tcPr>
          <w:p>
            <w:pPr>
              <w:spacing w:line="300" w:lineRule="exact"/>
              <w:jc w:val="right"/>
              <w:rPr>
                <w:rFonts w:ascii="方正书宋_GBK" w:eastAsia="方正书宋_GBK"/>
                <w:color w:val="auto"/>
              </w:rPr>
            </w:pPr>
          </w:p>
        </w:tc>
        <w:tc>
          <w:tcPr>
            <w:tcW w:w="900"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color w:val="auto"/>
              </w:rPr>
            </w:pPr>
          </w:p>
        </w:tc>
        <w:tc>
          <w:tcPr>
            <w:tcW w:w="1076" w:type="dxa"/>
            <w:shd w:val="clear" w:color="auto" w:fill="auto"/>
            <w:vAlign w:val="center"/>
          </w:tcPr>
          <w:p>
            <w:pPr>
              <w:spacing w:line="300" w:lineRule="exact"/>
              <w:jc w:val="both"/>
              <w:rPr>
                <w:rFonts w:ascii="方正书宋_GBK" w:eastAsia="方正书宋_GBK"/>
                <w:color w:val="auto"/>
              </w:rPr>
            </w:pPr>
          </w:p>
        </w:tc>
        <w:tc>
          <w:tcPr>
            <w:tcW w:w="951" w:type="dxa"/>
            <w:shd w:val="clear" w:color="auto" w:fill="auto"/>
            <w:vAlign w:val="center"/>
          </w:tcPr>
          <w:p>
            <w:pPr>
              <w:spacing w:line="300" w:lineRule="exact"/>
              <w:jc w:val="left"/>
              <w:rPr>
                <w:rFonts w:hint="eastAsia" w:ascii="方正书宋_GBK" w:eastAsia="方正书宋_GBK"/>
                <w:color w:val="auto"/>
              </w:rPr>
            </w:pPr>
          </w:p>
        </w:tc>
        <w:tc>
          <w:tcPr>
            <w:tcW w:w="1161" w:type="dxa"/>
            <w:shd w:val="clear" w:color="auto" w:fill="auto"/>
            <w:vAlign w:val="center"/>
          </w:tcPr>
          <w:p>
            <w:pPr>
              <w:spacing w:line="300" w:lineRule="exact"/>
              <w:jc w:val="left"/>
              <w:rPr>
                <w:rFonts w:ascii="方正书宋_GBK" w:eastAsia="方正书宋_GBK"/>
                <w:color w:val="auto"/>
              </w:rPr>
            </w:pPr>
          </w:p>
        </w:tc>
        <w:tc>
          <w:tcPr>
            <w:tcW w:w="738" w:type="dxa"/>
            <w:shd w:val="clear" w:color="auto" w:fill="auto"/>
            <w:vAlign w:val="center"/>
          </w:tcPr>
          <w:p>
            <w:pPr>
              <w:spacing w:line="300" w:lineRule="exact"/>
              <w:jc w:val="left"/>
              <w:rPr>
                <w:rFonts w:hint="eastAsia" w:ascii="方正书宋_GBK" w:eastAsia="方正书宋_GBK"/>
                <w:color w:val="auto"/>
              </w:rPr>
            </w:pPr>
          </w:p>
        </w:tc>
        <w:tc>
          <w:tcPr>
            <w:tcW w:w="967" w:type="dxa"/>
            <w:shd w:val="clear" w:color="auto" w:fill="auto"/>
            <w:vAlign w:val="center"/>
          </w:tcPr>
          <w:p>
            <w:pPr>
              <w:spacing w:line="300" w:lineRule="exact"/>
              <w:jc w:val="both"/>
              <w:rPr>
                <w:rFonts w:ascii="方正书宋_GBK" w:eastAsia="方正书宋_GBK"/>
                <w:color w:val="auto"/>
              </w:rPr>
            </w:pPr>
          </w:p>
        </w:tc>
        <w:tc>
          <w:tcPr>
            <w:tcW w:w="705" w:type="dxa"/>
            <w:shd w:val="clear" w:color="auto" w:fill="auto"/>
            <w:vAlign w:val="center"/>
          </w:tcPr>
          <w:p>
            <w:pPr>
              <w:spacing w:line="300" w:lineRule="exact"/>
              <w:jc w:val="both"/>
              <w:rPr>
                <w:rFonts w:ascii="方正书宋_GBK" w:eastAsia="方正书宋_GBK"/>
                <w:color w:val="auto"/>
              </w:rPr>
            </w:pPr>
          </w:p>
        </w:tc>
        <w:tc>
          <w:tcPr>
            <w:tcW w:w="939" w:type="dxa"/>
            <w:shd w:val="clear" w:color="auto" w:fill="auto"/>
            <w:vAlign w:val="center"/>
          </w:tcPr>
          <w:p>
            <w:pPr>
              <w:spacing w:line="300" w:lineRule="exact"/>
              <w:jc w:val="both"/>
              <w:rPr>
                <w:rFonts w:ascii="方正书宋_GBK" w:eastAsia="方正书宋_GBK"/>
                <w:color w:val="auto"/>
              </w:rPr>
            </w:pPr>
          </w:p>
        </w:tc>
        <w:tc>
          <w:tcPr>
            <w:tcW w:w="940" w:type="dxa"/>
            <w:shd w:val="clear" w:color="auto" w:fill="auto"/>
            <w:vAlign w:val="center"/>
          </w:tcPr>
          <w:p>
            <w:pPr>
              <w:spacing w:line="300" w:lineRule="exact"/>
              <w:jc w:val="both"/>
              <w:rPr>
                <w:rFonts w:ascii="方正书宋_GBK" w:eastAsia="方正书宋_GBK"/>
                <w:color w:val="auto"/>
              </w:rPr>
            </w:pPr>
          </w:p>
        </w:tc>
        <w:tc>
          <w:tcPr>
            <w:tcW w:w="940" w:type="dxa"/>
            <w:shd w:val="clear" w:color="auto" w:fill="auto"/>
            <w:vAlign w:val="center"/>
          </w:tcPr>
          <w:p>
            <w:pPr>
              <w:spacing w:line="300" w:lineRule="exact"/>
              <w:jc w:val="both"/>
              <w:rPr>
                <w:rFonts w:ascii="方正书宋_GBK" w:eastAsia="方正书宋_GBK"/>
                <w:color w:val="auto"/>
              </w:rPr>
            </w:pPr>
          </w:p>
        </w:tc>
        <w:tc>
          <w:tcPr>
            <w:tcW w:w="940" w:type="dxa"/>
            <w:shd w:val="clear" w:color="auto" w:fill="auto"/>
            <w:vAlign w:val="center"/>
          </w:tcPr>
          <w:p>
            <w:pPr>
              <w:spacing w:line="300" w:lineRule="exact"/>
              <w:jc w:val="right"/>
              <w:rPr>
                <w:rFonts w:ascii="方正书宋_GBK" w:eastAsia="方正书宋_GBK"/>
                <w:color w:val="auto"/>
              </w:rPr>
            </w:pPr>
          </w:p>
        </w:tc>
        <w:tc>
          <w:tcPr>
            <w:tcW w:w="943" w:type="dxa"/>
            <w:shd w:val="clear" w:color="auto" w:fill="auto"/>
            <w:vAlign w:val="center"/>
          </w:tcPr>
          <w:p>
            <w:pPr>
              <w:spacing w:line="300" w:lineRule="exact"/>
              <w:jc w:val="right"/>
              <w:rPr>
                <w:rFonts w:ascii="方正书宋_GBK" w:eastAsia="方正书宋_GBK"/>
                <w:color w:val="auto"/>
              </w:rPr>
            </w:pPr>
          </w:p>
        </w:tc>
        <w:tc>
          <w:tcPr>
            <w:tcW w:w="943" w:type="dxa"/>
            <w:shd w:val="clear" w:color="auto" w:fill="auto"/>
            <w:vAlign w:val="center"/>
          </w:tcPr>
          <w:p>
            <w:pPr>
              <w:spacing w:line="300" w:lineRule="exact"/>
              <w:jc w:val="right"/>
              <w:rPr>
                <w:rFonts w:ascii="方正书宋_GBK" w:eastAsia="方正书宋_GBK"/>
                <w:color w:val="auto"/>
              </w:rPr>
            </w:pPr>
          </w:p>
        </w:tc>
        <w:tc>
          <w:tcPr>
            <w:tcW w:w="900"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color w:val="auto"/>
              </w:rPr>
            </w:pPr>
          </w:p>
        </w:tc>
        <w:tc>
          <w:tcPr>
            <w:tcW w:w="1076" w:type="dxa"/>
            <w:shd w:val="clear" w:color="auto" w:fill="auto"/>
            <w:vAlign w:val="center"/>
          </w:tcPr>
          <w:p>
            <w:pPr>
              <w:spacing w:line="300" w:lineRule="exact"/>
              <w:jc w:val="both"/>
              <w:rPr>
                <w:rFonts w:ascii="方正书宋_GBK" w:eastAsia="方正书宋_GBK"/>
                <w:color w:val="auto"/>
              </w:rPr>
            </w:pPr>
          </w:p>
        </w:tc>
        <w:tc>
          <w:tcPr>
            <w:tcW w:w="951" w:type="dxa"/>
            <w:shd w:val="clear" w:color="auto" w:fill="auto"/>
            <w:vAlign w:val="center"/>
          </w:tcPr>
          <w:p>
            <w:pPr>
              <w:spacing w:line="300" w:lineRule="exact"/>
              <w:jc w:val="left"/>
              <w:rPr>
                <w:rFonts w:hint="eastAsia" w:ascii="方正书宋_GBK" w:eastAsia="方正书宋_GBK"/>
                <w:color w:val="auto"/>
              </w:rPr>
            </w:pPr>
          </w:p>
        </w:tc>
        <w:tc>
          <w:tcPr>
            <w:tcW w:w="1161" w:type="dxa"/>
            <w:shd w:val="clear" w:color="auto" w:fill="auto"/>
            <w:vAlign w:val="center"/>
          </w:tcPr>
          <w:p>
            <w:pPr>
              <w:spacing w:line="300" w:lineRule="exact"/>
              <w:jc w:val="left"/>
              <w:rPr>
                <w:rFonts w:ascii="方正书宋_GBK" w:eastAsia="方正书宋_GBK"/>
                <w:color w:val="auto"/>
              </w:rPr>
            </w:pPr>
          </w:p>
        </w:tc>
        <w:tc>
          <w:tcPr>
            <w:tcW w:w="738" w:type="dxa"/>
            <w:shd w:val="clear" w:color="auto" w:fill="auto"/>
            <w:vAlign w:val="center"/>
          </w:tcPr>
          <w:p>
            <w:pPr>
              <w:spacing w:line="300" w:lineRule="exact"/>
              <w:jc w:val="left"/>
              <w:rPr>
                <w:rFonts w:hint="eastAsia" w:ascii="方正书宋_GBK" w:eastAsia="方正书宋_GBK"/>
                <w:color w:val="auto"/>
              </w:rPr>
            </w:pPr>
          </w:p>
        </w:tc>
        <w:tc>
          <w:tcPr>
            <w:tcW w:w="967" w:type="dxa"/>
            <w:shd w:val="clear" w:color="auto" w:fill="auto"/>
            <w:vAlign w:val="center"/>
          </w:tcPr>
          <w:p>
            <w:pPr>
              <w:spacing w:line="300" w:lineRule="exact"/>
              <w:jc w:val="both"/>
              <w:rPr>
                <w:rFonts w:ascii="方正书宋_GBK" w:eastAsia="方正书宋_GBK"/>
                <w:color w:val="auto"/>
              </w:rPr>
            </w:pPr>
          </w:p>
        </w:tc>
        <w:tc>
          <w:tcPr>
            <w:tcW w:w="705" w:type="dxa"/>
            <w:shd w:val="clear" w:color="auto" w:fill="auto"/>
            <w:vAlign w:val="center"/>
          </w:tcPr>
          <w:p>
            <w:pPr>
              <w:spacing w:line="300" w:lineRule="exact"/>
              <w:jc w:val="both"/>
              <w:rPr>
                <w:rFonts w:ascii="方正书宋_GBK" w:eastAsia="方正书宋_GBK"/>
                <w:color w:val="auto"/>
              </w:rPr>
            </w:pPr>
          </w:p>
        </w:tc>
        <w:tc>
          <w:tcPr>
            <w:tcW w:w="939" w:type="dxa"/>
            <w:shd w:val="clear" w:color="auto" w:fill="auto"/>
            <w:vAlign w:val="center"/>
          </w:tcPr>
          <w:p>
            <w:pPr>
              <w:spacing w:line="300" w:lineRule="exact"/>
              <w:jc w:val="both"/>
              <w:rPr>
                <w:rFonts w:ascii="方正书宋_GBK" w:eastAsia="方正书宋_GBK"/>
                <w:color w:val="auto"/>
              </w:rPr>
            </w:pPr>
          </w:p>
        </w:tc>
        <w:tc>
          <w:tcPr>
            <w:tcW w:w="940" w:type="dxa"/>
            <w:shd w:val="clear" w:color="auto" w:fill="auto"/>
            <w:vAlign w:val="center"/>
          </w:tcPr>
          <w:p>
            <w:pPr>
              <w:spacing w:line="300" w:lineRule="exact"/>
              <w:jc w:val="both"/>
              <w:rPr>
                <w:rFonts w:ascii="方正书宋_GBK" w:eastAsia="方正书宋_GBK"/>
                <w:color w:val="auto"/>
              </w:rPr>
            </w:pPr>
          </w:p>
        </w:tc>
        <w:tc>
          <w:tcPr>
            <w:tcW w:w="940" w:type="dxa"/>
            <w:shd w:val="clear" w:color="auto" w:fill="auto"/>
            <w:vAlign w:val="center"/>
          </w:tcPr>
          <w:p>
            <w:pPr>
              <w:spacing w:line="300" w:lineRule="exact"/>
              <w:jc w:val="both"/>
              <w:rPr>
                <w:rFonts w:ascii="方正书宋_GBK" w:eastAsia="方正书宋_GBK"/>
                <w:color w:val="auto"/>
              </w:rPr>
            </w:pPr>
          </w:p>
        </w:tc>
        <w:tc>
          <w:tcPr>
            <w:tcW w:w="940" w:type="dxa"/>
            <w:shd w:val="clear" w:color="auto" w:fill="auto"/>
            <w:vAlign w:val="center"/>
          </w:tcPr>
          <w:p>
            <w:pPr>
              <w:spacing w:line="300" w:lineRule="exact"/>
              <w:jc w:val="right"/>
              <w:rPr>
                <w:rFonts w:ascii="方正书宋_GBK" w:eastAsia="方正书宋_GBK"/>
                <w:color w:val="auto"/>
              </w:rPr>
            </w:pPr>
          </w:p>
        </w:tc>
        <w:tc>
          <w:tcPr>
            <w:tcW w:w="943" w:type="dxa"/>
            <w:shd w:val="clear" w:color="auto" w:fill="auto"/>
            <w:vAlign w:val="center"/>
          </w:tcPr>
          <w:p>
            <w:pPr>
              <w:spacing w:line="300" w:lineRule="exact"/>
              <w:jc w:val="right"/>
              <w:rPr>
                <w:rFonts w:ascii="方正书宋_GBK" w:eastAsia="方正书宋_GBK"/>
                <w:color w:val="auto"/>
              </w:rPr>
            </w:pPr>
          </w:p>
        </w:tc>
        <w:tc>
          <w:tcPr>
            <w:tcW w:w="943" w:type="dxa"/>
            <w:shd w:val="clear" w:color="auto" w:fill="auto"/>
            <w:vAlign w:val="center"/>
          </w:tcPr>
          <w:p>
            <w:pPr>
              <w:spacing w:line="300" w:lineRule="exact"/>
              <w:jc w:val="right"/>
              <w:rPr>
                <w:rFonts w:ascii="方正书宋_GBK" w:eastAsia="方正书宋_GBK"/>
                <w:color w:val="auto"/>
              </w:rPr>
            </w:pPr>
          </w:p>
        </w:tc>
        <w:tc>
          <w:tcPr>
            <w:tcW w:w="900"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color w:val="auto"/>
              </w:rPr>
            </w:pPr>
          </w:p>
        </w:tc>
        <w:tc>
          <w:tcPr>
            <w:tcW w:w="1076" w:type="dxa"/>
            <w:shd w:val="clear" w:color="auto" w:fill="auto"/>
            <w:vAlign w:val="center"/>
          </w:tcPr>
          <w:p>
            <w:pPr>
              <w:spacing w:line="300" w:lineRule="exact"/>
              <w:jc w:val="both"/>
              <w:rPr>
                <w:rFonts w:ascii="方正书宋_GBK" w:eastAsia="方正书宋_GBK"/>
                <w:color w:val="auto"/>
              </w:rPr>
            </w:pPr>
          </w:p>
        </w:tc>
        <w:tc>
          <w:tcPr>
            <w:tcW w:w="951" w:type="dxa"/>
            <w:shd w:val="clear" w:color="auto" w:fill="auto"/>
            <w:vAlign w:val="center"/>
          </w:tcPr>
          <w:p>
            <w:pPr>
              <w:spacing w:line="300" w:lineRule="exact"/>
              <w:jc w:val="left"/>
              <w:rPr>
                <w:rFonts w:hint="eastAsia" w:ascii="方正书宋_GBK" w:eastAsia="方正书宋_GBK"/>
                <w:color w:val="auto"/>
              </w:rPr>
            </w:pPr>
          </w:p>
        </w:tc>
        <w:tc>
          <w:tcPr>
            <w:tcW w:w="1161" w:type="dxa"/>
            <w:shd w:val="clear" w:color="auto" w:fill="auto"/>
            <w:vAlign w:val="center"/>
          </w:tcPr>
          <w:p>
            <w:pPr>
              <w:spacing w:line="300" w:lineRule="exact"/>
              <w:jc w:val="left"/>
              <w:rPr>
                <w:rFonts w:ascii="方正书宋_GBK" w:eastAsia="方正书宋_GBK"/>
                <w:color w:val="auto"/>
              </w:rPr>
            </w:pPr>
          </w:p>
        </w:tc>
        <w:tc>
          <w:tcPr>
            <w:tcW w:w="738" w:type="dxa"/>
            <w:shd w:val="clear" w:color="auto" w:fill="auto"/>
            <w:vAlign w:val="center"/>
          </w:tcPr>
          <w:p>
            <w:pPr>
              <w:spacing w:line="300" w:lineRule="exact"/>
              <w:jc w:val="left"/>
              <w:rPr>
                <w:rFonts w:hint="eastAsia" w:ascii="方正书宋_GBK" w:eastAsia="方正书宋_GBK"/>
                <w:color w:val="auto"/>
              </w:rPr>
            </w:pPr>
          </w:p>
        </w:tc>
        <w:tc>
          <w:tcPr>
            <w:tcW w:w="967" w:type="dxa"/>
            <w:shd w:val="clear" w:color="auto" w:fill="auto"/>
            <w:vAlign w:val="center"/>
          </w:tcPr>
          <w:p>
            <w:pPr>
              <w:spacing w:line="300" w:lineRule="exact"/>
              <w:jc w:val="both"/>
              <w:rPr>
                <w:rFonts w:ascii="方正书宋_GBK" w:eastAsia="方正书宋_GBK"/>
                <w:color w:val="auto"/>
              </w:rPr>
            </w:pPr>
          </w:p>
        </w:tc>
        <w:tc>
          <w:tcPr>
            <w:tcW w:w="705" w:type="dxa"/>
            <w:shd w:val="clear" w:color="auto" w:fill="auto"/>
            <w:vAlign w:val="center"/>
          </w:tcPr>
          <w:p>
            <w:pPr>
              <w:spacing w:line="300" w:lineRule="exact"/>
              <w:jc w:val="both"/>
              <w:rPr>
                <w:rFonts w:ascii="方正书宋_GBK" w:eastAsia="方正书宋_GBK"/>
                <w:color w:val="auto"/>
              </w:rPr>
            </w:pPr>
          </w:p>
        </w:tc>
        <w:tc>
          <w:tcPr>
            <w:tcW w:w="939" w:type="dxa"/>
            <w:shd w:val="clear" w:color="auto" w:fill="auto"/>
            <w:vAlign w:val="center"/>
          </w:tcPr>
          <w:p>
            <w:pPr>
              <w:spacing w:line="300" w:lineRule="exact"/>
              <w:jc w:val="both"/>
              <w:rPr>
                <w:rFonts w:ascii="方正书宋_GBK" w:eastAsia="方正书宋_GBK"/>
                <w:color w:val="auto"/>
              </w:rPr>
            </w:pPr>
          </w:p>
        </w:tc>
        <w:tc>
          <w:tcPr>
            <w:tcW w:w="940" w:type="dxa"/>
            <w:shd w:val="clear" w:color="auto" w:fill="auto"/>
            <w:vAlign w:val="center"/>
          </w:tcPr>
          <w:p>
            <w:pPr>
              <w:spacing w:line="300" w:lineRule="exact"/>
              <w:jc w:val="both"/>
              <w:rPr>
                <w:rFonts w:ascii="方正书宋_GBK" w:eastAsia="方正书宋_GBK"/>
                <w:color w:val="auto"/>
              </w:rPr>
            </w:pPr>
          </w:p>
        </w:tc>
        <w:tc>
          <w:tcPr>
            <w:tcW w:w="940" w:type="dxa"/>
            <w:shd w:val="clear" w:color="auto" w:fill="auto"/>
            <w:vAlign w:val="center"/>
          </w:tcPr>
          <w:p>
            <w:pPr>
              <w:spacing w:line="300" w:lineRule="exact"/>
              <w:jc w:val="both"/>
              <w:rPr>
                <w:rFonts w:ascii="方正书宋_GBK" w:eastAsia="方正书宋_GBK"/>
                <w:color w:val="auto"/>
              </w:rPr>
            </w:pPr>
          </w:p>
        </w:tc>
        <w:tc>
          <w:tcPr>
            <w:tcW w:w="940" w:type="dxa"/>
            <w:shd w:val="clear" w:color="auto" w:fill="auto"/>
            <w:vAlign w:val="center"/>
          </w:tcPr>
          <w:p>
            <w:pPr>
              <w:spacing w:line="300" w:lineRule="exact"/>
              <w:jc w:val="right"/>
              <w:rPr>
                <w:rFonts w:ascii="方正书宋_GBK" w:eastAsia="方正书宋_GBK"/>
                <w:color w:val="auto"/>
              </w:rPr>
            </w:pPr>
          </w:p>
        </w:tc>
        <w:tc>
          <w:tcPr>
            <w:tcW w:w="943" w:type="dxa"/>
            <w:shd w:val="clear" w:color="auto" w:fill="auto"/>
            <w:vAlign w:val="center"/>
          </w:tcPr>
          <w:p>
            <w:pPr>
              <w:spacing w:line="300" w:lineRule="exact"/>
              <w:jc w:val="right"/>
              <w:rPr>
                <w:rFonts w:ascii="方正书宋_GBK" w:eastAsia="方正书宋_GBK"/>
                <w:color w:val="auto"/>
              </w:rPr>
            </w:pPr>
          </w:p>
        </w:tc>
        <w:tc>
          <w:tcPr>
            <w:tcW w:w="943" w:type="dxa"/>
            <w:shd w:val="clear" w:color="auto" w:fill="auto"/>
            <w:vAlign w:val="center"/>
          </w:tcPr>
          <w:p>
            <w:pPr>
              <w:spacing w:line="300" w:lineRule="exact"/>
              <w:jc w:val="right"/>
              <w:rPr>
                <w:rFonts w:ascii="方正书宋_GBK" w:eastAsia="方正书宋_GBK"/>
                <w:color w:val="auto"/>
              </w:rPr>
            </w:pPr>
          </w:p>
        </w:tc>
        <w:tc>
          <w:tcPr>
            <w:tcW w:w="900" w:type="dxa"/>
            <w:shd w:val="clear" w:color="auto" w:fill="auto"/>
            <w:vAlign w:val="center"/>
          </w:tcPr>
          <w:p>
            <w:pPr>
              <w:spacing w:line="300" w:lineRule="exact"/>
              <w:jc w:val="right"/>
              <w:rPr>
                <w:rFonts w:ascii="方正书宋_GBK" w:eastAsia="方正书宋_GBK"/>
                <w:color w:val="auto"/>
              </w:rPr>
            </w:pPr>
          </w:p>
        </w:tc>
      </w:tr>
    </w:tbl>
    <w:p>
      <w:pPr>
        <w:spacing w:line="300" w:lineRule="exact"/>
        <w:jc w:val="left"/>
        <w:outlineLvl w:val="0"/>
        <w:rPr>
          <w:rFonts w:hint="eastAsia" w:eastAsia="微软雅黑"/>
          <w:color w:val="auto"/>
          <w:lang w:val="en-US" w:eastAsia="zh-CN"/>
        </w:rPr>
        <w:sectPr>
          <w:pgSz w:w="16839" w:h="11907" w:orient="landscape"/>
          <w:pgMar w:top="1361" w:right="1020" w:bottom="1361" w:left="1020" w:header="851" w:footer="992" w:gutter="0"/>
          <w:cols w:space="720" w:num="1"/>
          <w:docGrid w:type="lines" w:linePitch="312" w:charSpace="0"/>
        </w:sectPr>
      </w:pPr>
      <w:r>
        <w:rPr>
          <w:rFonts w:hint="eastAsia"/>
          <w:color w:val="auto"/>
          <w:lang w:val="en-US" w:eastAsia="zh-CN"/>
        </w:rPr>
        <w:t xml:space="preserve"> 注：我单位无政府采购预算，空表列示。</w:t>
      </w:r>
    </w:p>
    <w:p>
      <w:pPr>
        <w:autoSpaceDE w:val="0"/>
        <w:autoSpaceDN w:val="0"/>
        <w:rPr>
          <w:rFonts w:ascii="黑体" w:hAnsi="黑体" w:eastAsia="黑体" w:cs="Times New Roman"/>
          <w:color w:val="auto"/>
          <w:sz w:val="32"/>
          <w:szCs w:val="32"/>
        </w:rPr>
      </w:pPr>
    </w:p>
    <w:p>
      <w:pPr>
        <w:autoSpaceDE w:val="0"/>
        <w:autoSpaceDN w:val="0"/>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rPr>
        <w:t>曲阳县安全生产监督管理局（含所属单位）</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rPr>
        <w:t>251.19</w:t>
      </w:r>
      <w:r>
        <w:rPr>
          <w:rFonts w:ascii="Times New Roman" w:hAnsi="Times New Roman" w:eastAsia="仿宋" w:cs="Times New Roman"/>
          <w:color w:val="auto"/>
          <w:sz w:val="32"/>
          <w:szCs w:val="32"/>
        </w:rPr>
        <w:t>万元（详见下表），</w:t>
      </w:r>
      <w:r>
        <w:rPr>
          <w:rFonts w:hint="eastAsia" w:ascii="Times New Roman" w:hAnsi="Times New Roman" w:eastAsia="仿宋" w:cs="Times New Roman"/>
          <w:color w:val="auto"/>
          <w:sz w:val="32"/>
          <w:szCs w:val="32"/>
          <w:lang w:eastAsia="zh-CN"/>
        </w:rPr>
        <w:t>本年度我单位无固定资产购置项目。</w:t>
      </w:r>
    </w:p>
    <w:tbl>
      <w:tblPr>
        <w:tblStyle w:val="5"/>
        <w:tblW w:w="13751" w:type="dxa"/>
        <w:tblInd w:w="-176" w:type="dxa"/>
        <w:tblLayout w:type="fixed"/>
        <w:tblCellMar>
          <w:top w:w="0" w:type="dxa"/>
          <w:left w:w="108" w:type="dxa"/>
          <w:bottom w:w="0" w:type="dxa"/>
          <w:right w:w="108" w:type="dxa"/>
        </w:tblCellMar>
      </w:tblPr>
      <w:tblGrid>
        <w:gridCol w:w="4253"/>
        <w:gridCol w:w="4111"/>
        <w:gridCol w:w="5387"/>
      </w:tblGrid>
      <w:tr>
        <w:tblPrEx>
          <w:tblLayout w:type="fixed"/>
          <w:tblCellMar>
            <w:top w:w="0" w:type="dxa"/>
            <w:left w:w="108" w:type="dxa"/>
            <w:bottom w:w="0" w:type="dxa"/>
            <w:right w:w="108" w:type="dxa"/>
          </w:tblCellMar>
        </w:tblPrEx>
        <w:trPr>
          <w:trHeight w:val="705" w:hRule="atLeast"/>
        </w:trPr>
        <w:tc>
          <w:tcPr>
            <w:tcW w:w="13751" w:type="dxa"/>
            <w:gridSpan w:val="3"/>
            <w:tcBorders>
              <w:top w:val="nil"/>
              <w:left w:val="nil"/>
              <w:bottom w:val="nil"/>
              <w:right w:val="nil"/>
            </w:tcBorders>
            <w:vAlign w:val="center"/>
          </w:tcPr>
          <w:p>
            <w:pPr>
              <w:jc w:val="center"/>
              <w:rPr>
                <w:rFonts w:ascii="宋体" w:hAnsi="宋体" w:cs="宋体"/>
                <w:b/>
                <w:bCs/>
                <w:color w:val="auto"/>
                <w:sz w:val="32"/>
                <w:szCs w:val="32"/>
              </w:rPr>
            </w:pPr>
            <w:r>
              <w:rPr>
                <w:rFonts w:hint="eastAsia" w:ascii="宋体" w:hAnsi="宋体" w:cs="宋体"/>
                <w:b/>
                <w:bCs/>
                <w:color w:val="auto"/>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64" w:type="dxa"/>
            <w:gridSpan w:val="2"/>
            <w:tcBorders>
              <w:top w:val="nil"/>
              <w:left w:val="nil"/>
              <w:bottom w:val="nil"/>
              <w:right w:val="nil"/>
            </w:tcBorders>
            <w:vAlign w:val="center"/>
          </w:tcPr>
          <w:p>
            <w:pPr>
              <w:rPr>
                <w:rFonts w:ascii="Times New Roman" w:hAnsi="Times New Roman" w:eastAsia="仿宋" w:cs="Times New Roman"/>
                <w:color w:val="auto"/>
              </w:rPr>
            </w:pPr>
            <w:r>
              <w:rPr>
                <w:rFonts w:ascii="Times New Roman" w:hAnsi="Times New Roman" w:eastAsia="仿宋" w:cs="Times New Roman"/>
                <w:color w:val="auto"/>
              </w:rPr>
              <w:t>编制部门：</w:t>
            </w:r>
            <w:r>
              <w:rPr>
                <w:rFonts w:hint="eastAsia" w:ascii="Times New Roman" w:hAnsi="Times New Roman" w:eastAsia="仿宋" w:cs="Times New Roman"/>
                <w:color w:val="auto"/>
              </w:rPr>
              <w:t>省人大常委会办公厅</w:t>
            </w:r>
          </w:p>
        </w:tc>
        <w:tc>
          <w:tcPr>
            <w:tcW w:w="5387" w:type="dxa"/>
            <w:tcBorders>
              <w:top w:val="nil"/>
              <w:left w:val="nil"/>
              <w:bottom w:val="nil"/>
              <w:right w:val="nil"/>
            </w:tcBorders>
            <w:vAlign w:val="center"/>
          </w:tcPr>
          <w:p>
            <w:pPr>
              <w:ind w:firstLine="1320" w:firstLineChars="600"/>
              <w:rPr>
                <w:rFonts w:ascii="Times New Roman" w:hAnsi="Times New Roman" w:eastAsia="仿宋" w:cs="Times New Roman"/>
                <w:color w:val="auto"/>
              </w:rPr>
            </w:pPr>
            <w:r>
              <w:rPr>
                <w:rFonts w:ascii="Times New Roman" w:hAnsi="Times New Roman" w:eastAsia="仿宋" w:cs="Times New Roman"/>
                <w:color w:val="auto"/>
              </w:rPr>
              <w:t>截止时间：201</w:t>
            </w:r>
            <w:r>
              <w:rPr>
                <w:rFonts w:hint="eastAsia" w:ascii="Times New Roman" w:hAnsi="Times New Roman" w:eastAsia="仿宋" w:cs="Times New Roman"/>
                <w:color w:val="auto"/>
              </w:rPr>
              <w:t>7</w:t>
            </w:r>
            <w:r>
              <w:rPr>
                <w:rFonts w:ascii="Times New Roman" w:hAnsi="Times New Roman" w:eastAsia="仿宋" w:cs="Times New Roman"/>
                <w:color w:val="auto"/>
              </w:rPr>
              <w:t>年12月31日</w:t>
            </w:r>
          </w:p>
        </w:tc>
      </w:tr>
      <w:tr>
        <w:tblPrEx>
          <w:tblLayout w:type="fixed"/>
          <w:tblCellMar>
            <w:top w:w="0" w:type="dxa"/>
            <w:left w:w="108" w:type="dxa"/>
            <w:bottom w:w="0" w:type="dxa"/>
            <w:right w:w="108" w:type="dxa"/>
          </w:tblCellMar>
        </w:tblPrEx>
        <w:trPr>
          <w:trHeight w:val="645" w:hRule="atLeast"/>
        </w:trPr>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rPr>
            </w:pPr>
            <w:r>
              <w:rPr>
                <w:rFonts w:hint="eastAsia" w:ascii="宋体" w:hAnsi="宋体" w:cs="宋体"/>
                <w:b/>
                <w:bCs/>
                <w:color w:val="auto"/>
              </w:rPr>
              <w:t>项目</w:t>
            </w:r>
          </w:p>
        </w:tc>
        <w:tc>
          <w:tcPr>
            <w:tcW w:w="4111"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rPr>
            </w:pPr>
            <w:r>
              <w:rPr>
                <w:rFonts w:hint="eastAsia" w:ascii="宋体" w:hAnsi="宋体" w:cs="宋体"/>
                <w:b/>
                <w:bCs/>
                <w:color w:val="auto"/>
              </w:rPr>
              <w:t>数量</w:t>
            </w:r>
          </w:p>
        </w:tc>
        <w:tc>
          <w:tcPr>
            <w:tcW w:w="5387"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rPr>
            </w:pPr>
            <w:r>
              <w:rPr>
                <w:rFonts w:hint="eastAsia" w:ascii="宋体" w:hAnsi="宋体" w:cs="宋体"/>
                <w:b/>
                <w:bCs/>
                <w:color w:val="auto"/>
              </w:rPr>
              <w:t>价值（金额单位：万元）</w:t>
            </w:r>
          </w:p>
        </w:tc>
      </w:tr>
      <w:tr>
        <w:tblPrEx>
          <w:tblLayout w:type="fixed"/>
          <w:tblCellMar>
            <w:top w:w="0" w:type="dxa"/>
            <w:left w:w="108" w:type="dxa"/>
            <w:bottom w:w="0" w:type="dxa"/>
            <w:right w:w="108" w:type="dxa"/>
          </w:tblCellMar>
        </w:tblPrEx>
        <w:trPr>
          <w:trHeight w:val="645" w:hRule="atLeast"/>
        </w:trPr>
        <w:tc>
          <w:tcPr>
            <w:tcW w:w="4253"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资产总额</w:t>
            </w:r>
          </w:p>
        </w:tc>
        <w:tc>
          <w:tcPr>
            <w:tcW w:w="4111"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w:t>
            </w:r>
          </w:p>
        </w:tc>
        <w:tc>
          <w:tcPr>
            <w:tcW w:w="5387"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251.19</w:t>
            </w:r>
          </w:p>
        </w:tc>
      </w:tr>
      <w:tr>
        <w:tblPrEx>
          <w:tblLayout w:type="fixed"/>
          <w:tblCellMar>
            <w:top w:w="0" w:type="dxa"/>
            <w:left w:w="108" w:type="dxa"/>
            <w:bottom w:w="0" w:type="dxa"/>
            <w:right w:w="108" w:type="dxa"/>
          </w:tblCellMar>
        </w:tblPrEx>
        <w:trPr>
          <w:trHeight w:val="645" w:hRule="atLeast"/>
        </w:trPr>
        <w:tc>
          <w:tcPr>
            <w:tcW w:w="4253" w:type="dxa"/>
            <w:tcBorders>
              <w:top w:val="nil"/>
              <w:left w:val="single" w:color="auto" w:sz="4" w:space="0"/>
              <w:bottom w:val="single" w:color="auto" w:sz="4" w:space="0"/>
              <w:right w:val="single" w:color="auto" w:sz="4" w:space="0"/>
            </w:tcBorders>
            <w:vAlign w:val="center"/>
          </w:tcPr>
          <w:p>
            <w:pPr>
              <w:rPr>
                <w:rFonts w:ascii="Times New Roman" w:hAnsi="Times New Roman" w:eastAsia="仿宋" w:cs="Times New Roman"/>
                <w:color w:val="auto"/>
              </w:rPr>
            </w:pPr>
            <w:r>
              <w:rPr>
                <w:rFonts w:hint="eastAsia" w:ascii="Times New Roman" w:hAnsi="Times New Roman" w:eastAsia="仿宋" w:cs="Times New Roman"/>
                <w:color w:val="auto"/>
              </w:rPr>
              <w:t>1、土地</w:t>
            </w:r>
            <w:r>
              <w:rPr>
                <w:rFonts w:ascii="Times New Roman" w:hAnsi="Times New Roman" w:eastAsia="仿宋" w:cs="Times New Roman"/>
                <w:color w:val="auto"/>
              </w:rPr>
              <w:t>（平方米）</w:t>
            </w:r>
          </w:p>
        </w:tc>
        <w:tc>
          <w:tcPr>
            <w:tcW w:w="4111"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2900</w:t>
            </w:r>
          </w:p>
        </w:tc>
        <w:tc>
          <w:tcPr>
            <w:tcW w:w="5387"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3．4</w:t>
            </w:r>
          </w:p>
        </w:tc>
      </w:tr>
      <w:tr>
        <w:tblPrEx>
          <w:tblLayout w:type="fixed"/>
          <w:tblCellMar>
            <w:top w:w="0" w:type="dxa"/>
            <w:left w:w="108" w:type="dxa"/>
            <w:bottom w:w="0" w:type="dxa"/>
            <w:right w:w="108" w:type="dxa"/>
          </w:tblCellMar>
        </w:tblPrEx>
        <w:trPr>
          <w:trHeight w:val="645" w:hRule="atLeast"/>
        </w:trPr>
        <w:tc>
          <w:tcPr>
            <w:tcW w:w="4253" w:type="dxa"/>
            <w:tcBorders>
              <w:top w:val="nil"/>
              <w:left w:val="single" w:color="auto" w:sz="4" w:space="0"/>
              <w:bottom w:val="single" w:color="auto" w:sz="4" w:space="0"/>
              <w:right w:val="single" w:color="auto" w:sz="4" w:space="0"/>
            </w:tcBorders>
            <w:vAlign w:val="center"/>
          </w:tcPr>
          <w:p>
            <w:pP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房屋</w:t>
            </w:r>
            <w:r>
              <w:rPr>
                <w:rFonts w:hint="eastAsia" w:ascii="Times New Roman" w:hAnsi="Times New Roman" w:eastAsia="仿宋" w:cs="Times New Roman"/>
                <w:color w:val="auto"/>
              </w:rPr>
              <w:t>建筑</w:t>
            </w:r>
            <w:r>
              <w:rPr>
                <w:rFonts w:ascii="Times New Roman" w:hAnsi="Times New Roman" w:eastAsia="仿宋" w:cs="Times New Roman"/>
                <w:color w:val="auto"/>
              </w:rPr>
              <w:t>（平方米）</w:t>
            </w:r>
          </w:p>
        </w:tc>
        <w:tc>
          <w:tcPr>
            <w:tcW w:w="4111"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2709</w:t>
            </w:r>
          </w:p>
        </w:tc>
        <w:tc>
          <w:tcPr>
            <w:tcW w:w="5387"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25.22</w:t>
            </w:r>
          </w:p>
        </w:tc>
      </w:tr>
      <w:tr>
        <w:tblPrEx>
          <w:tblLayout w:type="fixed"/>
          <w:tblCellMar>
            <w:top w:w="0" w:type="dxa"/>
            <w:left w:w="108" w:type="dxa"/>
            <w:bottom w:w="0" w:type="dxa"/>
            <w:right w:w="108" w:type="dxa"/>
          </w:tblCellMar>
        </w:tblPrEx>
        <w:trPr>
          <w:trHeight w:val="645" w:hRule="atLeast"/>
        </w:trPr>
        <w:tc>
          <w:tcPr>
            <w:tcW w:w="4253" w:type="dxa"/>
            <w:tcBorders>
              <w:top w:val="nil"/>
              <w:left w:val="single" w:color="auto" w:sz="4" w:space="0"/>
              <w:bottom w:val="single" w:color="auto" w:sz="4" w:space="0"/>
              <w:right w:val="single" w:color="auto" w:sz="4" w:space="0"/>
            </w:tcBorders>
            <w:vAlign w:val="center"/>
          </w:tcPr>
          <w:p>
            <w:pPr>
              <w:rPr>
                <w:rFonts w:ascii="Times New Roman" w:hAnsi="Times New Roman" w:eastAsia="仿宋" w:cs="Times New Roman"/>
                <w:color w:val="auto"/>
              </w:rPr>
            </w:pPr>
            <w:r>
              <w:rPr>
                <w:rFonts w:hint="eastAsia" w:ascii="Times New Roman" w:hAnsi="Times New Roman" w:eastAsia="仿宋" w:cs="Times New Roman"/>
                <w:color w:val="auto"/>
              </w:rPr>
              <w:t>3、通用设备</w:t>
            </w:r>
          </w:p>
        </w:tc>
        <w:tc>
          <w:tcPr>
            <w:tcW w:w="4111"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w:t>
            </w:r>
          </w:p>
        </w:tc>
        <w:tc>
          <w:tcPr>
            <w:tcW w:w="5387"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162.38</w:t>
            </w:r>
          </w:p>
        </w:tc>
      </w:tr>
      <w:tr>
        <w:tblPrEx>
          <w:tblLayout w:type="fixed"/>
          <w:tblCellMar>
            <w:top w:w="0" w:type="dxa"/>
            <w:left w:w="108" w:type="dxa"/>
            <w:bottom w:w="0" w:type="dxa"/>
            <w:right w:w="108" w:type="dxa"/>
          </w:tblCellMar>
        </w:tblPrEx>
        <w:trPr>
          <w:trHeight w:val="645" w:hRule="atLeast"/>
        </w:trPr>
        <w:tc>
          <w:tcPr>
            <w:tcW w:w="4253" w:type="dxa"/>
            <w:tcBorders>
              <w:top w:val="nil"/>
              <w:left w:val="single" w:color="auto" w:sz="4" w:space="0"/>
              <w:bottom w:val="single" w:color="auto" w:sz="4" w:space="0"/>
              <w:right w:val="single" w:color="auto" w:sz="4" w:space="0"/>
            </w:tcBorders>
            <w:vAlign w:val="center"/>
          </w:tcPr>
          <w:p>
            <w:pPr>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、车辆（台、辆）</w:t>
            </w:r>
          </w:p>
        </w:tc>
        <w:tc>
          <w:tcPr>
            <w:tcW w:w="4111"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4</w:t>
            </w:r>
          </w:p>
        </w:tc>
        <w:tc>
          <w:tcPr>
            <w:tcW w:w="5387"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56.43</w:t>
            </w:r>
          </w:p>
        </w:tc>
      </w:tr>
      <w:tr>
        <w:tblPrEx>
          <w:tblLayout w:type="fixed"/>
          <w:tblCellMar>
            <w:top w:w="0" w:type="dxa"/>
            <w:left w:w="108" w:type="dxa"/>
            <w:bottom w:w="0" w:type="dxa"/>
            <w:right w:w="108" w:type="dxa"/>
          </w:tblCellMar>
        </w:tblPrEx>
        <w:trPr>
          <w:trHeight w:val="645" w:hRule="atLeast"/>
        </w:trPr>
        <w:tc>
          <w:tcPr>
            <w:tcW w:w="4253" w:type="dxa"/>
            <w:tcBorders>
              <w:top w:val="nil"/>
              <w:left w:val="single" w:color="auto" w:sz="4" w:space="0"/>
              <w:bottom w:val="single" w:color="auto" w:sz="4" w:space="0"/>
              <w:right w:val="single" w:color="auto" w:sz="4" w:space="0"/>
            </w:tcBorders>
            <w:vAlign w:val="center"/>
          </w:tcPr>
          <w:p>
            <w:pPr>
              <w:rPr>
                <w:rFonts w:ascii="Times New Roman" w:hAnsi="Times New Roman" w:eastAsia="仿宋" w:cs="Times New Roman"/>
                <w:color w:val="auto"/>
              </w:rPr>
            </w:pPr>
            <w:r>
              <w:rPr>
                <w:rFonts w:ascii="Times New Roman" w:hAnsi="Times New Roman" w:eastAsia="仿宋" w:cs="Times New Roman"/>
                <w:color w:val="auto"/>
              </w:rPr>
              <w:t>4、其他固定资产</w:t>
            </w:r>
          </w:p>
        </w:tc>
        <w:tc>
          <w:tcPr>
            <w:tcW w:w="4111"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w:t>
            </w:r>
          </w:p>
        </w:tc>
        <w:tc>
          <w:tcPr>
            <w:tcW w:w="5387"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3.76</w:t>
            </w:r>
          </w:p>
        </w:tc>
      </w:tr>
    </w:tbl>
    <w:p>
      <w:pPr>
        <w:ind w:firstLine="640"/>
        <w:rPr>
          <w:rFonts w:ascii="Times New Roman" w:hAnsi="Times New Roman" w:eastAsia="仿宋" w:cs="Times New Roman"/>
          <w:color w:val="auto"/>
          <w:sz w:val="32"/>
          <w:szCs w:val="32"/>
        </w:rPr>
      </w:pPr>
    </w:p>
    <w:p>
      <w:pPr>
        <w:ind w:firstLine="640" w:firstLineChars="200"/>
        <w:outlineLvl w:val="0"/>
        <w:rPr>
          <w:rFonts w:ascii="Times New Roman" w:hAnsi="Times New Roman" w:eastAsia="仿宋" w:cs="Times New Roman"/>
          <w:color w:val="auto"/>
          <w:sz w:val="32"/>
          <w:szCs w:val="24"/>
        </w:rPr>
      </w:pPr>
    </w:p>
    <w:p>
      <w:pPr>
        <w:autoSpaceDE w:val="0"/>
        <w:autoSpaceDN w:val="0"/>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1、一般预算收入：</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级财政当年拨付的资金。</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p>
      <w:pPr>
        <w:spacing w:line="500" w:lineRule="exact"/>
        <w:ind w:firstLine="560"/>
        <w:rPr>
          <w:rFonts w:ascii="方正仿宋_GBK" w:eastAsia="方正仿宋_GBK"/>
          <w:color w:val="auto"/>
          <w:sz w:val="28"/>
        </w:rPr>
      </w:pPr>
    </w:p>
    <w:p>
      <w:pPr>
        <w:spacing w:line="500" w:lineRule="exact"/>
        <w:ind w:firstLine="560"/>
        <w:rPr>
          <w:rFonts w:ascii="方正仿宋_GBK" w:eastAsia="方正仿宋_GBK"/>
          <w:color w:val="auto"/>
          <w:sz w:val="28"/>
        </w:rPr>
      </w:pPr>
    </w:p>
    <w:p>
      <w:pPr>
        <w:spacing w:line="220" w:lineRule="atLeast"/>
        <w:rPr>
          <w:color w:val="auto"/>
        </w:rPr>
      </w:pP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方正小标宋_GBK">
    <w:altName w:val="宋体"/>
    <w:panose1 w:val="00000000000000000000"/>
    <w:charset w:val="86"/>
    <w:family w:val="modern"/>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922D9"/>
    <w:rsid w:val="00107AC5"/>
    <w:rsid w:val="00134DB7"/>
    <w:rsid w:val="00161349"/>
    <w:rsid w:val="00323B43"/>
    <w:rsid w:val="003264CC"/>
    <w:rsid w:val="00353636"/>
    <w:rsid w:val="00363C0E"/>
    <w:rsid w:val="003D37D8"/>
    <w:rsid w:val="00426133"/>
    <w:rsid w:val="004358AB"/>
    <w:rsid w:val="005E3E8A"/>
    <w:rsid w:val="00625D6F"/>
    <w:rsid w:val="00627623"/>
    <w:rsid w:val="006D5BED"/>
    <w:rsid w:val="0074335B"/>
    <w:rsid w:val="00765A96"/>
    <w:rsid w:val="00782554"/>
    <w:rsid w:val="007B26B6"/>
    <w:rsid w:val="007C7E26"/>
    <w:rsid w:val="007E1D62"/>
    <w:rsid w:val="00830985"/>
    <w:rsid w:val="00853B30"/>
    <w:rsid w:val="008B7726"/>
    <w:rsid w:val="009451A2"/>
    <w:rsid w:val="00956B92"/>
    <w:rsid w:val="00A057BA"/>
    <w:rsid w:val="00A87BD9"/>
    <w:rsid w:val="00C20AF3"/>
    <w:rsid w:val="00D31D50"/>
    <w:rsid w:val="00EA23AF"/>
    <w:rsid w:val="00ED3513"/>
    <w:rsid w:val="055766B3"/>
    <w:rsid w:val="0EE52308"/>
    <w:rsid w:val="0F9F53FC"/>
    <w:rsid w:val="19FF7347"/>
    <w:rsid w:val="1C07213A"/>
    <w:rsid w:val="209B541A"/>
    <w:rsid w:val="211C044B"/>
    <w:rsid w:val="212021E4"/>
    <w:rsid w:val="21AF60A9"/>
    <w:rsid w:val="25C32E03"/>
    <w:rsid w:val="2A5C5063"/>
    <w:rsid w:val="3BDE23C5"/>
    <w:rsid w:val="44EA005D"/>
    <w:rsid w:val="71B73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footnote text"/>
    <w:basedOn w:val="1"/>
    <w:link w:val="10"/>
    <w:semiHidden/>
    <w:qFormat/>
    <w:uiPriority w:val="0"/>
    <w:pPr>
      <w:widowControl w:val="0"/>
      <w:adjustRightInd/>
      <w:spacing w:after="0"/>
    </w:pPr>
    <w:rPr>
      <w:rFonts w:ascii="Times New Roman" w:hAnsi="Times New Roman" w:eastAsia="宋体" w:cs="Times New Roman"/>
      <w:kern w:val="2"/>
      <w:sz w:val="18"/>
      <w:szCs w:val="18"/>
    </w:rPr>
  </w:style>
  <w:style w:type="character" w:styleId="7">
    <w:name w:val="footnote reference"/>
    <w:basedOn w:val="6"/>
    <w:semiHidden/>
    <w:qFormat/>
    <w:uiPriority w:val="0"/>
    <w:rPr>
      <w:vertAlign w:val="superscript"/>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character" w:customStyle="1" w:styleId="10">
    <w:name w:val="脚注文本 Char"/>
    <w:basedOn w:val="6"/>
    <w:link w:val="4"/>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1436</Words>
  <Characters>8190</Characters>
  <Lines>68</Lines>
  <Paragraphs>19</Paragraphs>
  <TotalTime>6</TotalTime>
  <ScaleCrop>false</ScaleCrop>
  <LinksUpToDate>false</LinksUpToDate>
  <CharactersWithSpaces>9607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dc:creator>
  <cp:lastModifiedBy>6665</cp:lastModifiedBy>
  <dcterms:modified xsi:type="dcterms:W3CDTF">2024-06-27T09:37:17Z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