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sz w:val="44"/>
        </w:rPr>
      </w:pPr>
      <w:bookmarkStart w:id="9" w:name="_GoBack"/>
      <w:bookmarkEnd w:id="9"/>
      <w:r>
        <w:rPr>
          <w:rFonts w:hint="eastAsia" w:ascii="方正小标宋_GBK" w:eastAsia="方正小标宋_GBK"/>
          <w:sz w:val="44"/>
        </w:rPr>
        <w:t>中共曲阳县委机构编制委员会办公室</w:t>
      </w:r>
      <w:r>
        <w:rPr>
          <w:rFonts w:ascii="方正小标宋_GBK" w:eastAsia="方正小标宋_GBK"/>
          <w:sz w:val="44"/>
        </w:rPr>
        <w:t>2021</w:t>
      </w:r>
      <w:r>
        <w:rPr>
          <w:rFonts w:hint="eastAsia" w:ascii="方正小标宋_GBK" w:eastAsia="方正小标宋_GBK"/>
          <w:sz w:val="44"/>
        </w:rPr>
        <w:t>年部门预算信息公开情况说明</w:t>
      </w:r>
    </w:p>
    <w:p>
      <w:pPr>
        <w:spacing w:line="500" w:lineRule="exact"/>
        <w:ind w:firstLine="560" w:firstLineChars="200"/>
        <w:jc w:val="left"/>
        <w:rPr>
          <w:rFonts w:hAnsi="宋体"/>
          <w:sz w:val="28"/>
        </w:rPr>
      </w:pPr>
      <w:r>
        <w:rPr>
          <w:rFonts w:hint="eastAsia" w:eastAsia="方正仿宋_GBK"/>
          <w:sz w:val="28"/>
        </w:rPr>
        <w:t>按照</w:t>
      </w:r>
      <w:r>
        <w:rPr>
          <w:rFonts w:hint="eastAsia" w:eastAsia="方正仿宋_GBK"/>
          <w:sz w:val="28"/>
          <w:lang w:eastAsia="zh-CN"/>
        </w:rPr>
        <w:t>《中华人民共和国预算法》</w:t>
      </w:r>
      <w:r>
        <w:rPr>
          <w:rFonts w:hint="eastAsia" w:eastAsia="方正仿宋_GBK"/>
          <w:sz w:val="28"/>
        </w:rPr>
        <w:t>、《地方预决算公开操作规程》和《河北省</w:t>
      </w:r>
      <w:r>
        <w:rPr>
          <w:rFonts w:hint="eastAsia"/>
          <w:sz w:val="28"/>
        </w:rPr>
        <w:t>省</w:t>
      </w:r>
      <w:r>
        <w:rPr>
          <w:rFonts w:hint="eastAsia" w:eastAsia="方正仿宋_GBK"/>
          <w:sz w:val="28"/>
        </w:rPr>
        <w:t>级预算公开办法》规定，现将中共曲阳县委机构编制委员会办公室</w:t>
      </w:r>
      <w:r>
        <w:rPr>
          <w:rFonts w:eastAsia="方正仿宋_GBK"/>
          <w:sz w:val="28"/>
        </w:rPr>
        <w:t>2021</w:t>
      </w:r>
      <w:r>
        <w:rPr>
          <w:rFonts w:hint="eastAsia" w:eastAsia="方正仿宋_GBK"/>
          <w:sz w:val="28"/>
        </w:rPr>
        <w:t>年部门预算公开如下：</w:t>
      </w:r>
    </w:p>
    <w:p>
      <w:pPr>
        <w:spacing w:beforeLines="50" w:afterLines="50"/>
        <w:ind w:firstLine="640" w:firstLineChars="200"/>
        <w:jc w:val="left"/>
        <w:outlineLvl w:val="2"/>
        <w:rPr>
          <w:rFonts w:hAnsi="宋体"/>
          <w:sz w:val="32"/>
        </w:rPr>
      </w:pPr>
      <w:bookmarkStart w:id="0" w:name="_Toc65503652"/>
      <w:r>
        <w:rPr>
          <w:rFonts w:hint="eastAsia" w:ascii="黑体" w:hAnsi="黑体" w:eastAsia="黑体"/>
          <w:sz w:val="32"/>
        </w:rPr>
        <w:t>一、部门职责及机构设置情况</w:t>
      </w:r>
      <w:bookmarkEnd w:id="0"/>
    </w:p>
    <w:p>
      <w:pPr>
        <w:ind w:firstLine="643" w:firstLineChars="200"/>
        <w:jc w:val="left"/>
        <w:rPr>
          <w:rFonts w:hAnsi="宋体"/>
          <w:b/>
          <w:sz w:val="32"/>
        </w:rPr>
      </w:pPr>
      <w:r>
        <w:rPr>
          <w:rFonts w:hint="eastAsia" w:ascii="方正楷体_GBK" w:hAnsi="方正楷体_GBK" w:eastAsia="方正楷体_GBK"/>
          <w:b/>
          <w:sz w:val="32"/>
        </w:rPr>
        <w:t>部门职责：</w:t>
      </w:r>
    </w:p>
    <w:p>
      <w:pPr>
        <w:spacing w:line="500" w:lineRule="exact"/>
        <w:ind w:firstLine="560" w:firstLineChars="200"/>
        <w:jc w:val="left"/>
        <w:rPr>
          <w:rFonts w:eastAsia="方正仿宋_GBK"/>
          <w:sz w:val="28"/>
        </w:rPr>
      </w:pPr>
      <w:r>
        <w:rPr>
          <w:rFonts w:hint="eastAsia" w:eastAsia="方正仿宋_GBK"/>
          <w:sz w:val="28"/>
        </w:rPr>
        <w:t>（一）贯彻落实党中央和省委、市委、县委关于行政管理体制和机构改革以及机构编制管理的政策法规，组织拟订相关政策规定和地方性法规草案并监督实施。管理和指导各级党委、人大、政府、政协，各民主党派、人民团体机关以及全县事业单位的机构编制工作。</w:t>
      </w:r>
    </w:p>
    <w:p>
      <w:pPr>
        <w:spacing w:line="500" w:lineRule="exact"/>
        <w:ind w:firstLine="560" w:firstLineChars="200"/>
        <w:jc w:val="left"/>
        <w:rPr>
          <w:rFonts w:eastAsia="方正仿宋_GBK"/>
          <w:sz w:val="28"/>
        </w:rPr>
      </w:pPr>
      <w:r>
        <w:rPr>
          <w:rFonts w:hint="eastAsia" w:eastAsia="方正仿宋_GBK"/>
          <w:sz w:val="28"/>
        </w:rPr>
        <w:t>（二）组织拟订全县行政管理体制改革和县委、县政府机构改革方案并组织实施。指导全县行政管理体制和机构改革以及机构编制管理工作；负责行政执法体制改革工作。</w:t>
      </w:r>
    </w:p>
    <w:p>
      <w:pPr>
        <w:spacing w:line="500" w:lineRule="exact"/>
        <w:ind w:firstLine="560" w:firstLineChars="200"/>
        <w:jc w:val="left"/>
        <w:rPr>
          <w:rFonts w:eastAsia="方正仿宋_GBK"/>
          <w:sz w:val="28"/>
        </w:rPr>
      </w:pPr>
      <w:r>
        <w:rPr>
          <w:rFonts w:hint="eastAsia" w:eastAsia="方正仿宋_GBK"/>
          <w:sz w:val="28"/>
        </w:rPr>
        <w:t>（三）协调县委、县政府各部门的职能配置及其调整。协调县委、县政府部门之间以及县直部门之间的职责分工。</w:t>
      </w:r>
    </w:p>
    <w:p>
      <w:pPr>
        <w:spacing w:line="500" w:lineRule="exact"/>
        <w:ind w:firstLine="560" w:firstLineChars="200"/>
        <w:jc w:val="left"/>
        <w:rPr>
          <w:rFonts w:eastAsia="方正仿宋_GBK"/>
          <w:sz w:val="28"/>
        </w:rPr>
      </w:pPr>
      <w:r>
        <w:rPr>
          <w:rFonts w:hint="eastAsia" w:eastAsia="方正仿宋_GBK"/>
          <w:sz w:val="28"/>
        </w:rPr>
        <w:t>（四）审核或审批县委、县政府各部门及各部门派出机构的职能配置、机构设置、人员编制和领导职数；审核县人大、县政协和县级各民主党派、人民团体机关的职能配置、机构设置、人员编制和领导职数。</w:t>
      </w:r>
    </w:p>
    <w:p>
      <w:pPr>
        <w:spacing w:line="500" w:lineRule="exact"/>
        <w:ind w:firstLine="560" w:firstLineChars="200"/>
        <w:jc w:val="left"/>
        <w:rPr>
          <w:rFonts w:eastAsia="方正仿宋_GBK"/>
          <w:sz w:val="28"/>
        </w:rPr>
      </w:pPr>
      <w:r>
        <w:rPr>
          <w:rFonts w:hint="eastAsia" w:eastAsia="方正仿宋_GBK"/>
          <w:sz w:val="28"/>
        </w:rPr>
        <w:t>（五）组织拟订全县事业单位管理体制和机构改革方案。制定各类事业单位人员编制标准和管理办法，负责推进事业单位机构编制标准体系建设；审核或审批县委、县政府直属事业单位和县直部门所属事业单位的机构编制事宜；负责全县党政群机关统一社会信用代码赋码管理工作，负责全县事业单位法人登记管理和监督检</w:t>
      </w:r>
      <w:r>
        <w:rPr>
          <w:rFonts w:hint="eastAsia" w:eastAsia="方正仿宋_GBK"/>
          <w:sz w:val="28"/>
          <w:lang w:eastAsia="zh-CN"/>
        </w:rPr>
        <w:t>查</w:t>
      </w:r>
      <w:r>
        <w:rPr>
          <w:rFonts w:hint="eastAsia" w:eastAsia="方正仿宋_GBK"/>
          <w:sz w:val="28"/>
        </w:rPr>
        <w:t>工作。</w:t>
      </w:r>
    </w:p>
    <w:p>
      <w:pPr>
        <w:spacing w:line="500" w:lineRule="exact"/>
        <w:ind w:firstLine="560" w:firstLineChars="200"/>
        <w:jc w:val="left"/>
        <w:rPr>
          <w:rFonts w:eastAsia="方正仿宋_GBK"/>
          <w:sz w:val="28"/>
        </w:rPr>
      </w:pPr>
      <w:r>
        <w:rPr>
          <w:rFonts w:hint="eastAsia" w:eastAsia="方正仿宋_GBK"/>
          <w:sz w:val="28"/>
        </w:rPr>
        <w:t>（六）指导县开发区（园区）行政管理体制改革工作。组织拟订县开发区（园区）机构编制管理办法并组织实施，审核县开发区（园区）职能配置、机构设置、人员编制和领导职数。</w:t>
      </w:r>
    </w:p>
    <w:p>
      <w:pPr>
        <w:spacing w:line="500" w:lineRule="exact"/>
        <w:ind w:firstLine="560" w:firstLineChars="200"/>
        <w:jc w:val="left"/>
        <w:rPr>
          <w:rFonts w:eastAsia="方正仿宋_GBK"/>
          <w:sz w:val="28"/>
        </w:rPr>
      </w:pPr>
      <w:r>
        <w:rPr>
          <w:rFonts w:hint="eastAsia" w:eastAsia="方正仿宋_GBK"/>
          <w:sz w:val="28"/>
        </w:rPr>
        <w:t>（七）负责全县机构编制的总量控制和动态管理。会同有关部门负责机构编制实名制工作；负责县直机关事业单位编制使用核准；建立健全机构编制部门与有关部门间的协调配合约束机制。</w:t>
      </w:r>
    </w:p>
    <w:p>
      <w:pPr>
        <w:spacing w:line="500" w:lineRule="exact"/>
        <w:ind w:firstLine="560" w:firstLineChars="200"/>
        <w:jc w:val="left"/>
        <w:rPr>
          <w:rFonts w:eastAsia="方正仿宋_GBK"/>
          <w:sz w:val="28"/>
        </w:rPr>
      </w:pPr>
      <w:r>
        <w:rPr>
          <w:rFonts w:hint="eastAsia" w:eastAsia="方正仿宋_GBK"/>
          <w:sz w:val="28"/>
        </w:rPr>
        <w:t>（八）负责对全县行政、事业单位管理体制和机构改革及机构编制执行情况的跟踪评估和监督检查。负责受理违反机构编制法规、纪律的检举、控告和投诉，对违反机构编制法规、纪律问题进行调查处理。</w:t>
      </w:r>
    </w:p>
    <w:p>
      <w:pPr>
        <w:spacing w:line="500" w:lineRule="exact"/>
        <w:ind w:firstLine="560" w:firstLineChars="200"/>
        <w:jc w:val="left"/>
        <w:rPr>
          <w:rFonts w:eastAsia="方正仿宋_GBK"/>
          <w:sz w:val="28"/>
        </w:rPr>
      </w:pPr>
      <w:r>
        <w:rPr>
          <w:rFonts w:hint="eastAsia" w:eastAsia="方正仿宋_GBK"/>
          <w:sz w:val="28"/>
        </w:rPr>
        <w:t>（九）负责全县机构编制电子政务和信息化工作。负责全县机构编制统计工作；负责机构编制网站的建设管理以及网络安全工作；指导全县党政群机关、事业单位和其他非营利性单位网上名称管理工作。</w:t>
      </w:r>
    </w:p>
    <w:p>
      <w:pPr>
        <w:spacing w:line="500" w:lineRule="exact"/>
        <w:ind w:firstLine="560" w:firstLineChars="200"/>
        <w:jc w:val="left"/>
        <w:rPr>
          <w:rFonts w:eastAsia="方正仿宋_GBK"/>
          <w:sz w:val="28"/>
        </w:rPr>
      </w:pPr>
      <w:r>
        <w:rPr>
          <w:rFonts w:hint="eastAsia" w:eastAsia="方正仿宋_GBK"/>
          <w:sz w:val="28"/>
        </w:rPr>
        <w:t>（十）组织开展行政体制改革及机构编制管理创新基础性和前瞻性研究。</w:t>
      </w:r>
    </w:p>
    <w:p>
      <w:pPr>
        <w:spacing w:line="500" w:lineRule="exact"/>
        <w:ind w:firstLine="560" w:firstLineChars="200"/>
        <w:jc w:val="left"/>
        <w:rPr>
          <w:rFonts w:eastAsia="方正仿宋_GBK"/>
          <w:sz w:val="28"/>
        </w:rPr>
      </w:pPr>
      <w:r>
        <w:rPr>
          <w:rFonts w:hint="eastAsia" w:eastAsia="方正仿宋_GBK"/>
          <w:sz w:val="28"/>
        </w:rPr>
        <w:t>（十一）完成县委、县政府和县委机构编制委员会交办的其他任务。</w:t>
      </w:r>
    </w:p>
    <w:p>
      <w:pPr>
        <w:ind w:firstLine="643" w:firstLineChars="200"/>
        <w:jc w:val="left"/>
        <w:rPr>
          <w:rFonts w:hAnsi="宋体"/>
          <w:b/>
          <w:sz w:val="32"/>
        </w:rPr>
      </w:pPr>
      <w:r>
        <w:rPr>
          <w:rFonts w:hint="eastAsia" w:ascii="方正楷体_GBK" w:hAnsi="方正楷体_GBK" w:eastAsia="方正楷体_GBK"/>
          <w:b/>
          <w:sz w:val="32"/>
        </w:rPr>
        <w:t>机构设置：</w:t>
      </w:r>
    </w:p>
    <w:p>
      <w:pPr>
        <w:jc w:val="center"/>
        <w:rPr>
          <w:rFonts w:hAnsi="宋体"/>
          <w:sz w:val="32"/>
        </w:rPr>
      </w:pPr>
      <w:r>
        <w:rPr>
          <w:rFonts w:hint="eastAsia" w:ascii="方正小标宋_GBK" w:eastAsia="方正小标宋_GBK"/>
          <w:sz w:val="32"/>
        </w:rPr>
        <w:t>部门机构设置情况</w:t>
      </w:r>
    </w:p>
    <w:tbl>
      <w:tblPr>
        <w:tblStyle w:val="8"/>
        <w:tblW w:w="1347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71"/>
        <w:gridCol w:w="1844"/>
        <w:gridCol w:w="2127"/>
        <w:gridCol w:w="3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71"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4"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7"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8"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71" w:type="dxa"/>
            <w:vAlign w:val="center"/>
          </w:tcPr>
          <w:p>
            <w:pPr>
              <w:spacing w:line="300" w:lineRule="exact"/>
              <w:jc w:val="left"/>
              <w:rPr>
                <w:rFonts w:ascii="方正书宋_GBK" w:eastAsia="方正书宋_GBK"/>
              </w:rPr>
            </w:pPr>
            <w:r>
              <w:rPr>
                <w:rFonts w:hint="eastAsia" w:ascii="方正书宋_GBK" w:eastAsia="方正书宋_GBK"/>
              </w:rPr>
              <w:t>中共曲阳县委机构编制委员会办公室本级</w:t>
            </w:r>
          </w:p>
        </w:tc>
        <w:tc>
          <w:tcPr>
            <w:tcW w:w="184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2127"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8"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Lines="50" w:afterLines="50"/>
        <w:ind w:firstLine="640" w:firstLineChars="200"/>
        <w:jc w:val="left"/>
        <w:outlineLvl w:val="2"/>
        <w:rPr>
          <w:rFonts w:hAnsi="宋体"/>
          <w:sz w:val="32"/>
        </w:rPr>
      </w:pPr>
      <w:bookmarkStart w:id="1" w:name="_Toc65503653"/>
      <w:r>
        <w:rPr>
          <w:rFonts w:hint="eastAsia" w:ascii="黑体" w:hAnsi="黑体" w:eastAsia="黑体"/>
          <w:sz w:val="32"/>
        </w:rPr>
        <w:t>二、部门预算安排的总体情况</w:t>
      </w:r>
      <w:bookmarkEnd w:id="1"/>
    </w:p>
    <w:p>
      <w:pPr>
        <w:spacing w:line="500" w:lineRule="exact"/>
        <w:ind w:firstLine="560" w:firstLineChars="200"/>
        <w:jc w:val="left"/>
        <w:rPr>
          <w:rFonts w:hAnsi="宋体"/>
          <w:sz w:val="28"/>
        </w:rPr>
      </w:pPr>
      <w:r>
        <w:rPr>
          <w:rFonts w:hint="eastAsia" w:eastAsia="方正仿宋_GBK"/>
          <w:sz w:val="28"/>
        </w:rPr>
        <w:t>按照预算管理有关规定，目前我县部门预算的编制实行综合预算管理，即全部收入和支出都反映在预算中。中共曲阳县委机构编制委员会办公室机关及所属事业单位的收支包含在部门预算中。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1</w:t>
      </w:r>
      <w:r>
        <w:rPr>
          <w:rFonts w:hint="eastAsia" w:eastAsia="方正仿宋_GBK"/>
          <w:sz w:val="28"/>
        </w:rPr>
        <w:t>．收入说明</w:t>
      </w:r>
    </w:p>
    <w:p>
      <w:pPr>
        <w:spacing w:line="500" w:lineRule="exact"/>
        <w:ind w:firstLine="560" w:firstLineChars="200"/>
        <w:jc w:val="left"/>
        <w:rPr>
          <w:rFonts w:eastAsia="方正仿宋_GBK"/>
          <w:sz w:val="28"/>
        </w:rPr>
      </w:pPr>
      <w:r>
        <w:rPr>
          <w:rFonts w:hint="eastAsia" w:eastAsia="方正仿宋_GBK"/>
          <w:sz w:val="28"/>
        </w:rPr>
        <w:t>反映本部门当年全部收入。</w:t>
      </w:r>
      <w:r>
        <w:rPr>
          <w:rFonts w:eastAsia="方正仿宋_GBK"/>
          <w:sz w:val="28"/>
        </w:rPr>
        <w:t>2021</w:t>
      </w:r>
      <w:r>
        <w:rPr>
          <w:rFonts w:hint="eastAsia" w:eastAsia="方正仿宋_GBK"/>
          <w:sz w:val="28"/>
        </w:rPr>
        <w:t>年预算收入</w:t>
      </w:r>
      <w:r>
        <w:rPr>
          <w:rFonts w:eastAsia="方正仿宋_GBK"/>
          <w:sz w:val="28"/>
        </w:rPr>
        <w:t>88.38</w:t>
      </w:r>
      <w:r>
        <w:rPr>
          <w:rFonts w:hint="eastAsia" w:eastAsia="方正仿宋_GBK"/>
          <w:sz w:val="28"/>
        </w:rPr>
        <w:t>万元，其中：一般公共预算收入</w:t>
      </w:r>
      <w:r>
        <w:rPr>
          <w:rFonts w:eastAsia="方正仿宋_GBK"/>
          <w:sz w:val="28"/>
        </w:rPr>
        <w:t>88.38</w:t>
      </w:r>
      <w:r>
        <w:rPr>
          <w:rFonts w:hint="eastAsia" w:eastAsia="方正仿宋_GBK"/>
          <w:sz w:val="28"/>
        </w:rPr>
        <w:t>万元，基金预算收入</w:t>
      </w:r>
      <w:r>
        <w:rPr>
          <w:rFonts w:eastAsia="方正仿宋_GBK"/>
          <w:sz w:val="28"/>
        </w:rPr>
        <w:t>0</w:t>
      </w:r>
      <w:r>
        <w:rPr>
          <w:rFonts w:hint="eastAsia" w:eastAsia="方正仿宋_GBK"/>
          <w:sz w:val="28"/>
        </w:rPr>
        <w:t>万元，财政专户核拨收入</w:t>
      </w:r>
      <w:r>
        <w:rPr>
          <w:rFonts w:eastAsia="方正仿宋_GBK"/>
          <w:sz w:val="28"/>
        </w:rPr>
        <w:t>0</w:t>
      </w:r>
      <w:r>
        <w:rPr>
          <w:rFonts w:hint="eastAsia" w:eastAsia="方正仿宋_GBK"/>
          <w:sz w:val="28"/>
        </w:rPr>
        <w:t>万元，其他来源收入</w:t>
      </w:r>
      <w:r>
        <w:rPr>
          <w:rFonts w:eastAsia="方正仿宋_GBK"/>
          <w:sz w:val="28"/>
        </w:rPr>
        <w:t>0</w:t>
      </w:r>
      <w:r>
        <w:rPr>
          <w:rFonts w:hint="eastAsia" w:eastAsia="方正仿宋_GBK"/>
          <w:sz w:val="28"/>
        </w:rPr>
        <w:t>万元。</w:t>
      </w:r>
    </w:p>
    <w:p>
      <w:pPr>
        <w:spacing w:line="500" w:lineRule="exact"/>
        <w:ind w:firstLine="560" w:firstLineChars="200"/>
        <w:jc w:val="left"/>
        <w:rPr>
          <w:rFonts w:eastAsia="方正仿宋_GBK"/>
          <w:sz w:val="28"/>
        </w:rPr>
      </w:pPr>
      <w:r>
        <w:rPr>
          <w:rFonts w:eastAsia="方正仿宋_GBK"/>
          <w:sz w:val="28"/>
        </w:rPr>
        <w:t>2</w:t>
      </w:r>
      <w:r>
        <w:rPr>
          <w:rFonts w:hint="eastAsia" w:eastAsia="方正仿宋_GBK"/>
          <w:sz w:val="28"/>
        </w:rPr>
        <w:t>．支出说明</w:t>
      </w:r>
    </w:p>
    <w:p>
      <w:pPr>
        <w:spacing w:line="500" w:lineRule="exact"/>
        <w:ind w:firstLine="560" w:firstLineChars="200"/>
        <w:jc w:val="left"/>
        <w:rPr>
          <w:rFonts w:eastAsia="方正仿宋_GBK"/>
          <w:sz w:val="28"/>
        </w:rPr>
      </w:pPr>
      <w:r>
        <w:rPr>
          <w:rFonts w:hint="eastAsia" w:eastAsia="方正仿宋_GBK"/>
          <w:sz w:val="28"/>
        </w:rPr>
        <w:t>收支预算总表支出栏、基本支出表、项目支出表按经济分类和支出功能分类科目编制，反映中共河北省委机构编制委员会办公室年度部门预算中支出预算的总体情况。</w:t>
      </w:r>
      <w:r>
        <w:rPr>
          <w:rFonts w:eastAsia="方正仿宋_GBK"/>
          <w:sz w:val="28"/>
        </w:rPr>
        <w:t>2021</w:t>
      </w:r>
      <w:r>
        <w:rPr>
          <w:rFonts w:hint="eastAsia" w:eastAsia="方正仿宋_GBK"/>
          <w:sz w:val="28"/>
        </w:rPr>
        <w:t>年支出预算</w:t>
      </w:r>
      <w:r>
        <w:rPr>
          <w:rFonts w:eastAsia="方正仿宋_GBK"/>
          <w:sz w:val="28"/>
        </w:rPr>
        <w:t>88.38</w:t>
      </w:r>
      <w:r>
        <w:rPr>
          <w:rFonts w:hint="eastAsia" w:eastAsia="方正仿宋_GBK"/>
          <w:sz w:val="28"/>
        </w:rPr>
        <w:t>万元，其中基本支出</w:t>
      </w:r>
      <w:r>
        <w:rPr>
          <w:rFonts w:eastAsia="方正仿宋_GBK"/>
          <w:sz w:val="28"/>
        </w:rPr>
        <w:t>78.65</w:t>
      </w:r>
      <w:r>
        <w:rPr>
          <w:rFonts w:hint="eastAsia" w:eastAsia="方正仿宋_GBK"/>
          <w:sz w:val="28"/>
        </w:rPr>
        <w:t>万元，包括人员经费</w:t>
      </w:r>
      <w:r>
        <w:rPr>
          <w:rFonts w:eastAsia="方正仿宋_GBK"/>
          <w:sz w:val="28"/>
        </w:rPr>
        <w:t>69.17</w:t>
      </w:r>
      <w:r>
        <w:rPr>
          <w:rFonts w:hint="eastAsia" w:eastAsia="方正仿宋_GBK"/>
          <w:sz w:val="28"/>
        </w:rPr>
        <w:t>万元和日常公用经费</w:t>
      </w:r>
      <w:r>
        <w:rPr>
          <w:rFonts w:eastAsia="方正仿宋_GBK"/>
          <w:sz w:val="28"/>
        </w:rPr>
        <w:t>9.48</w:t>
      </w:r>
      <w:r>
        <w:rPr>
          <w:rFonts w:hint="eastAsia" w:eastAsia="方正仿宋_GBK"/>
          <w:sz w:val="28"/>
        </w:rPr>
        <w:t>万元；项目支出</w:t>
      </w:r>
      <w:r>
        <w:rPr>
          <w:rFonts w:eastAsia="方正仿宋_GBK"/>
          <w:sz w:val="28"/>
        </w:rPr>
        <w:t>9.73</w:t>
      </w:r>
      <w:r>
        <w:rPr>
          <w:rFonts w:hint="eastAsia" w:eastAsia="方正仿宋_GBK"/>
          <w:sz w:val="28"/>
        </w:rPr>
        <w:t>万元，主要为一般行政管理事务</w:t>
      </w:r>
      <w:r>
        <w:rPr>
          <w:rFonts w:eastAsia="方正仿宋_GBK"/>
          <w:sz w:val="28"/>
        </w:rPr>
        <w:t>9.73</w:t>
      </w:r>
      <w:r>
        <w:rPr>
          <w:rFonts w:hint="eastAsia" w:eastAsia="方正仿宋_GBK"/>
          <w:sz w:val="28"/>
        </w:rPr>
        <w:t>万元。</w:t>
      </w:r>
    </w:p>
    <w:p>
      <w:pPr>
        <w:spacing w:line="500" w:lineRule="exact"/>
        <w:ind w:firstLine="560" w:firstLineChars="200"/>
        <w:jc w:val="left"/>
        <w:rPr>
          <w:rFonts w:eastAsia="方正仿宋_GBK"/>
          <w:sz w:val="28"/>
        </w:rPr>
      </w:pPr>
      <w:r>
        <w:rPr>
          <w:rFonts w:eastAsia="方正仿宋_GBK"/>
          <w:sz w:val="28"/>
        </w:rPr>
        <w:t>3</w:t>
      </w:r>
      <w:r>
        <w:rPr>
          <w:rFonts w:hint="eastAsia" w:eastAsia="方正仿宋_GBK"/>
          <w:sz w:val="28"/>
        </w:rPr>
        <w:t>．比上年增减情况</w:t>
      </w:r>
    </w:p>
    <w:p>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年预算收支安排</w:t>
      </w:r>
      <w:r>
        <w:rPr>
          <w:rFonts w:eastAsia="方正仿宋_GBK"/>
          <w:sz w:val="28"/>
        </w:rPr>
        <w:t>88.38</w:t>
      </w:r>
      <w:r>
        <w:rPr>
          <w:rFonts w:hint="eastAsia" w:eastAsia="方正仿宋_GBK"/>
          <w:sz w:val="28"/>
        </w:rPr>
        <w:t>万元，较</w:t>
      </w:r>
      <w:r>
        <w:rPr>
          <w:rFonts w:eastAsia="方正仿宋_GBK"/>
          <w:sz w:val="28"/>
        </w:rPr>
        <w:t>2020</w:t>
      </w:r>
      <w:r>
        <w:rPr>
          <w:rFonts w:hint="eastAsia" w:eastAsia="方正仿宋_GBK"/>
          <w:sz w:val="28"/>
        </w:rPr>
        <w:t>年预算增加</w:t>
      </w:r>
      <w:r>
        <w:rPr>
          <w:rFonts w:eastAsia="方正仿宋_GBK"/>
          <w:sz w:val="28"/>
        </w:rPr>
        <w:t>2.6</w:t>
      </w:r>
      <w:r>
        <w:rPr>
          <w:rFonts w:hint="eastAsia" w:eastAsia="方正仿宋_GBK"/>
          <w:sz w:val="28"/>
        </w:rPr>
        <w:t>万元，其中：基本支出增加</w:t>
      </w:r>
      <w:r>
        <w:rPr>
          <w:rFonts w:eastAsia="方正仿宋_GBK"/>
          <w:sz w:val="28"/>
        </w:rPr>
        <w:t>2.48</w:t>
      </w:r>
      <w:r>
        <w:rPr>
          <w:rFonts w:hint="eastAsia" w:eastAsia="方正仿宋_GBK"/>
          <w:sz w:val="28"/>
        </w:rPr>
        <w:t>万元，主要为晋级升档等增加人员及共用经费支出；项目支出增加</w:t>
      </w:r>
      <w:r>
        <w:rPr>
          <w:rFonts w:eastAsia="方正仿宋_GBK"/>
          <w:sz w:val="28"/>
        </w:rPr>
        <w:t>0.12</w:t>
      </w:r>
      <w:r>
        <w:rPr>
          <w:rFonts w:hint="eastAsia" w:eastAsia="方正仿宋_GBK"/>
          <w:sz w:val="28"/>
        </w:rPr>
        <w:t>万元，主要为增加我单位公益岗</w:t>
      </w:r>
      <w:r>
        <w:rPr>
          <w:rFonts w:eastAsia="方正仿宋_GBK"/>
          <w:sz w:val="28"/>
        </w:rPr>
        <w:t>1</w:t>
      </w:r>
      <w:r>
        <w:rPr>
          <w:rFonts w:hint="eastAsia" w:eastAsia="方正仿宋_GBK"/>
          <w:sz w:val="28"/>
        </w:rPr>
        <w:t>人退役军人军龄补贴</w:t>
      </w:r>
      <w:r>
        <w:rPr>
          <w:rFonts w:eastAsia="方正仿宋_GBK"/>
          <w:sz w:val="28"/>
        </w:rPr>
        <w:t>0.12</w:t>
      </w:r>
      <w:r>
        <w:rPr>
          <w:rFonts w:hint="eastAsia" w:eastAsia="方正仿宋_GBK"/>
          <w:sz w:val="28"/>
        </w:rPr>
        <w:t>万元。</w:t>
      </w:r>
    </w:p>
    <w:p>
      <w:pPr>
        <w:spacing w:beforeLines="50" w:afterLines="50"/>
        <w:ind w:firstLine="640" w:firstLineChars="200"/>
        <w:jc w:val="left"/>
        <w:outlineLvl w:val="2"/>
        <w:rPr>
          <w:rFonts w:hAnsi="宋体"/>
          <w:sz w:val="32"/>
        </w:rPr>
      </w:pPr>
      <w:bookmarkStart w:id="2" w:name="_Toc65503654"/>
      <w:r>
        <w:rPr>
          <w:rFonts w:hint="eastAsia" w:ascii="黑体" w:hAnsi="黑体" w:eastAsia="黑体"/>
          <w:sz w:val="32"/>
        </w:rPr>
        <w:t>三、机关运行经费安排情况</w:t>
      </w:r>
      <w:bookmarkEnd w:id="2"/>
    </w:p>
    <w:p>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年，我办机关运行经费共计安排</w:t>
      </w:r>
      <w:r>
        <w:rPr>
          <w:rFonts w:eastAsia="方正仿宋_GBK"/>
          <w:sz w:val="28"/>
        </w:rPr>
        <w:t>9.48</w:t>
      </w:r>
      <w:r>
        <w:rPr>
          <w:rFonts w:hint="eastAsia" w:eastAsia="方正仿宋_GBK"/>
          <w:sz w:val="28"/>
        </w:rPr>
        <w:t>万元。其中包括为办公费</w:t>
      </w:r>
      <w:r>
        <w:rPr>
          <w:rFonts w:eastAsia="方正仿宋_GBK"/>
          <w:sz w:val="28"/>
        </w:rPr>
        <w:t>0.68</w:t>
      </w:r>
      <w:r>
        <w:rPr>
          <w:rFonts w:hint="eastAsia" w:eastAsia="方正仿宋_GBK"/>
          <w:sz w:val="28"/>
        </w:rPr>
        <w:t>万元、邮电费</w:t>
      </w:r>
      <w:r>
        <w:rPr>
          <w:rFonts w:eastAsia="方正仿宋_GBK"/>
          <w:sz w:val="28"/>
        </w:rPr>
        <w:t>1.52</w:t>
      </w:r>
      <w:r>
        <w:rPr>
          <w:rFonts w:hint="eastAsia" w:eastAsia="方正仿宋_GBK"/>
          <w:sz w:val="28"/>
        </w:rPr>
        <w:t>万元、差旅费</w:t>
      </w:r>
      <w:r>
        <w:rPr>
          <w:rFonts w:eastAsia="方正仿宋_GBK"/>
          <w:sz w:val="28"/>
        </w:rPr>
        <w:t>0.32</w:t>
      </w:r>
      <w:r>
        <w:rPr>
          <w:rFonts w:hint="eastAsia" w:eastAsia="方正仿宋_GBK"/>
          <w:sz w:val="28"/>
        </w:rPr>
        <w:t>万元、福利费</w:t>
      </w:r>
      <w:r>
        <w:rPr>
          <w:rFonts w:eastAsia="方正仿宋_GBK"/>
          <w:sz w:val="28"/>
        </w:rPr>
        <w:t>0.82</w:t>
      </w:r>
      <w:r>
        <w:rPr>
          <w:rFonts w:hint="eastAsia" w:eastAsia="方正仿宋_GBK"/>
          <w:sz w:val="28"/>
        </w:rPr>
        <w:t>万元、公务用车运行维护费</w:t>
      </w:r>
      <w:r>
        <w:rPr>
          <w:rFonts w:eastAsia="方正仿宋_GBK"/>
          <w:sz w:val="28"/>
        </w:rPr>
        <w:t>1.2</w:t>
      </w:r>
      <w:r>
        <w:rPr>
          <w:rFonts w:hint="eastAsia" w:eastAsia="方正仿宋_GBK"/>
          <w:sz w:val="28"/>
        </w:rPr>
        <w:t>万元、公务交通补贴</w:t>
      </w:r>
      <w:r>
        <w:rPr>
          <w:rFonts w:eastAsia="方正仿宋_GBK"/>
          <w:sz w:val="28"/>
        </w:rPr>
        <w:t>4.38</w:t>
      </w:r>
      <w:r>
        <w:rPr>
          <w:rFonts w:hint="eastAsia" w:eastAsia="方正仿宋_GBK"/>
          <w:sz w:val="28"/>
        </w:rPr>
        <w:t>万元、工会经费</w:t>
      </w:r>
      <w:r>
        <w:rPr>
          <w:rFonts w:eastAsia="方正仿宋_GBK"/>
          <w:sz w:val="28"/>
        </w:rPr>
        <w:t>0.48</w:t>
      </w:r>
      <w:r>
        <w:rPr>
          <w:rFonts w:hint="eastAsia" w:eastAsia="方正仿宋_GBK"/>
          <w:sz w:val="28"/>
        </w:rPr>
        <w:t>万元以及网络运行维护费</w:t>
      </w:r>
      <w:r>
        <w:rPr>
          <w:rFonts w:eastAsia="方正仿宋_GBK"/>
          <w:sz w:val="28"/>
        </w:rPr>
        <w:t>0.08</w:t>
      </w:r>
      <w:r>
        <w:rPr>
          <w:rFonts w:hint="eastAsia" w:eastAsia="方正仿宋_GBK"/>
          <w:sz w:val="28"/>
        </w:rPr>
        <w:t>万元。</w:t>
      </w:r>
    </w:p>
    <w:p>
      <w:pPr>
        <w:spacing w:beforeLines="50" w:afterLines="50"/>
        <w:ind w:firstLine="640" w:firstLineChars="200"/>
        <w:jc w:val="left"/>
        <w:outlineLvl w:val="2"/>
        <w:rPr>
          <w:rFonts w:hAnsi="宋体"/>
          <w:sz w:val="32"/>
        </w:rPr>
      </w:pPr>
      <w:bookmarkStart w:id="3" w:name="_Toc65503655"/>
      <w:r>
        <w:rPr>
          <w:rFonts w:hint="eastAsia" w:ascii="黑体" w:hAnsi="黑体" w:eastAsia="黑体"/>
          <w:sz w:val="32"/>
        </w:rPr>
        <w:t>四、财政拨款“三公”经费预算情况及增减变化原因</w:t>
      </w:r>
      <w:bookmarkEnd w:id="3"/>
    </w:p>
    <w:p>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年，我办财政拨款</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经费预算安排</w:t>
      </w:r>
      <w:r>
        <w:rPr>
          <w:rFonts w:eastAsia="方正仿宋_GBK"/>
          <w:sz w:val="28"/>
        </w:rPr>
        <w:t>1.2</w:t>
      </w:r>
      <w:r>
        <w:rPr>
          <w:rFonts w:hint="eastAsia" w:eastAsia="方正仿宋_GBK"/>
          <w:sz w:val="28"/>
        </w:rPr>
        <w:t>万元，其中因公出国（境）费</w:t>
      </w:r>
      <w:r>
        <w:rPr>
          <w:rFonts w:eastAsia="方正仿宋_GBK"/>
          <w:sz w:val="28"/>
        </w:rPr>
        <w:t>0</w:t>
      </w:r>
      <w:r>
        <w:rPr>
          <w:rFonts w:hint="eastAsia" w:eastAsia="方正仿宋_GBK"/>
          <w:sz w:val="28"/>
        </w:rPr>
        <w:t>万元；公务用车购置及运维费</w:t>
      </w:r>
      <w:r>
        <w:rPr>
          <w:rFonts w:eastAsia="方正仿宋_GBK"/>
          <w:sz w:val="28"/>
        </w:rPr>
        <w:t>1.2</w:t>
      </w:r>
      <w:r>
        <w:rPr>
          <w:rFonts w:hint="eastAsia" w:eastAsia="方正仿宋_GBK"/>
          <w:sz w:val="28"/>
        </w:rPr>
        <w:t>万元（其中：公务用车购置费为</w:t>
      </w:r>
      <w:r>
        <w:rPr>
          <w:rFonts w:eastAsia="方正仿宋_GBK"/>
          <w:sz w:val="28"/>
        </w:rPr>
        <w:t>0</w:t>
      </w:r>
      <w:r>
        <w:rPr>
          <w:rFonts w:hint="eastAsia" w:eastAsia="方正仿宋_GBK"/>
          <w:sz w:val="28"/>
        </w:rPr>
        <w:t>万元，公务用车运维费</w:t>
      </w:r>
      <w:r>
        <w:rPr>
          <w:rFonts w:eastAsia="方正仿宋_GBK"/>
          <w:sz w:val="28"/>
        </w:rPr>
        <w:t>1.2</w:t>
      </w:r>
      <w:r>
        <w:rPr>
          <w:rFonts w:hint="eastAsia" w:eastAsia="方正仿宋_GBK"/>
          <w:sz w:val="28"/>
        </w:rPr>
        <w:t>万元</w:t>
      </w:r>
      <w:r>
        <w:rPr>
          <w:rFonts w:eastAsia="方正仿宋_GBK"/>
          <w:sz w:val="28"/>
        </w:rPr>
        <w:t>)</w:t>
      </w:r>
      <w:r>
        <w:rPr>
          <w:rFonts w:hint="eastAsia" w:eastAsia="方正仿宋_GBK"/>
          <w:sz w:val="28"/>
        </w:rPr>
        <w:t>；公务接待费</w:t>
      </w:r>
      <w:r>
        <w:rPr>
          <w:rFonts w:eastAsia="方正仿宋_GBK"/>
          <w:sz w:val="28"/>
        </w:rPr>
        <w:t>0</w:t>
      </w:r>
      <w:r>
        <w:rPr>
          <w:rFonts w:hint="eastAsia" w:eastAsia="方正仿宋_GBK"/>
          <w:sz w:val="28"/>
        </w:rPr>
        <w:t>万元。</w:t>
      </w:r>
      <w:bookmarkStart w:id="4" w:name="_Toc65503656"/>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经费与上年持平，无增减变化。</w:t>
      </w:r>
    </w:p>
    <w:p>
      <w:pPr>
        <w:spacing w:line="500" w:lineRule="exact"/>
        <w:ind w:firstLine="640" w:firstLineChars="200"/>
        <w:jc w:val="left"/>
        <w:rPr>
          <w:rFonts w:hAnsi="宋体"/>
          <w:sz w:val="32"/>
        </w:rPr>
      </w:pPr>
      <w:r>
        <w:rPr>
          <w:rFonts w:hint="eastAsia" w:ascii="黑体" w:hAnsi="黑体" w:eastAsia="黑体"/>
          <w:sz w:val="32"/>
        </w:rPr>
        <w:t>五、预算绩效信息</w:t>
      </w:r>
      <w:bookmarkEnd w:id="4"/>
    </w:p>
    <w:p>
      <w:pPr>
        <w:ind w:firstLine="643" w:firstLineChars="200"/>
        <w:jc w:val="left"/>
        <w:rPr>
          <w:rFonts w:hAnsi="宋体"/>
          <w:b/>
          <w:sz w:val="32"/>
        </w:rPr>
      </w:pPr>
      <w:r>
        <w:rPr>
          <w:rFonts w:hint="eastAsia" w:ascii="方正楷体_GBK" w:hAnsi="方正楷体_GBK" w:eastAsia="方正楷体_GBK"/>
          <w:b/>
          <w:sz w:val="32"/>
        </w:rPr>
        <w:t>第一部分</w:t>
      </w:r>
      <w:r>
        <w:rPr>
          <w:rFonts w:ascii="方正楷体_GBK" w:hAnsi="方正楷体_GBK" w:eastAsia="方正楷体_GBK"/>
          <w:b/>
          <w:sz w:val="32"/>
        </w:rPr>
        <w:t xml:space="preserve"> </w:t>
      </w:r>
      <w:r>
        <w:rPr>
          <w:rFonts w:hint="eastAsia" w:ascii="方正楷体_GBK" w:hAnsi="方正楷体_GBK" w:eastAsia="方正楷体_GBK"/>
          <w:b/>
          <w:sz w:val="32"/>
        </w:rPr>
        <w:t>部门整体绩效目标</w:t>
      </w:r>
    </w:p>
    <w:p>
      <w:pPr>
        <w:spacing w:line="500" w:lineRule="exact"/>
        <w:ind w:firstLine="560" w:firstLineChars="200"/>
        <w:jc w:val="left"/>
        <w:rPr>
          <w:rFonts w:hAnsi="宋体"/>
          <w:sz w:val="28"/>
        </w:rPr>
      </w:pPr>
      <w:r>
        <w:rPr>
          <w:rFonts w:hint="eastAsia" w:eastAsia="方正仿宋_GBK"/>
          <w:sz w:val="28"/>
        </w:rPr>
        <w:t>（一）总体绩效目标</w:t>
      </w:r>
    </w:p>
    <w:p>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年，曲阳县编委办将按照市委编办机构编制工作的总体部署，紧紧围绕县委、县政府中心工作，继续深化行政管理体制改革</w:t>
      </w:r>
      <w:r>
        <w:rPr>
          <w:rFonts w:eastAsia="方正仿宋_GBK"/>
          <w:sz w:val="28"/>
        </w:rPr>
        <w:t>,</w:t>
      </w:r>
      <w:r>
        <w:rPr>
          <w:rFonts w:hint="eastAsia" w:eastAsia="方正仿宋_GBK"/>
          <w:sz w:val="28"/>
        </w:rPr>
        <w:t>巩固和深化县政府机构改革成果</w:t>
      </w:r>
      <w:r>
        <w:rPr>
          <w:rFonts w:eastAsia="方正仿宋_GBK"/>
          <w:sz w:val="28"/>
        </w:rPr>
        <w:t>,</w:t>
      </w:r>
      <w:r>
        <w:rPr>
          <w:rFonts w:hint="eastAsia" w:eastAsia="方正仿宋_GBK"/>
          <w:sz w:val="28"/>
        </w:rPr>
        <w:t>进一步推动乡镇机构改革、事业单位分类改革、事业单位登记、机构编制实名制平台以及全县机构编制等有关工作，努力完成以下任务目标：</w:t>
      </w:r>
    </w:p>
    <w:p>
      <w:pPr>
        <w:spacing w:line="500" w:lineRule="exact"/>
        <w:ind w:firstLine="560" w:firstLineChars="200"/>
        <w:jc w:val="left"/>
        <w:rPr>
          <w:rFonts w:eastAsia="方正仿宋_GBK"/>
          <w:sz w:val="28"/>
        </w:rPr>
      </w:pPr>
      <w:r>
        <w:rPr>
          <w:rFonts w:eastAsia="方正仿宋_GBK"/>
          <w:sz w:val="28"/>
        </w:rPr>
        <w:t xml:space="preserve">  </w:t>
      </w:r>
      <w:r>
        <w:rPr>
          <w:rFonts w:hint="eastAsia" w:eastAsia="方正仿宋_GBK"/>
          <w:sz w:val="28"/>
        </w:rPr>
        <w:t>（一）严格机构编制管理。在严格控制机构编制总量的前提下，加大动态调整力度，统筹使用各类编制资源，推动编制资源向重点领域和基层倾斜。在确保财政供养人员只减不增的基础上，继续做好控编减编工作，并积极做好超编人员的消化工作。</w:t>
      </w:r>
    </w:p>
    <w:p>
      <w:pPr>
        <w:spacing w:line="500" w:lineRule="exact"/>
        <w:ind w:firstLine="560" w:firstLineChars="200"/>
        <w:jc w:val="left"/>
        <w:rPr>
          <w:rFonts w:eastAsia="方正仿宋_GBK"/>
          <w:sz w:val="28"/>
        </w:rPr>
      </w:pPr>
      <w:r>
        <w:rPr>
          <w:rFonts w:eastAsia="方正仿宋_GBK"/>
          <w:sz w:val="28"/>
        </w:rPr>
        <w:t xml:space="preserve">  </w:t>
      </w:r>
      <w:r>
        <w:rPr>
          <w:rFonts w:hint="eastAsia" w:eastAsia="方正仿宋_GBK"/>
          <w:sz w:val="28"/>
        </w:rPr>
        <w:t>（二）持续深化和巩固机构改革成果。坚决贯彻落实中央、省委、市委关于机构改革部署要求，要切实做好机构改革</w:t>
      </w:r>
      <w:r>
        <w:rPr>
          <w:rFonts w:eastAsia="方正仿宋_GBK"/>
          <w:sz w:val="28"/>
        </w:rPr>
        <w:t>“</w:t>
      </w:r>
      <w:r>
        <w:rPr>
          <w:rFonts w:hint="eastAsia" w:eastAsia="方正仿宋_GBK"/>
          <w:sz w:val="28"/>
        </w:rPr>
        <w:t>后半篇文章</w:t>
      </w:r>
      <w:r>
        <w:rPr>
          <w:rFonts w:eastAsia="方正仿宋_GBK"/>
          <w:sz w:val="28"/>
        </w:rPr>
        <w:t>”</w:t>
      </w:r>
      <w:r>
        <w:rPr>
          <w:rFonts w:hint="eastAsia" w:eastAsia="方正仿宋_GBK"/>
          <w:sz w:val="28"/>
        </w:rPr>
        <w:t>，在当前机构改革任务基本完成的基础上，观大势、思大局，以更坚强的政治定力深化机构改革、更务实的工作作风深化机构改革，推动机构改革从</w:t>
      </w:r>
      <w:r>
        <w:rPr>
          <w:rFonts w:eastAsia="方正仿宋_GBK"/>
          <w:sz w:val="28"/>
        </w:rPr>
        <w:t>“</w:t>
      </w:r>
      <w:r>
        <w:rPr>
          <w:rFonts w:hint="eastAsia" w:eastAsia="方正仿宋_GBK"/>
          <w:sz w:val="28"/>
        </w:rPr>
        <w:t>物理整合</w:t>
      </w:r>
      <w:r>
        <w:rPr>
          <w:rFonts w:eastAsia="方正仿宋_GBK"/>
          <w:sz w:val="28"/>
        </w:rPr>
        <w:t>”</w:t>
      </w:r>
      <w:r>
        <w:rPr>
          <w:rFonts w:hint="eastAsia" w:eastAsia="方正仿宋_GBK"/>
          <w:sz w:val="28"/>
        </w:rPr>
        <w:t>向</w:t>
      </w:r>
      <w:r>
        <w:rPr>
          <w:rFonts w:eastAsia="方正仿宋_GBK"/>
          <w:sz w:val="28"/>
        </w:rPr>
        <w:t>“</w:t>
      </w:r>
      <w:r>
        <w:rPr>
          <w:rFonts w:hint="eastAsia" w:eastAsia="方正仿宋_GBK"/>
          <w:sz w:val="28"/>
        </w:rPr>
        <w:t>化学反应</w:t>
      </w:r>
      <w:r>
        <w:rPr>
          <w:rFonts w:eastAsia="方正仿宋_GBK"/>
          <w:sz w:val="28"/>
        </w:rPr>
        <w:t>”</w:t>
      </w:r>
      <w:r>
        <w:rPr>
          <w:rFonts w:hint="eastAsia" w:eastAsia="方正仿宋_GBK"/>
          <w:sz w:val="28"/>
        </w:rPr>
        <w:t>转变。</w:t>
      </w:r>
    </w:p>
    <w:p>
      <w:pPr>
        <w:spacing w:line="500" w:lineRule="exact"/>
        <w:ind w:firstLine="560" w:firstLineChars="200"/>
        <w:jc w:val="left"/>
        <w:rPr>
          <w:rFonts w:eastAsia="方正仿宋_GBK"/>
          <w:sz w:val="28"/>
        </w:rPr>
      </w:pPr>
      <w:r>
        <w:rPr>
          <w:rFonts w:eastAsia="方正仿宋_GBK"/>
          <w:sz w:val="28"/>
        </w:rPr>
        <w:t xml:space="preserve">  </w:t>
      </w:r>
      <w:r>
        <w:rPr>
          <w:rFonts w:hint="eastAsia" w:eastAsia="方正仿宋_GBK"/>
          <w:sz w:val="28"/>
        </w:rPr>
        <w:t>（三）推动乡镇和街道机构改革。按照省市统一安排部署，切实抓好乡镇和机构改革工作。</w:t>
      </w:r>
    </w:p>
    <w:p>
      <w:pPr>
        <w:spacing w:line="500" w:lineRule="exact"/>
        <w:ind w:firstLine="560" w:firstLineChars="200"/>
        <w:jc w:val="left"/>
        <w:rPr>
          <w:rFonts w:eastAsia="方正仿宋_GBK"/>
          <w:sz w:val="28"/>
        </w:rPr>
      </w:pPr>
      <w:r>
        <w:rPr>
          <w:rFonts w:eastAsia="方正仿宋_GBK"/>
          <w:sz w:val="28"/>
        </w:rPr>
        <w:t xml:space="preserve">  </w:t>
      </w:r>
      <w:r>
        <w:rPr>
          <w:rFonts w:hint="eastAsia" w:eastAsia="方正仿宋_GBK"/>
          <w:sz w:val="28"/>
        </w:rPr>
        <w:t>（四）统筹推进重点领域改革。着力抓好综合行政执法、生产经营类事业单位改革，加快推进机构职能、权限、程序、责任法定化，把中央和省委确定的改革任务逐项落实到位。</w:t>
      </w:r>
    </w:p>
    <w:p>
      <w:pPr>
        <w:spacing w:line="500" w:lineRule="exact"/>
        <w:ind w:firstLine="560" w:firstLineChars="200"/>
        <w:jc w:val="left"/>
        <w:rPr>
          <w:rFonts w:eastAsia="方正仿宋_GBK"/>
          <w:sz w:val="28"/>
        </w:rPr>
      </w:pPr>
      <w:r>
        <w:rPr>
          <w:rFonts w:eastAsia="方正仿宋_GBK"/>
          <w:sz w:val="28"/>
        </w:rPr>
        <w:t xml:space="preserve">  </w:t>
      </w:r>
      <w:r>
        <w:rPr>
          <w:rFonts w:hint="eastAsia" w:eastAsia="方正仿宋_GBK"/>
          <w:sz w:val="28"/>
        </w:rPr>
        <w:t>（五）建立健全机构编制监督管理机制，提升机构编制管理科学化、规范化水平；完善机构编制实名制管理，切实加强各类组织机构管理，从严从紧控制机构编制，适时开展督导检查，坚决查处各类机构编制违纪违规行为；强化机构编制法定化，继续抓好实名制数据库的维护，确保动态信息更新及时准确，继续加强与有关部门的沟通协调，完善实名制管理的部门配合协调机制，充分发挥实名制管理在促进机构编制规范化、精细化管理上的应有作用。</w:t>
      </w:r>
    </w:p>
    <w:p>
      <w:pPr>
        <w:spacing w:line="500" w:lineRule="exact"/>
        <w:ind w:firstLine="560" w:firstLineChars="200"/>
        <w:jc w:val="left"/>
        <w:rPr>
          <w:rFonts w:eastAsia="方正仿宋_GBK"/>
          <w:sz w:val="28"/>
        </w:rPr>
      </w:pPr>
      <w:r>
        <w:rPr>
          <w:rFonts w:eastAsia="方正仿宋_GBK"/>
          <w:sz w:val="28"/>
        </w:rPr>
        <w:t xml:space="preserve">  </w:t>
      </w:r>
      <w:r>
        <w:rPr>
          <w:rFonts w:hint="eastAsia" w:eastAsia="方正仿宋_GBK"/>
          <w:sz w:val="28"/>
        </w:rPr>
        <w:t>（六）全面落实机关、群团、园区及事业单位统一社会信用代码工作，严格执行机关、群团社会信用代码公示制度；切实强化对事业单位法人的事中事后监管，进一步优化事业单位登记管理服务，实施管理服务标准化，推进</w:t>
      </w:r>
      <w:r>
        <w:rPr>
          <w:rFonts w:eastAsia="方正仿宋_GBK"/>
          <w:sz w:val="28"/>
        </w:rPr>
        <w:t>“</w:t>
      </w:r>
      <w:r>
        <w:rPr>
          <w:rFonts w:hint="eastAsia" w:eastAsia="方正仿宋_GBK"/>
          <w:sz w:val="28"/>
        </w:rPr>
        <w:t>全事项</w:t>
      </w:r>
      <w:r>
        <w:rPr>
          <w:rFonts w:eastAsia="方正仿宋_GBK"/>
          <w:sz w:val="28"/>
        </w:rPr>
        <w:t>”</w:t>
      </w:r>
      <w:r>
        <w:rPr>
          <w:rFonts w:hint="eastAsia" w:eastAsia="方正仿宋_GBK"/>
          <w:sz w:val="28"/>
        </w:rPr>
        <w:t>、</w:t>
      </w:r>
      <w:r>
        <w:rPr>
          <w:rFonts w:eastAsia="方正仿宋_GBK"/>
          <w:sz w:val="28"/>
        </w:rPr>
        <w:t>“</w:t>
      </w:r>
      <w:r>
        <w:rPr>
          <w:rFonts w:hint="eastAsia" w:eastAsia="方正仿宋_GBK"/>
          <w:sz w:val="28"/>
        </w:rPr>
        <w:t>全流程</w:t>
      </w:r>
      <w:r>
        <w:rPr>
          <w:rFonts w:eastAsia="方正仿宋_GBK"/>
          <w:sz w:val="28"/>
        </w:rPr>
        <w:t>”</w:t>
      </w:r>
      <w:r>
        <w:rPr>
          <w:rFonts w:hint="eastAsia" w:eastAsia="方正仿宋_GBK"/>
          <w:sz w:val="28"/>
        </w:rPr>
        <w:t>网上办理；继续扎实做好党政群机关和事业单位网上名称管理、专用中文域名注册等工作。</w:t>
      </w:r>
    </w:p>
    <w:p>
      <w:pPr>
        <w:spacing w:line="500" w:lineRule="exact"/>
        <w:ind w:firstLine="560" w:firstLineChars="200"/>
        <w:jc w:val="left"/>
        <w:rPr>
          <w:rFonts w:hAnsi="宋体"/>
          <w:sz w:val="28"/>
        </w:rPr>
      </w:pPr>
      <w:r>
        <w:rPr>
          <w:rFonts w:hint="eastAsia" w:eastAsia="方正仿宋_GBK"/>
          <w:sz w:val="28"/>
        </w:rPr>
        <w:t>（二）分项绩效目标</w:t>
      </w:r>
    </w:p>
    <w:p>
      <w:pPr>
        <w:spacing w:line="500" w:lineRule="exact"/>
        <w:ind w:firstLine="560" w:firstLineChars="200"/>
        <w:jc w:val="left"/>
        <w:rPr>
          <w:rFonts w:eastAsia="方正仿宋_GBK"/>
          <w:sz w:val="28"/>
        </w:rPr>
      </w:pPr>
      <w:r>
        <w:rPr>
          <w:rFonts w:eastAsia="方正仿宋_GBK"/>
          <w:sz w:val="28"/>
        </w:rPr>
        <w:t xml:space="preserve">  2021</w:t>
      </w:r>
      <w:r>
        <w:rPr>
          <w:rFonts w:hint="eastAsia" w:eastAsia="方正仿宋_GBK"/>
          <w:sz w:val="28"/>
        </w:rPr>
        <w:t>年曲阳县编委办将按照上级编办工作要求、县委、县政府统一部署，认真贯彻执行机构编制工作的方针政策，加强机构编制管理，深化机构改革任务，有序推进全年的各项工作任务，结合机构编制工作实际，重点做好以下几点：</w:t>
      </w:r>
    </w:p>
    <w:p>
      <w:pPr>
        <w:spacing w:line="500" w:lineRule="exact"/>
        <w:ind w:firstLine="560" w:firstLineChars="200"/>
        <w:jc w:val="left"/>
        <w:rPr>
          <w:rFonts w:eastAsia="方正仿宋_GBK"/>
          <w:sz w:val="28"/>
        </w:rPr>
      </w:pPr>
      <w:r>
        <w:rPr>
          <w:rFonts w:hint="eastAsia" w:eastAsia="方正仿宋_GBK"/>
          <w:sz w:val="28"/>
        </w:rPr>
        <w:t>一、行政管理体制改革业务</w:t>
      </w:r>
    </w:p>
    <w:p>
      <w:pPr>
        <w:spacing w:line="500" w:lineRule="exact"/>
        <w:ind w:firstLine="560" w:firstLineChars="200"/>
        <w:jc w:val="left"/>
        <w:rPr>
          <w:rFonts w:eastAsia="方正仿宋_GBK"/>
          <w:sz w:val="28"/>
        </w:rPr>
      </w:pPr>
      <w:r>
        <w:rPr>
          <w:rFonts w:eastAsia="方正仿宋_GBK"/>
          <w:sz w:val="28"/>
        </w:rPr>
        <w:t>1</w:t>
      </w:r>
      <w:r>
        <w:rPr>
          <w:rFonts w:hint="eastAsia" w:eastAsia="方正仿宋_GBK"/>
          <w:sz w:val="28"/>
        </w:rPr>
        <w:t>、贯彻落实党中央、国务院关于行政管理体制机构编制管理的政策和省、市地方性法规草案并监督实施。建设服务型政府，着力转变职能、理顺关系、优化结构、提高效能，形成权责一致、分工合理、决策科学、执行顺畅、监督有力的行政管理体制。</w:t>
      </w:r>
    </w:p>
    <w:p>
      <w:pPr>
        <w:spacing w:line="500" w:lineRule="exact"/>
        <w:ind w:firstLine="560" w:firstLineChars="200"/>
        <w:jc w:val="left"/>
        <w:rPr>
          <w:rFonts w:eastAsia="方正仿宋_GBK"/>
          <w:sz w:val="28"/>
        </w:rPr>
      </w:pPr>
      <w:r>
        <w:rPr>
          <w:rFonts w:eastAsia="方正仿宋_GBK"/>
          <w:sz w:val="28"/>
        </w:rPr>
        <w:t xml:space="preserve"> 2</w:t>
      </w:r>
      <w:r>
        <w:rPr>
          <w:rFonts w:hint="eastAsia" w:eastAsia="方正仿宋_GBK"/>
          <w:sz w:val="28"/>
        </w:rPr>
        <w:t>、</w:t>
      </w:r>
      <w:r>
        <w:rPr>
          <w:rFonts w:eastAsia="方正仿宋_GBK"/>
          <w:sz w:val="28"/>
        </w:rPr>
        <w:t xml:space="preserve"> </w:t>
      </w:r>
      <w:r>
        <w:rPr>
          <w:rFonts w:hint="eastAsia" w:eastAsia="方正仿宋_GBK"/>
          <w:sz w:val="28"/>
        </w:rPr>
        <w:t>为贯彻落实党的十九届四中全会关于实行政府权责清单制度的部署要求，进一步优化完善我县行政权力清单和责任清单制度，我县建立联席会议制度、组建工作专班和权责清单审核小组，全面开展政府部门权责清单编制工作，从而保障权力规范运行，方便群众办事，更好地促进部门依法行政和履职尽责。</w:t>
      </w:r>
    </w:p>
    <w:p>
      <w:pPr>
        <w:spacing w:line="500" w:lineRule="exact"/>
        <w:ind w:firstLine="560" w:firstLineChars="200"/>
        <w:jc w:val="left"/>
        <w:rPr>
          <w:rFonts w:eastAsia="方正仿宋_GBK"/>
          <w:sz w:val="28"/>
        </w:rPr>
      </w:pPr>
      <w:r>
        <w:rPr>
          <w:rFonts w:eastAsia="方正仿宋_GBK"/>
          <w:sz w:val="28"/>
        </w:rPr>
        <w:t xml:space="preserve"> 3</w:t>
      </w:r>
      <w:r>
        <w:rPr>
          <w:rFonts w:hint="eastAsia" w:eastAsia="方正仿宋_GBK"/>
          <w:sz w:val="28"/>
        </w:rPr>
        <w:t>、坚决贯彻落实中央、省委、市委关于机构改革部署要求，持续深化和巩固机构改革成果，及时研究解决改革中遇到的突出问题，协商解决重大事项，切实做好机构改革后续工作，确保机构改革成效。</w:t>
      </w:r>
    </w:p>
    <w:p>
      <w:pPr>
        <w:spacing w:line="500" w:lineRule="exact"/>
        <w:ind w:firstLine="560" w:firstLineChars="200"/>
        <w:jc w:val="left"/>
        <w:rPr>
          <w:rFonts w:eastAsia="方正仿宋_GBK"/>
          <w:sz w:val="28"/>
        </w:rPr>
      </w:pPr>
      <w:r>
        <w:rPr>
          <w:rFonts w:hint="eastAsia" w:eastAsia="方正仿宋_GBK"/>
          <w:sz w:val="28"/>
        </w:rPr>
        <w:t>二、机构编制监督检查业务</w:t>
      </w:r>
    </w:p>
    <w:p>
      <w:pPr>
        <w:spacing w:line="500" w:lineRule="exact"/>
        <w:ind w:firstLine="560" w:firstLineChars="200"/>
        <w:jc w:val="left"/>
        <w:rPr>
          <w:rFonts w:eastAsia="方正仿宋_GBK"/>
          <w:sz w:val="28"/>
        </w:rPr>
      </w:pPr>
      <w:r>
        <w:rPr>
          <w:rFonts w:eastAsia="方正仿宋_GBK"/>
          <w:sz w:val="28"/>
        </w:rPr>
        <w:t>1</w:t>
      </w:r>
      <w:r>
        <w:rPr>
          <w:rFonts w:hint="eastAsia" w:eastAsia="方正仿宋_GBK"/>
          <w:sz w:val="28"/>
        </w:rPr>
        <w:t>、对全县所有单位的编制、人员状况进行审核，对各单位机构编制纪律执行情况进行监督检查，严肃查处机构编制违纪违规行为，对相关责任人依法依纪追究责任，决不姑息。年底对全县各部门的机构编制情况进行年检，年检正确率达到全县所有单位的</w:t>
      </w:r>
      <w:r>
        <w:rPr>
          <w:rFonts w:eastAsia="方正仿宋_GBK"/>
          <w:sz w:val="28"/>
        </w:rPr>
        <w:t>90%</w:t>
      </w:r>
      <w:r>
        <w:rPr>
          <w:rFonts w:hint="eastAsia" w:eastAsia="方正仿宋_GBK"/>
          <w:sz w:val="28"/>
        </w:rPr>
        <w:t>以上。</w:t>
      </w:r>
    </w:p>
    <w:p>
      <w:pPr>
        <w:spacing w:line="500" w:lineRule="exact"/>
        <w:ind w:firstLine="560" w:firstLineChars="200"/>
        <w:jc w:val="left"/>
        <w:rPr>
          <w:rFonts w:eastAsia="方正仿宋_GBK"/>
          <w:sz w:val="28"/>
        </w:rPr>
      </w:pPr>
      <w:r>
        <w:rPr>
          <w:rFonts w:eastAsia="方正仿宋_GBK"/>
          <w:sz w:val="28"/>
        </w:rPr>
        <w:t>2</w:t>
      </w:r>
      <w:r>
        <w:rPr>
          <w:rFonts w:hint="eastAsia" w:eastAsia="方正仿宋_GBK"/>
          <w:sz w:val="28"/>
        </w:rPr>
        <w:t>、机构编制实名制平台，负责全县机构编制信息管理系统、电子政务的建设和管理，全县机构编制统计、数据分析工作；负责机关人事、劳资、行政后勤、财务和资产管理工作。</w:t>
      </w:r>
    </w:p>
    <w:p>
      <w:pPr>
        <w:spacing w:line="500" w:lineRule="exact"/>
        <w:ind w:firstLine="560" w:firstLineChars="200"/>
        <w:jc w:val="left"/>
        <w:rPr>
          <w:rFonts w:eastAsia="方正仿宋_GBK"/>
          <w:sz w:val="28"/>
        </w:rPr>
      </w:pPr>
      <w:r>
        <w:rPr>
          <w:rFonts w:hint="eastAsia" w:eastAsia="方正仿宋_GBK"/>
          <w:sz w:val="28"/>
        </w:rPr>
        <w:t>三、编办事业管理工作</w:t>
      </w:r>
    </w:p>
    <w:p>
      <w:pPr>
        <w:spacing w:line="500" w:lineRule="exact"/>
        <w:ind w:firstLine="560" w:firstLineChars="200"/>
        <w:jc w:val="left"/>
        <w:rPr>
          <w:rFonts w:eastAsia="方正仿宋_GBK"/>
          <w:sz w:val="28"/>
        </w:rPr>
      </w:pPr>
      <w:r>
        <w:rPr>
          <w:rFonts w:hint="eastAsia" w:eastAsia="方正仿宋_GBK"/>
          <w:sz w:val="28"/>
        </w:rPr>
        <w:t>中文域名网上名称管理业务，对全县各部门、单位提供中文域名网站。提升我国中文使用频率，提高我国综合地位。对全县</w:t>
      </w:r>
      <w:r>
        <w:rPr>
          <w:rFonts w:eastAsia="方正仿宋_GBK"/>
          <w:sz w:val="28"/>
        </w:rPr>
        <w:t>100%</w:t>
      </w:r>
      <w:r>
        <w:rPr>
          <w:rFonts w:hint="eastAsia" w:eastAsia="方正仿宋_GBK"/>
          <w:sz w:val="28"/>
        </w:rPr>
        <w:t>单位的中文域名的网站进行监管、维护。</w:t>
      </w:r>
    </w:p>
    <w:p>
      <w:pPr>
        <w:spacing w:line="500" w:lineRule="exact"/>
        <w:ind w:firstLine="560" w:firstLineChars="200"/>
        <w:jc w:val="left"/>
        <w:rPr>
          <w:rFonts w:hAnsi="宋体"/>
          <w:sz w:val="28"/>
        </w:rPr>
      </w:pPr>
      <w:r>
        <w:rPr>
          <w:rFonts w:hint="eastAsia" w:eastAsia="方正仿宋_GBK"/>
          <w:sz w:val="28"/>
        </w:rPr>
        <w:t>（三）工作保障措施</w:t>
      </w:r>
    </w:p>
    <w:p>
      <w:pPr>
        <w:spacing w:line="500" w:lineRule="exact"/>
        <w:ind w:firstLine="560" w:firstLineChars="200"/>
        <w:jc w:val="left"/>
        <w:rPr>
          <w:rFonts w:eastAsia="方正仿宋_GBK"/>
          <w:sz w:val="28"/>
        </w:rPr>
      </w:pPr>
      <w:r>
        <w:rPr>
          <w:rFonts w:eastAsia="方正仿宋_GBK"/>
          <w:sz w:val="28"/>
        </w:rPr>
        <w:t xml:space="preserve"> </w:t>
      </w:r>
      <w:r>
        <w:rPr>
          <w:rFonts w:hint="eastAsia" w:eastAsia="方正仿宋_GBK"/>
          <w:sz w:val="28"/>
        </w:rPr>
        <w:t>为进一步做好</w:t>
      </w:r>
      <w:r>
        <w:rPr>
          <w:rFonts w:eastAsia="方正仿宋_GBK"/>
          <w:sz w:val="28"/>
        </w:rPr>
        <w:t>2021</w:t>
      </w:r>
      <w:r>
        <w:rPr>
          <w:rFonts w:hint="eastAsia" w:eastAsia="方正仿宋_GBK"/>
          <w:sz w:val="28"/>
        </w:rPr>
        <w:t>年机构编制管理工作，认真贯彻执行上级编办的方针、政策，加强机构编制管理，提高工作效率，</w:t>
      </w:r>
      <w:r>
        <w:rPr>
          <w:rFonts w:eastAsia="方正仿宋_GBK"/>
          <w:sz w:val="28"/>
        </w:rPr>
        <w:t>2021</w:t>
      </w:r>
      <w:r>
        <w:rPr>
          <w:rFonts w:hint="eastAsia" w:eastAsia="方正仿宋_GBK"/>
          <w:sz w:val="28"/>
        </w:rPr>
        <w:t>年我办将做好以下几方面保障工作：</w:t>
      </w:r>
    </w:p>
    <w:p>
      <w:pPr>
        <w:spacing w:line="500" w:lineRule="exact"/>
        <w:ind w:firstLine="560" w:firstLineChars="200"/>
        <w:jc w:val="left"/>
        <w:rPr>
          <w:rFonts w:eastAsia="方正仿宋_GBK"/>
          <w:sz w:val="28"/>
        </w:rPr>
      </w:pPr>
      <w:r>
        <w:rPr>
          <w:rFonts w:hint="eastAsia" w:eastAsia="方正仿宋_GBK"/>
          <w:sz w:val="28"/>
        </w:rPr>
        <w:t>一是认真学习习近平新时代中国特色社会主义思想，结合机构编制工作实际，积极开展交流研讨，做到思想教育开展和机构编制工作全面推进。</w:t>
      </w:r>
    </w:p>
    <w:p>
      <w:pPr>
        <w:spacing w:line="500" w:lineRule="exact"/>
        <w:ind w:firstLine="560" w:firstLineChars="200"/>
        <w:jc w:val="left"/>
        <w:rPr>
          <w:rFonts w:eastAsia="方正仿宋_GBK"/>
          <w:sz w:val="28"/>
        </w:rPr>
      </w:pPr>
      <w:r>
        <w:rPr>
          <w:rFonts w:hint="eastAsia" w:eastAsia="方正仿宋_GBK"/>
          <w:sz w:val="28"/>
        </w:rPr>
        <w:t>二是贯彻落实党中央、国务院关于行政管理体制机构编制管理的政策和省、市地方性法规草案并监督实施。建设服务型政府，着力转变职能、理顺关系、优化结构、提高效能，形成权责一致、分工合理、决策科学、执行顺畅、监督有力的行政管理体制。健全政府职责体系，完善公共服务体系。</w:t>
      </w:r>
    </w:p>
    <w:p>
      <w:pPr>
        <w:spacing w:line="500" w:lineRule="exact"/>
        <w:ind w:firstLine="560" w:firstLineChars="200"/>
        <w:jc w:val="left"/>
        <w:rPr>
          <w:rFonts w:eastAsia="方正仿宋_GBK"/>
          <w:sz w:val="28"/>
        </w:rPr>
      </w:pPr>
      <w:r>
        <w:rPr>
          <w:rFonts w:hint="eastAsia" w:eastAsia="方正仿宋_GBK"/>
          <w:sz w:val="28"/>
        </w:rPr>
        <w:t>三是深入调查研究，收集各部门对机构编制管理的意见建议，深入重点领域部门，对各单位的机构、职能、编制和实有人员状况进行详细摸底，准确掌握各单位的基本情况及存在的问题，要切实做好机构改革</w:t>
      </w:r>
      <w:r>
        <w:rPr>
          <w:rFonts w:eastAsia="方正仿宋_GBK"/>
          <w:sz w:val="28"/>
        </w:rPr>
        <w:t>“</w:t>
      </w:r>
      <w:r>
        <w:rPr>
          <w:rFonts w:hint="eastAsia" w:eastAsia="方正仿宋_GBK"/>
          <w:sz w:val="28"/>
        </w:rPr>
        <w:t>后半篇文章</w:t>
      </w:r>
      <w:r>
        <w:rPr>
          <w:rFonts w:eastAsia="方正仿宋_GBK"/>
          <w:sz w:val="28"/>
        </w:rPr>
        <w:t>”</w:t>
      </w:r>
      <w:r>
        <w:rPr>
          <w:rFonts w:hint="eastAsia" w:eastAsia="方正仿宋_GBK"/>
          <w:sz w:val="28"/>
        </w:rPr>
        <w:t>。</w:t>
      </w:r>
    </w:p>
    <w:p>
      <w:pPr>
        <w:spacing w:line="500" w:lineRule="exact"/>
        <w:ind w:firstLine="560" w:firstLineChars="200"/>
        <w:jc w:val="left"/>
        <w:rPr>
          <w:rFonts w:eastAsia="方正仿宋_GBK"/>
          <w:sz w:val="28"/>
        </w:rPr>
      </w:pPr>
      <w:r>
        <w:rPr>
          <w:rFonts w:hint="eastAsia" w:eastAsia="方正仿宋_GBK"/>
          <w:sz w:val="28"/>
        </w:rPr>
        <w:t>四是对全县各部门、单位提供中文域名网站，加强日常管理，协调有关机关和单位做好中文域名注册申请、审核及信息变更等相关工作，做好已注册域名的后续服务工作。</w:t>
      </w:r>
    </w:p>
    <w:p>
      <w:pPr>
        <w:spacing w:line="500" w:lineRule="exact"/>
        <w:ind w:firstLine="560" w:firstLineChars="200"/>
        <w:jc w:val="left"/>
        <w:rPr>
          <w:rFonts w:eastAsia="方正仿宋_GBK"/>
          <w:sz w:val="28"/>
        </w:rPr>
      </w:pPr>
      <w:r>
        <w:rPr>
          <w:rFonts w:hint="eastAsia" w:eastAsia="方正仿宋_GBK"/>
          <w:sz w:val="28"/>
        </w:rPr>
        <w:t>五是加强组织管理，强化督导检查。通过对照机构改革方案及新的</w:t>
      </w:r>
      <w:r>
        <w:rPr>
          <w:rFonts w:eastAsia="方正仿宋_GBK"/>
          <w:sz w:val="28"/>
        </w:rPr>
        <w:t>“</w:t>
      </w:r>
      <w:r>
        <w:rPr>
          <w:rFonts w:hint="eastAsia" w:eastAsia="方正仿宋_GBK"/>
          <w:sz w:val="28"/>
        </w:rPr>
        <w:t>三定</w:t>
      </w:r>
      <w:r>
        <w:rPr>
          <w:rFonts w:eastAsia="方正仿宋_GBK"/>
          <w:sz w:val="28"/>
        </w:rPr>
        <w:t>”</w:t>
      </w:r>
      <w:r>
        <w:rPr>
          <w:rFonts w:hint="eastAsia" w:eastAsia="方正仿宋_GBK"/>
          <w:sz w:val="28"/>
        </w:rPr>
        <w:t>规定，会同有关部门对机构编制调整执行情况进行监督检查，扎实有效地推动机构编制各项工作落实到位；通过明确事业单位法人公示信息抽查时间、范围、内容等，进一步加强对事业单位法人的监督管理。</w:t>
      </w:r>
    </w:p>
    <w:p>
      <w:pPr>
        <w:spacing w:line="500" w:lineRule="exact"/>
        <w:ind w:firstLine="560" w:firstLineChars="200"/>
        <w:jc w:val="left"/>
        <w:rPr>
          <w:rFonts w:eastAsia="方正仿宋_GBK"/>
          <w:sz w:val="28"/>
        </w:rPr>
      </w:pPr>
      <w:r>
        <w:rPr>
          <w:rFonts w:hint="eastAsia" w:eastAsia="方正仿宋_GBK"/>
          <w:sz w:val="28"/>
        </w:rPr>
        <w:t>六是强化自身建设，不断增强政治和业务素质；不断创新工作方式方法；切实加强机关作风建设。</w:t>
      </w:r>
    </w:p>
    <w:p>
      <w:pPr>
        <w:ind w:firstLine="643" w:firstLineChars="200"/>
        <w:jc w:val="left"/>
        <w:rPr>
          <w:rFonts w:hAnsi="宋体"/>
          <w:b/>
          <w:sz w:val="32"/>
        </w:rPr>
      </w:pPr>
      <w:r>
        <w:rPr>
          <w:rFonts w:hint="eastAsia" w:ascii="方正楷体_GBK" w:hAnsi="方正楷体_GBK" w:eastAsia="方正楷体_GBK"/>
          <w:b/>
          <w:sz w:val="32"/>
        </w:rPr>
        <w:t>第二部分</w:t>
      </w:r>
      <w:r>
        <w:rPr>
          <w:rFonts w:ascii="方正楷体_GBK" w:hAnsi="方正楷体_GBK" w:eastAsia="方正楷体_GBK"/>
          <w:b/>
          <w:sz w:val="32"/>
        </w:rPr>
        <w:t xml:space="preserve">  </w:t>
      </w:r>
      <w:r>
        <w:rPr>
          <w:rFonts w:hint="eastAsia" w:ascii="方正楷体_GBK" w:hAnsi="方正楷体_GBK" w:eastAsia="方正楷体_GBK"/>
          <w:b/>
          <w:sz w:val="32"/>
        </w:rPr>
        <w:t>预算项目绩效目标</w:t>
      </w:r>
    </w:p>
    <w:p>
      <w:pPr>
        <w:ind w:firstLine="420" w:firstLineChars="200"/>
        <w:jc w:val="left"/>
      </w:pPr>
    </w:p>
    <w:p>
      <w:pPr>
        <w:ind w:firstLine="560" w:firstLineChars="200"/>
        <w:jc w:val="left"/>
        <w:rPr>
          <w:rFonts w:hAnsi="宋体"/>
          <w:b/>
          <w:sz w:val="28"/>
        </w:rPr>
      </w:pPr>
      <w:r>
        <w:rPr>
          <w:rFonts w:ascii="方正仿宋_GBK" w:eastAsia="方正仿宋_GBK"/>
          <w:b/>
          <w:sz w:val="28"/>
        </w:rPr>
        <w:t>1</w:t>
      </w:r>
      <w:r>
        <w:rPr>
          <w:rFonts w:hint="eastAsia" w:ascii="方正仿宋_GBK" w:eastAsia="方正仿宋_GBK"/>
          <w:b/>
          <w:sz w:val="28"/>
        </w:rPr>
        <w:t>、编办公益岗人员项目经费绩效目标表</w:t>
      </w: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8"/>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8"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w:t>
            </w:r>
            <w:r>
              <w:rPr>
                <w:rFonts w:ascii="方正书宋_GBK" w:eastAsia="方正书宋_GBK"/>
              </w:rPr>
              <w:t>1</w:t>
            </w:r>
            <w:r>
              <w:rPr>
                <w:rFonts w:hint="eastAsia" w:ascii="方正书宋_GBK" w:eastAsia="方正书宋_GBK"/>
              </w:rPr>
              <w:t>人军龄补贴发放足额及时。</w:t>
            </w:r>
          </w:p>
        </w:tc>
      </w:tr>
    </w:tbl>
    <w:p>
      <w:pPr>
        <w:spacing w:line="14" w:lineRule="exact"/>
        <w:jc w:val="center"/>
        <w:rPr>
          <w:rFonts w:hAnsi="宋体"/>
          <w:sz w:val="18"/>
        </w:rPr>
      </w:pPr>
      <w:r>
        <w:rPr>
          <w:rFonts w:ascii="方正书宋_GBK" w:eastAsia="方正书宋_GBK"/>
          <w:sz w:val="18"/>
        </w:rPr>
        <w:t xml:space="preserve"> </w:t>
      </w: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8"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公益岗人员出勤率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公益岗人员实际出勤人数占应出勤人数的比例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单位日常工作需要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vAlign w:val="center"/>
          </w:tcPr>
          <w:p>
            <w:pPr>
              <w:widowControl/>
              <w:jc w:val="left"/>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人员补贴发放占应发工资的比例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vAlign w:val="center"/>
          </w:tcPr>
          <w:p>
            <w:pPr>
              <w:widowControl/>
              <w:jc w:val="left"/>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按月足额拨付资金</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机关人员工资补贴、养老、医疗各项保险缴纳及时率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月度时序</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vAlign w:val="center"/>
          </w:tcPr>
          <w:p>
            <w:pPr>
              <w:widowControl/>
              <w:jc w:val="left"/>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个人核定补贴数额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按个人核定补贴数额发放</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工资标准</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公益岗人员尽职尽责率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公益岗人员尽职尽责程度</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机关工作人员足额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2</w:t>
      </w:r>
      <w:r>
        <w:rPr>
          <w:rFonts w:hint="eastAsia" w:ascii="方正仿宋_GBK" w:eastAsia="方正仿宋_GBK"/>
          <w:b/>
          <w:sz w:val="28"/>
        </w:rPr>
        <w:t>、曲阳县权责清单编制工作项目绩效目标表</w:t>
      </w: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8"/>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8"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梳理整理出政府部门权责清单，明确行使主体、权责名称、权责类型等内容，理清各部门权责边界，形成部门权责基础清单。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进一步优化办事程序，规范权力运行，为群众办事提供方便</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提高工作效率</w:t>
            </w:r>
          </w:p>
        </w:tc>
      </w:tr>
    </w:tbl>
    <w:p>
      <w:pPr>
        <w:spacing w:line="14" w:lineRule="exact"/>
        <w:jc w:val="center"/>
        <w:rPr>
          <w:rFonts w:hAnsi="宋体"/>
          <w:sz w:val="18"/>
        </w:rPr>
      </w:pPr>
      <w:r>
        <w:rPr>
          <w:rFonts w:ascii="方正书宋_GBK" w:eastAsia="方正书宋_GBK"/>
          <w:sz w:val="18"/>
        </w:rPr>
        <w:t xml:space="preserve"> </w:t>
      </w: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8"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制定权责清单数量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反映政府部门制定权责清单的数量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w:t>
            </w:r>
            <w:r>
              <w:rPr>
                <w:rFonts w:hint="eastAsia" w:ascii="方正书宋_GBK" w:eastAsia="方正书宋_GBK"/>
              </w:rPr>
              <w:t>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vAlign w:val="center"/>
          </w:tcPr>
          <w:p>
            <w:pPr>
              <w:widowControl/>
              <w:jc w:val="left"/>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权责清单编制完成率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反映政府部门权责清单编制完成比率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vAlign w:val="center"/>
          </w:tcPr>
          <w:p>
            <w:pPr>
              <w:widowControl/>
              <w:jc w:val="left"/>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权责清单完成及时率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各部门权责清单编制完成及时率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vAlign w:val="center"/>
          </w:tcPr>
          <w:p>
            <w:pPr>
              <w:widowControl/>
              <w:jc w:val="left"/>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权责清单工作经费成本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权责清单工作经费成本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小于核定数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权力运行提升情况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通过编制清单，细化权责，权力运行规范提升情况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vAlign w:val="center"/>
          </w:tcPr>
          <w:p>
            <w:pPr>
              <w:widowControl/>
              <w:jc w:val="left"/>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业务能力增强</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干部业务能力和综合素质变化情况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通过编制权责清单，提升群众满意度程度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3</w:t>
      </w:r>
      <w:r>
        <w:rPr>
          <w:rFonts w:hint="eastAsia" w:ascii="方正仿宋_GBK" w:eastAsia="方正仿宋_GBK"/>
          <w:b/>
          <w:sz w:val="28"/>
        </w:rPr>
        <w:t>、中文域名运行项目绩效目标表</w:t>
      </w: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8"/>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8"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树立政务部门和公益机构在互联网中的明确标识，确保网站的合法性和权威性，防止假冒网站给社会所带来的严重危害，从而有效维护相关机构的合法权益。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实现政务公开、维护相关机构合法权益，为社会公众使用中文便捷地访问政务和公益机构网站建立一条绿色通道。</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及时续费，保障我县政务部门和公益机构域名正常使用。</w:t>
            </w:r>
          </w:p>
        </w:tc>
      </w:tr>
    </w:tbl>
    <w:p>
      <w:pPr>
        <w:spacing w:line="14" w:lineRule="exact"/>
        <w:jc w:val="center"/>
        <w:rPr>
          <w:rFonts w:hAnsi="宋体"/>
          <w:sz w:val="18"/>
        </w:rPr>
      </w:pPr>
      <w:r>
        <w:rPr>
          <w:rFonts w:ascii="方正书宋_GBK" w:eastAsia="方正书宋_GBK"/>
          <w:sz w:val="18"/>
        </w:rPr>
        <w:t xml:space="preserve"> </w:t>
      </w: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8"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中文域名运行单位个数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中文域名运行单位个数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vAlign w:val="center"/>
          </w:tcPr>
          <w:p>
            <w:pPr>
              <w:widowControl/>
              <w:jc w:val="left"/>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中文域名运行网站维护率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中文域名运行网站维护率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vAlign w:val="center"/>
          </w:tcPr>
          <w:p>
            <w:pPr>
              <w:widowControl/>
              <w:jc w:val="left"/>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中文域名缴费及时率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中文域名缴费及时率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vAlign w:val="center"/>
          </w:tcPr>
          <w:p>
            <w:pPr>
              <w:widowControl/>
              <w:jc w:val="left"/>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单位中文域名运行成本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单位中文域名运行成本</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中文域名安全事件发生率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中文域名安全事件发生率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4</w:t>
      </w:r>
      <w:r>
        <w:rPr>
          <w:rFonts w:hint="eastAsia" w:ascii="方正仿宋_GBK" w:eastAsia="方正仿宋_GBK"/>
          <w:b/>
          <w:sz w:val="28"/>
        </w:rPr>
        <w:t>、机构编制监督检查项目绩效目标表</w:t>
      </w: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8"/>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8"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加强对事业单位的监督管理，全面了解掌握事业单位贯彻落实《事业单位登记管理暂行条例》及其实施细则情况。</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监督指导各部门机构编制政策落实和机构编制批复方案执行。</w:t>
            </w:r>
          </w:p>
        </w:tc>
      </w:tr>
    </w:tbl>
    <w:p>
      <w:pPr>
        <w:spacing w:line="14" w:lineRule="exact"/>
        <w:jc w:val="center"/>
        <w:rPr>
          <w:rFonts w:hAnsi="宋体"/>
          <w:sz w:val="18"/>
        </w:rPr>
      </w:pPr>
      <w:r>
        <w:rPr>
          <w:rFonts w:ascii="方正书宋_GBK" w:eastAsia="方正书宋_GBK"/>
          <w:sz w:val="18"/>
        </w:rPr>
        <w:t xml:space="preserve"> </w:t>
      </w: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8"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监督检查单位抽查率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反映事业单位法人年度报告抽查比例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vAlign w:val="center"/>
          </w:tcPr>
          <w:p>
            <w:pPr>
              <w:widowControl/>
              <w:jc w:val="left"/>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机构编制规范使用率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规范管理各部门机构编制规范使用比例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vAlign w:val="center"/>
          </w:tcPr>
          <w:p>
            <w:pPr>
              <w:widowControl/>
              <w:jc w:val="left"/>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监督检查按时完成率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对部门机构编制工作检查情况按时完成比例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vAlign w:val="center"/>
          </w:tcPr>
          <w:p>
            <w:pPr>
              <w:widowControl/>
              <w:jc w:val="left"/>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保证日常工作正常运转的各项经费成本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小于核定数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规范机构编制使用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规范机构编制使用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不断规范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spacing w:beforeLines="50" w:afterLines="50"/>
        <w:ind w:firstLine="640" w:firstLineChars="200"/>
        <w:jc w:val="left"/>
        <w:outlineLvl w:val="2"/>
        <w:rPr>
          <w:rFonts w:hAnsi="宋体"/>
          <w:sz w:val="32"/>
        </w:rPr>
      </w:pPr>
      <w:bookmarkStart w:id="5" w:name="_Toc65503657"/>
      <w:r>
        <w:rPr>
          <w:rFonts w:hint="eastAsia" w:ascii="黑体" w:eastAsia="黑体"/>
          <w:sz w:val="32"/>
        </w:rPr>
        <w:t>六、政府采购预算情况</w:t>
      </w:r>
      <w:bookmarkEnd w:id="5"/>
    </w:p>
    <w:p>
      <w:pPr>
        <w:spacing w:line="500" w:lineRule="exact"/>
        <w:ind w:firstLine="560" w:firstLineChars="200"/>
        <w:jc w:val="left"/>
        <w:rPr>
          <w:rFonts w:hAnsi="宋体"/>
          <w:sz w:val="28"/>
        </w:rPr>
      </w:pPr>
      <w:r>
        <w:rPr>
          <w:rFonts w:eastAsia="方正仿宋_GBK"/>
          <w:sz w:val="28"/>
        </w:rPr>
        <w:t>2021</w:t>
      </w:r>
      <w:r>
        <w:rPr>
          <w:rFonts w:hint="eastAsia" w:eastAsia="方正仿宋_GBK"/>
          <w:sz w:val="28"/>
        </w:rPr>
        <w:t>年，中共曲阳县委机构编制委员会办公室安排政府采购预算</w:t>
      </w:r>
      <w:r>
        <w:rPr>
          <w:rFonts w:eastAsia="方正仿宋_GBK"/>
          <w:sz w:val="28"/>
        </w:rPr>
        <w:t>33600.00</w:t>
      </w:r>
      <w:r>
        <w:rPr>
          <w:rFonts w:hint="eastAsia" w:eastAsia="方正仿宋_GBK"/>
          <w:sz w:val="28"/>
        </w:rPr>
        <w:t>元。</w:t>
      </w:r>
    </w:p>
    <w:p>
      <w:pPr>
        <w:jc w:val="center"/>
        <w:rPr>
          <w:rFonts w:hAnsi="宋体"/>
          <w:sz w:val="36"/>
        </w:rPr>
      </w:pPr>
      <w:r>
        <w:rPr>
          <w:rFonts w:hint="eastAsia" w:ascii="方正小标宋_GBK" w:eastAsia="方正小标宋_GBK"/>
          <w:sz w:val="36"/>
        </w:rPr>
        <w:t>部门政府采购预算</w:t>
      </w:r>
    </w:p>
    <w:tbl>
      <w:tblPr>
        <w:tblStyle w:val="8"/>
        <w:tblW w:w="1551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1135"/>
        <w:gridCol w:w="1532"/>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6"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225</w:t>
            </w:r>
            <w:r>
              <w:rPr>
                <w:rFonts w:hint="eastAsia" w:ascii="方正小标宋_GBK" w:eastAsia="方正小标宋_GBK"/>
                <w:sz w:val="24"/>
              </w:rPr>
              <w:t>中共曲阳县委机构编制委员会办公室</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20"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2"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5"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5"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2" w:type="dxa"/>
            <w:vMerge w:val="continue"/>
            <w:vAlign w:val="center"/>
          </w:tcPr>
          <w:p>
            <w:pPr>
              <w:widowControl/>
              <w:jc w:val="left"/>
              <w:rPr>
                <w:rFonts w:ascii="方正书宋_GBK" w:eastAsia="方正书宋_GBK"/>
                <w:b/>
              </w:rPr>
            </w:pPr>
          </w:p>
        </w:tc>
        <w:tc>
          <w:tcPr>
            <w:tcW w:w="1531" w:type="dxa"/>
            <w:vMerge w:val="continue"/>
            <w:vAlign w:val="center"/>
          </w:tcPr>
          <w:p>
            <w:pPr>
              <w:widowControl/>
              <w:jc w:val="left"/>
              <w:rPr>
                <w:rFonts w:ascii="方正书宋_GBK" w:eastAsia="方正书宋_GBK"/>
                <w:b/>
              </w:rPr>
            </w:pPr>
          </w:p>
        </w:tc>
        <w:tc>
          <w:tcPr>
            <w:tcW w:w="709" w:type="dxa"/>
            <w:vMerge w:val="continue"/>
            <w:vAlign w:val="center"/>
          </w:tcPr>
          <w:p>
            <w:pPr>
              <w:widowControl/>
              <w:jc w:val="left"/>
              <w:rPr>
                <w:rFonts w:ascii="方正书宋_GBK" w:eastAsia="方正书宋_GBK"/>
                <w:b/>
              </w:rPr>
            </w:pPr>
          </w:p>
        </w:tc>
        <w:tc>
          <w:tcPr>
            <w:tcW w:w="907" w:type="dxa"/>
            <w:vMerge w:val="continue"/>
            <w:vAlign w:val="center"/>
          </w:tcPr>
          <w:p>
            <w:pPr>
              <w:widowControl/>
              <w:jc w:val="left"/>
              <w:rPr>
                <w:rFonts w:ascii="方正书宋_GBK" w:eastAsia="方正书宋_GBK"/>
                <w:b/>
              </w:rPr>
            </w:pPr>
          </w:p>
        </w:tc>
        <w:tc>
          <w:tcPr>
            <w:tcW w:w="907" w:type="dxa"/>
            <w:vMerge w:val="continue"/>
            <w:vAlign w:val="center"/>
          </w:tcPr>
          <w:p>
            <w:pPr>
              <w:widowControl/>
              <w:jc w:val="left"/>
              <w:rPr>
                <w:rFonts w:ascii="方正书宋_GBK" w:eastAsia="方正书宋_GBK"/>
                <w:b/>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5"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5" w:type="dxa"/>
            <w:vAlign w:val="center"/>
          </w:tcPr>
          <w:p>
            <w:pPr>
              <w:spacing w:line="300" w:lineRule="exact"/>
              <w:jc w:val="right"/>
              <w:rPr>
                <w:rFonts w:ascii="方正书宋_GBK" w:eastAsia="方正书宋_GBK"/>
                <w:b/>
              </w:rPr>
            </w:pPr>
          </w:p>
        </w:tc>
        <w:tc>
          <w:tcPr>
            <w:tcW w:w="1532"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33600.00</w:t>
            </w:r>
          </w:p>
        </w:tc>
        <w:tc>
          <w:tcPr>
            <w:tcW w:w="1134" w:type="dxa"/>
            <w:vAlign w:val="center"/>
          </w:tcPr>
          <w:p>
            <w:pPr>
              <w:spacing w:line="300" w:lineRule="exact"/>
              <w:jc w:val="right"/>
              <w:rPr>
                <w:rFonts w:ascii="方正书宋_GBK" w:eastAsia="方正书宋_GBK"/>
                <w:b/>
              </w:rPr>
            </w:pPr>
            <w:r>
              <w:rPr>
                <w:rFonts w:ascii="方正书宋_GBK" w:eastAsia="方正书宋_GBK"/>
                <w:b/>
              </w:rPr>
              <w:t>33600.00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5" w:type="dxa"/>
            <w:vAlign w:val="center"/>
          </w:tcPr>
          <w:p>
            <w:pPr>
              <w:spacing w:line="300" w:lineRule="exact"/>
              <w:jc w:val="center"/>
              <w:rPr>
                <w:rFonts w:ascii="方正书宋_GBK" w:eastAsia="方正书宋_GBK"/>
                <w:b/>
              </w:rPr>
            </w:pPr>
            <w:r>
              <w:rPr>
                <w:rFonts w:hint="eastAsia" w:ascii="方正书宋_GBK" w:eastAsia="方正书宋_GBK"/>
                <w:b/>
              </w:rPr>
              <w:t>中共曲阳县委机构编制委员会办公室本级小计</w:t>
            </w:r>
          </w:p>
        </w:tc>
        <w:tc>
          <w:tcPr>
            <w:tcW w:w="1135" w:type="dxa"/>
            <w:vAlign w:val="center"/>
          </w:tcPr>
          <w:p>
            <w:pPr>
              <w:spacing w:line="300" w:lineRule="exact"/>
              <w:jc w:val="right"/>
              <w:rPr>
                <w:rFonts w:ascii="方正书宋_GBK" w:eastAsia="方正书宋_GBK"/>
                <w:b/>
              </w:rPr>
            </w:pPr>
          </w:p>
        </w:tc>
        <w:tc>
          <w:tcPr>
            <w:tcW w:w="1532"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33600.00</w:t>
            </w:r>
          </w:p>
        </w:tc>
        <w:tc>
          <w:tcPr>
            <w:tcW w:w="1134" w:type="dxa"/>
            <w:vAlign w:val="center"/>
          </w:tcPr>
          <w:p>
            <w:pPr>
              <w:spacing w:line="300" w:lineRule="exact"/>
              <w:jc w:val="right"/>
              <w:rPr>
                <w:rFonts w:ascii="方正书宋_GBK" w:eastAsia="方正书宋_GBK"/>
                <w:b/>
              </w:rPr>
            </w:pPr>
            <w:r>
              <w:rPr>
                <w:rFonts w:ascii="方正书宋_GBK" w:eastAsia="方正书宋_GBK"/>
                <w:b/>
              </w:rPr>
              <w:t>33600.00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5"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5" w:type="dxa"/>
            <w:vAlign w:val="center"/>
          </w:tcPr>
          <w:p>
            <w:pPr>
              <w:spacing w:line="300" w:lineRule="exact"/>
              <w:jc w:val="right"/>
              <w:rPr>
                <w:rFonts w:ascii="方正书宋_GBK" w:eastAsia="方正书宋_GBK"/>
              </w:rPr>
            </w:pPr>
            <w:r>
              <w:rPr>
                <w:rFonts w:ascii="方正书宋_GBK" w:eastAsia="方正书宋_GBK"/>
              </w:rPr>
              <w:t>94800.00</w:t>
            </w:r>
          </w:p>
        </w:tc>
        <w:tc>
          <w:tcPr>
            <w:tcW w:w="1532"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2000.00</w:t>
            </w:r>
          </w:p>
        </w:tc>
        <w:tc>
          <w:tcPr>
            <w:tcW w:w="1134" w:type="dxa"/>
            <w:vAlign w:val="center"/>
          </w:tcPr>
          <w:p>
            <w:pPr>
              <w:spacing w:line="300" w:lineRule="exact"/>
              <w:jc w:val="right"/>
              <w:rPr>
                <w:rFonts w:ascii="方正书宋_GBK" w:eastAsia="方正书宋_GBK"/>
              </w:rPr>
            </w:pPr>
            <w:r>
              <w:rPr>
                <w:rFonts w:ascii="方正书宋_GBK" w:eastAsia="方正书宋_GBK"/>
              </w:rPr>
              <w:t>4000.00</w:t>
            </w:r>
          </w:p>
        </w:tc>
        <w:tc>
          <w:tcPr>
            <w:tcW w:w="1134" w:type="dxa"/>
            <w:vAlign w:val="center"/>
          </w:tcPr>
          <w:p>
            <w:pPr>
              <w:spacing w:line="300" w:lineRule="exact"/>
              <w:jc w:val="right"/>
              <w:rPr>
                <w:rFonts w:ascii="方正书宋_GBK" w:eastAsia="方正书宋_GBK"/>
              </w:rPr>
            </w:pPr>
            <w:r>
              <w:rPr>
                <w:rFonts w:ascii="方正书宋_GBK" w:eastAsia="方正书宋_GBK"/>
              </w:rPr>
              <w:t>4000.00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5"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5" w:type="dxa"/>
            <w:vAlign w:val="center"/>
          </w:tcPr>
          <w:p>
            <w:pPr>
              <w:spacing w:line="300" w:lineRule="exact"/>
              <w:jc w:val="right"/>
              <w:rPr>
                <w:rFonts w:ascii="方正书宋_GBK" w:eastAsia="方正书宋_GBK"/>
              </w:rPr>
            </w:pPr>
            <w:r>
              <w:rPr>
                <w:rFonts w:ascii="方正书宋_GBK" w:eastAsia="方正书宋_GBK"/>
              </w:rPr>
              <w:t>94800.00</w:t>
            </w:r>
          </w:p>
        </w:tc>
        <w:tc>
          <w:tcPr>
            <w:tcW w:w="1532"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w:t>
            </w:r>
          </w:p>
        </w:tc>
        <w:tc>
          <w:tcPr>
            <w:tcW w:w="907" w:type="dxa"/>
            <w:vAlign w:val="center"/>
          </w:tcPr>
          <w:p>
            <w:pPr>
              <w:spacing w:line="300" w:lineRule="exact"/>
              <w:jc w:val="right"/>
              <w:rPr>
                <w:rFonts w:ascii="方正书宋_GBK" w:eastAsia="方正书宋_GBK"/>
              </w:rPr>
            </w:pPr>
            <w:r>
              <w:rPr>
                <w:rFonts w:ascii="方正书宋_GBK" w:eastAsia="方正书宋_GBK"/>
              </w:rPr>
              <w:t>500.00</w:t>
            </w:r>
          </w:p>
        </w:tc>
        <w:tc>
          <w:tcPr>
            <w:tcW w:w="1134" w:type="dxa"/>
            <w:vAlign w:val="center"/>
          </w:tcPr>
          <w:p>
            <w:pPr>
              <w:spacing w:line="300" w:lineRule="exact"/>
              <w:jc w:val="right"/>
              <w:rPr>
                <w:rFonts w:ascii="方正书宋_GBK" w:eastAsia="方正书宋_GBK"/>
              </w:rPr>
            </w:pPr>
            <w:r>
              <w:rPr>
                <w:rFonts w:ascii="方正书宋_GBK" w:eastAsia="方正书宋_GBK"/>
              </w:rPr>
              <w:t>5000.00</w:t>
            </w:r>
          </w:p>
        </w:tc>
        <w:tc>
          <w:tcPr>
            <w:tcW w:w="1134" w:type="dxa"/>
            <w:vAlign w:val="center"/>
          </w:tcPr>
          <w:p>
            <w:pPr>
              <w:spacing w:line="300" w:lineRule="exact"/>
              <w:jc w:val="right"/>
              <w:rPr>
                <w:rFonts w:ascii="方正书宋_GBK" w:eastAsia="方正书宋_GBK"/>
              </w:rPr>
            </w:pPr>
            <w:r>
              <w:rPr>
                <w:rFonts w:ascii="方正书宋_GBK" w:eastAsia="方正书宋_GBK"/>
              </w:rPr>
              <w:t>5000.00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5"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5" w:type="dxa"/>
            <w:vAlign w:val="center"/>
          </w:tcPr>
          <w:p>
            <w:pPr>
              <w:spacing w:line="300" w:lineRule="exact"/>
              <w:jc w:val="right"/>
              <w:rPr>
                <w:rFonts w:ascii="方正书宋_GBK" w:eastAsia="方正书宋_GBK"/>
              </w:rPr>
            </w:pPr>
            <w:r>
              <w:rPr>
                <w:rFonts w:ascii="方正书宋_GBK" w:eastAsia="方正书宋_GBK"/>
              </w:rPr>
              <w:t>94800.00</w:t>
            </w:r>
          </w:p>
        </w:tc>
        <w:tc>
          <w:tcPr>
            <w:tcW w:w="1532" w:type="dxa"/>
            <w:vAlign w:val="center"/>
          </w:tcPr>
          <w:p>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pPr>
              <w:spacing w:line="300" w:lineRule="exact"/>
              <w:jc w:val="left"/>
              <w:rPr>
                <w:rFonts w:ascii="方正书宋_GBK" w:eastAsia="方正书宋_GBK"/>
              </w:rPr>
            </w:pPr>
            <w:r>
              <w:rPr>
                <w:rFonts w:ascii="方正书宋_GBK" w:eastAsia="方正书宋_GBK"/>
              </w:rPr>
              <w:t>C15040201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3000.00</w:t>
            </w:r>
          </w:p>
        </w:tc>
        <w:tc>
          <w:tcPr>
            <w:tcW w:w="1134" w:type="dxa"/>
            <w:vAlign w:val="center"/>
          </w:tcPr>
          <w:p>
            <w:pPr>
              <w:spacing w:line="300" w:lineRule="exact"/>
              <w:jc w:val="right"/>
              <w:rPr>
                <w:rFonts w:ascii="方正书宋_GBK" w:eastAsia="方正书宋_GBK"/>
              </w:rPr>
            </w:pPr>
            <w:r>
              <w:rPr>
                <w:rFonts w:ascii="方正书宋_GBK" w:eastAsia="方正书宋_GBK"/>
              </w:rPr>
              <w:t>3000.00</w:t>
            </w:r>
          </w:p>
        </w:tc>
        <w:tc>
          <w:tcPr>
            <w:tcW w:w="1134" w:type="dxa"/>
            <w:vAlign w:val="center"/>
          </w:tcPr>
          <w:p>
            <w:pPr>
              <w:spacing w:line="300" w:lineRule="exact"/>
              <w:jc w:val="right"/>
              <w:rPr>
                <w:rFonts w:ascii="方正书宋_GBK" w:eastAsia="方正书宋_GBK"/>
              </w:rPr>
            </w:pPr>
            <w:r>
              <w:rPr>
                <w:rFonts w:ascii="方正书宋_GBK" w:eastAsia="方正书宋_GBK"/>
              </w:rPr>
              <w:t>3000.00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5" w:type="dxa"/>
            <w:vAlign w:val="center"/>
          </w:tcPr>
          <w:p>
            <w:pPr>
              <w:spacing w:line="300" w:lineRule="exact"/>
              <w:jc w:val="left"/>
              <w:rPr>
                <w:rFonts w:ascii="方正书宋_GBK" w:eastAsia="方正书宋_GBK"/>
              </w:rPr>
            </w:pPr>
            <w:r>
              <w:rPr>
                <w:rFonts w:hint="eastAsia" w:ascii="方正书宋_GBK" w:eastAsia="方正书宋_GBK"/>
              </w:rPr>
              <w:t>机构编制监督检查项目</w:t>
            </w:r>
          </w:p>
        </w:tc>
        <w:tc>
          <w:tcPr>
            <w:tcW w:w="1135" w:type="dxa"/>
            <w:vAlign w:val="center"/>
          </w:tcPr>
          <w:p>
            <w:pPr>
              <w:spacing w:line="300" w:lineRule="exact"/>
              <w:jc w:val="right"/>
              <w:rPr>
                <w:rFonts w:ascii="方正书宋_GBK" w:eastAsia="方正书宋_GBK"/>
              </w:rPr>
            </w:pPr>
            <w:r>
              <w:rPr>
                <w:rFonts w:ascii="方正书宋_GBK" w:eastAsia="方正书宋_GBK"/>
              </w:rPr>
              <w:t>16900.00</w:t>
            </w:r>
          </w:p>
        </w:tc>
        <w:tc>
          <w:tcPr>
            <w:tcW w:w="1532"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10900.00</w:t>
            </w:r>
          </w:p>
        </w:tc>
        <w:tc>
          <w:tcPr>
            <w:tcW w:w="1134" w:type="dxa"/>
            <w:vAlign w:val="center"/>
          </w:tcPr>
          <w:p>
            <w:pPr>
              <w:spacing w:line="300" w:lineRule="exact"/>
              <w:jc w:val="right"/>
              <w:rPr>
                <w:rFonts w:ascii="方正书宋_GBK" w:eastAsia="方正书宋_GBK"/>
              </w:rPr>
            </w:pPr>
            <w:r>
              <w:rPr>
                <w:rFonts w:ascii="方正书宋_GBK" w:eastAsia="方正书宋_GBK"/>
              </w:rPr>
              <w:t>10900.00</w:t>
            </w:r>
          </w:p>
        </w:tc>
        <w:tc>
          <w:tcPr>
            <w:tcW w:w="1134" w:type="dxa"/>
            <w:vAlign w:val="center"/>
          </w:tcPr>
          <w:p>
            <w:pPr>
              <w:spacing w:line="300" w:lineRule="exact"/>
              <w:jc w:val="right"/>
              <w:rPr>
                <w:rFonts w:ascii="方正书宋_GBK" w:eastAsia="方正书宋_GBK"/>
              </w:rPr>
            </w:pPr>
            <w:r>
              <w:rPr>
                <w:rFonts w:ascii="方正书宋_GBK" w:eastAsia="方正书宋_GBK"/>
              </w:rPr>
              <w:t>10900.00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5" w:type="dxa"/>
            <w:vAlign w:val="center"/>
          </w:tcPr>
          <w:p>
            <w:pPr>
              <w:spacing w:line="300" w:lineRule="exact"/>
              <w:jc w:val="left"/>
              <w:rPr>
                <w:rFonts w:ascii="方正书宋_GBK" w:eastAsia="方正书宋_GBK"/>
              </w:rPr>
            </w:pPr>
            <w:r>
              <w:rPr>
                <w:rFonts w:hint="eastAsia" w:ascii="方正书宋_GBK" w:eastAsia="方正书宋_GBK"/>
              </w:rPr>
              <w:t>曲阳县权责清单编制工作项目</w:t>
            </w:r>
          </w:p>
        </w:tc>
        <w:tc>
          <w:tcPr>
            <w:tcW w:w="1135" w:type="dxa"/>
            <w:vAlign w:val="center"/>
          </w:tcPr>
          <w:p>
            <w:pPr>
              <w:spacing w:line="300" w:lineRule="exact"/>
              <w:jc w:val="right"/>
              <w:rPr>
                <w:rFonts w:ascii="方正书宋_GBK" w:eastAsia="方正书宋_GBK"/>
              </w:rPr>
            </w:pPr>
            <w:r>
              <w:rPr>
                <w:rFonts w:ascii="方正书宋_GBK" w:eastAsia="方正书宋_GBK"/>
              </w:rPr>
              <w:t>19200.00</w:t>
            </w:r>
          </w:p>
        </w:tc>
        <w:tc>
          <w:tcPr>
            <w:tcW w:w="1532"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10700.00</w:t>
            </w:r>
          </w:p>
        </w:tc>
        <w:tc>
          <w:tcPr>
            <w:tcW w:w="1134" w:type="dxa"/>
            <w:vAlign w:val="center"/>
          </w:tcPr>
          <w:p>
            <w:pPr>
              <w:spacing w:line="300" w:lineRule="exact"/>
              <w:jc w:val="right"/>
              <w:rPr>
                <w:rFonts w:ascii="方正书宋_GBK" w:eastAsia="方正书宋_GBK"/>
              </w:rPr>
            </w:pPr>
            <w:r>
              <w:rPr>
                <w:rFonts w:ascii="方正书宋_GBK" w:eastAsia="方正书宋_GBK"/>
              </w:rPr>
              <w:t>10700.00</w:t>
            </w:r>
          </w:p>
        </w:tc>
        <w:tc>
          <w:tcPr>
            <w:tcW w:w="1134" w:type="dxa"/>
            <w:vAlign w:val="center"/>
          </w:tcPr>
          <w:p>
            <w:pPr>
              <w:spacing w:line="300" w:lineRule="exact"/>
              <w:jc w:val="right"/>
              <w:rPr>
                <w:rFonts w:ascii="方正书宋_GBK" w:eastAsia="方正书宋_GBK"/>
              </w:rPr>
            </w:pPr>
            <w:r>
              <w:rPr>
                <w:rFonts w:ascii="方正书宋_GBK" w:eastAsia="方正书宋_GBK"/>
              </w:rPr>
              <w:t>10700.00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outlineLvl w:val="2"/>
        <w:rPr>
          <w:rFonts w:hAnsi="宋体"/>
          <w:sz w:val="32"/>
        </w:rPr>
      </w:pPr>
      <w:bookmarkStart w:id="6" w:name="_Toc65503658"/>
      <w:r>
        <w:rPr>
          <w:rFonts w:hint="eastAsia" w:ascii="黑体" w:hAnsi="黑体" w:eastAsia="黑体"/>
          <w:sz w:val="32"/>
        </w:rPr>
        <w:t>七、国有资产信息</w:t>
      </w:r>
      <w:bookmarkEnd w:id="6"/>
    </w:p>
    <w:p>
      <w:pPr>
        <w:spacing w:line="500" w:lineRule="exact"/>
        <w:ind w:firstLine="560" w:firstLineChars="200"/>
        <w:jc w:val="left"/>
        <w:rPr>
          <w:rFonts w:hAnsi="宋体"/>
          <w:sz w:val="28"/>
        </w:rPr>
      </w:pPr>
      <w:r>
        <w:rPr>
          <w:rFonts w:hint="eastAsia" w:eastAsia="方正仿宋_GBK"/>
          <w:sz w:val="28"/>
        </w:rPr>
        <w:t>中共曲阳县委机构编制委员会办公室（含所属单位）上年末固定资产金额为</w:t>
      </w:r>
      <w:r>
        <w:rPr>
          <w:rFonts w:eastAsia="方正仿宋_GBK"/>
          <w:sz w:val="28"/>
        </w:rPr>
        <w:t>179030.00</w:t>
      </w:r>
      <w:r>
        <w:rPr>
          <w:rFonts w:hint="eastAsia" w:eastAsia="方正仿宋_GBK"/>
          <w:sz w:val="28"/>
        </w:rPr>
        <w:t>元（详见下表）。本年度拟购置固定资产总额为</w:t>
      </w:r>
      <w:r>
        <w:rPr>
          <w:rFonts w:eastAsia="方正仿宋_GBK"/>
          <w:sz w:val="28"/>
        </w:rPr>
        <w:t>0.00</w:t>
      </w:r>
      <w:r>
        <w:rPr>
          <w:rFonts w:hint="eastAsia" w:eastAsia="方正仿宋_GBK"/>
          <w:sz w:val="28"/>
        </w:rPr>
        <w:t>元，已按要求列入政府采购预算，详见政府采购预算表。</w:t>
      </w:r>
    </w:p>
    <w:p>
      <w:pPr>
        <w:jc w:val="center"/>
        <w:rPr>
          <w:rFonts w:hAnsi="宋体"/>
          <w:sz w:val="36"/>
        </w:rPr>
      </w:pPr>
      <w:r>
        <w:rPr>
          <w:rFonts w:hint="eastAsia" w:ascii="方正小标宋_GBK" w:eastAsia="方正小标宋_GBK"/>
          <w:sz w:val="36"/>
        </w:rPr>
        <w:t>部门固定资产占用情况表</w:t>
      </w:r>
    </w:p>
    <w:tbl>
      <w:tblPr>
        <w:tblStyle w:val="8"/>
        <w:tblW w:w="130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67"/>
        <w:gridCol w:w="2834"/>
        <w:gridCol w:w="2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67"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225</w:t>
            </w:r>
            <w:r>
              <w:rPr>
                <w:rFonts w:hint="eastAsia" w:ascii="方正小标宋_GBK" w:eastAsia="方正小标宋_GBK"/>
                <w:sz w:val="24"/>
              </w:rPr>
              <w:t>中共曲阳县委机构编制委员会办公室</w:t>
            </w:r>
          </w:p>
        </w:tc>
        <w:tc>
          <w:tcPr>
            <w:tcW w:w="5668"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67"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4"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4"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67"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4" w:type="dxa"/>
            <w:vAlign w:val="center"/>
          </w:tcPr>
          <w:p>
            <w:pPr>
              <w:spacing w:line="300" w:lineRule="exact"/>
              <w:jc w:val="center"/>
              <w:rPr>
                <w:rFonts w:ascii="方正书宋_GBK" w:eastAsia="方正书宋_GBK"/>
              </w:rPr>
            </w:pPr>
          </w:p>
        </w:tc>
        <w:tc>
          <w:tcPr>
            <w:tcW w:w="2834" w:type="dxa"/>
            <w:vAlign w:val="center"/>
          </w:tcPr>
          <w:p>
            <w:pPr>
              <w:spacing w:line="300" w:lineRule="exact"/>
              <w:jc w:val="right"/>
              <w:rPr>
                <w:rFonts w:ascii="方正书宋_GBK" w:eastAsia="方正书宋_GBK"/>
              </w:rPr>
            </w:pPr>
            <w:r>
              <w:rPr>
                <w:rFonts w:ascii="方正书宋_GBK" w:eastAsia="方正书宋_GBK"/>
              </w:rPr>
              <w:t>179030.00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67"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4" w:type="dxa"/>
            <w:vAlign w:val="center"/>
          </w:tcPr>
          <w:p>
            <w:pPr>
              <w:spacing w:line="300" w:lineRule="exact"/>
              <w:jc w:val="center"/>
              <w:rPr>
                <w:rFonts w:ascii="方正书宋_GBK" w:eastAsia="方正书宋_GBK"/>
              </w:rPr>
            </w:pPr>
          </w:p>
        </w:tc>
        <w:tc>
          <w:tcPr>
            <w:tcW w:w="28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67"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4" w:type="dxa"/>
            <w:vAlign w:val="center"/>
          </w:tcPr>
          <w:p>
            <w:pPr>
              <w:spacing w:line="300" w:lineRule="exact"/>
              <w:jc w:val="center"/>
              <w:rPr>
                <w:rFonts w:ascii="方正书宋_GBK" w:eastAsia="方正书宋_GBK"/>
              </w:rPr>
            </w:pPr>
          </w:p>
        </w:tc>
        <w:tc>
          <w:tcPr>
            <w:tcW w:w="28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67"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4" w:type="dxa"/>
            <w:vAlign w:val="center"/>
          </w:tcPr>
          <w:p>
            <w:pPr>
              <w:spacing w:line="300" w:lineRule="exact"/>
              <w:jc w:val="center"/>
              <w:rPr>
                <w:rFonts w:ascii="方正书宋_GBK" w:eastAsia="方正书宋_GBK"/>
              </w:rPr>
            </w:pPr>
            <w:r>
              <w:rPr>
                <w:rFonts w:ascii="方正书宋_GBK" w:eastAsia="方正书宋_GBK"/>
              </w:rPr>
              <w:t>1.00</w:t>
            </w:r>
          </w:p>
        </w:tc>
        <w:tc>
          <w:tcPr>
            <w:tcW w:w="2834" w:type="dxa"/>
            <w:vAlign w:val="center"/>
          </w:tcPr>
          <w:p>
            <w:pPr>
              <w:spacing w:line="300" w:lineRule="exact"/>
              <w:jc w:val="right"/>
              <w:rPr>
                <w:rFonts w:ascii="方正书宋_GBK" w:eastAsia="方正书宋_GBK"/>
              </w:rPr>
            </w:pPr>
            <w:r>
              <w:rPr>
                <w:rFonts w:ascii="方正书宋_GBK" w:eastAsia="方正书宋_GBK"/>
              </w:rPr>
              <w:t>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67"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4" w:type="dxa"/>
            <w:vAlign w:val="center"/>
          </w:tcPr>
          <w:p>
            <w:pPr>
              <w:spacing w:line="300" w:lineRule="exact"/>
              <w:jc w:val="center"/>
              <w:rPr>
                <w:rFonts w:ascii="方正书宋_GBK" w:eastAsia="方正书宋_GBK"/>
              </w:rPr>
            </w:pPr>
          </w:p>
        </w:tc>
        <w:tc>
          <w:tcPr>
            <w:tcW w:w="28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67"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4" w:type="dxa"/>
            <w:vAlign w:val="center"/>
          </w:tcPr>
          <w:p>
            <w:pPr>
              <w:spacing w:line="300" w:lineRule="exact"/>
              <w:jc w:val="center"/>
              <w:rPr>
                <w:rFonts w:ascii="方正书宋_GBK" w:eastAsia="方正书宋_GBK"/>
              </w:rPr>
            </w:pPr>
            <w:r>
              <w:rPr>
                <w:rFonts w:ascii="方正书宋_GBK" w:eastAsia="方正书宋_GBK"/>
              </w:rPr>
              <w:t>26.00</w:t>
            </w:r>
          </w:p>
        </w:tc>
        <w:tc>
          <w:tcPr>
            <w:tcW w:w="2834" w:type="dxa"/>
            <w:vAlign w:val="center"/>
          </w:tcPr>
          <w:p>
            <w:pPr>
              <w:spacing w:line="300" w:lineRule="exact"/>
              <w:jc w:val="right"/>
              <w:rPr>
                <w:rFonts w:ascii="方正书宋_GBK" w:eastAsia="方正书宋_GBK"/>
              </w:rPr>
            </w:pPr>
            <w:r>
              <w:rPr>
                <w:rFonts w:ascii="方正书宋_GBK" w:eastAsia="方正书宋_GBK"/>
              </w:rPr>
              <w:t>91030.00</w:t>
            </w:r>
          </w:p>
        </w:tc>
      </w:tr>
    </w:tbl>
    <w:p>
      <w:pPr>
        <w:spacing w:line="300" w:lineRule="exact"/>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outlineLvl w:val="2"/>
        <w:rPr>
          <w:rFonts w:hAnsi="宋体"/>
          <w:sz w:val="32"/>
        </w:rPr>
      </w:pPr>
      <w:bookmarkStart w:id="7" w:name="_Toc65503659"/>
      <w:r>
        <w:rPr>
          <w:rFonts w:hint="eastAsia" w:ascii="黑体" w:hAnsi="黑体" w:eastAsia="黑体"/>
          <w:sz w:val="32"/>
        </w:rPr>
        <w:t>八、名词解释</w:t>
      </w:r>
      <w:bookmarkEnd w:id="7"/>
    </w:p>
    <w:p>
      <w:pPr>
        <w:spacing w:line="500" w:lineRule="exact"/>
        <w:ind w:firstLine="560" w:firstLineChars="200"/>
        <w:jc w:val="left"/>
        <w:rPr>
          <w:rFonts w:hAnsi="宋体"/>
          <w:sz w:val="28"/>
        </w:rPr>
      </w:pPr>
      <w:r>
        <w:rPr>
          <w:rFonts w:eastAsia="方正仿宋_GBK"/>
          <w:sz w:val="28"/>
        </w:rPr>
        <w:t>1</w:t>
      </w:r>
      <w:r>
        <w:rPr>
          <w:rFonts w:hint="eastAsia" w:eastAsia="方正仿宋_GBK"/>
          <w:sz w:val="28"/>
        </w:rPr>
        <w:t>、</w:t>
      </w:r>
      <w:r>
        <w:rPr>
          <w:rFonts w:hint="eastAsia" w:eastAsia="方正仿宋_GBK"/>
          <w:b/>
          <w:sz w:val="28"/>
        </w:rPr>
        <w:t>一般公共预算拨款收入：</w:t>
      </w:r>
      <w:r>
        <w:rPr>
          <w:rFonts w:hint="eastAsia" w:eastAsia="方正仿宋_GBK"/>
          <w:sz w:val="28"/>
        </w:rPr>
        <w:t>指县级财政当年拨付的资金。</w:t>
      </w:r>
    </w:p>
    <w:p>
      <w:pPr>
        <w:spacing w:line="500" w:lineRule="exact"/>
        <w:ind w:firstLine="560" w:firstLineChars="200"/>
        <w:jc w:val="left"/>
        <w:rPr>
          <w:rFonts w:hAnsi="宋体"/>
          <w:sz w:val="28"/>
        </w:rPr>
      </w:pPr>
      <w:r>
        <w:rPr>
          <w:rFonts w:eastAsia="方正仿宋_GBK"/>
          <w:sz w:val="28"/>
        </w:rPr>
        <w:t>2</w:t>
      </w:r>
      <w:r>
        <w:rPr>
          <w:rFonts w:hint="eastAsia" w:eastAsia="方正仿宋_GBK"/>
          <w:sz w:val="28"/>
        </w:rPr>
        <w:t>、</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eastAsia="方正仿宋_GBK"/>
          <w:sz w:val="28"/>
        </w:rPr>
        <w:t>3</w:t>
      </w:r>
      <w:r>
        <w:rPr>
          <w:rFonts w:hint="eastAsia" w:eastAsia="方正仿宋_GBK"/>
          <w:sz w:val="28"/>
        </w:rPr>
        <w:t>、</w:t>
      </w:r>
      <w:r>
        <w:rPr>
          <w:rFonts w:hint="eastAsia" w:eastAsia="方正仿宋_GBK"/>
          <w:b/>
          <w:sz w:val="28"/>
        </w:rPr>
        <w:t>其他收入：</w:t>
      </w:r>
      <w:r>
        <w:rPr>
          <w:rFonts w:hint="eastAsia" w:eastAsia="方正仿宋_GBK"/>
          <w:sz w:val="28"/>
        </w:rPr>
        <w:t>指除</w:t>
      </w:r>
      <w:r>
        <w:rPr>
          <w:rFonts w:eastAsia="方正仿宋_GBK"/>
          <w:sz w:val="28"/>
        </w:rPr>
        <w:t>“</w:t>
      </w:r>
      <w:r>
        <w:rPr>
          <w:rFonts w:hint="eastAsia" w:eastAsia="方正仿宋_GBK"/>
          <w:sz w:val="28"/>
        </w:rPr>
        <w:t>一般公共预算拨款收入</w:t>
      </w:r>
      <w:r>
        <w:rPr>
          <w:rFonts w:eastAsia="方正仿宋_GBK"/>
          <w:sz w:val="28"/>
        </w:rPr>
        <w:t>”</w:t>
      </w:r>
      <w:r>
        <w:rPr>
          <w:rFonts w:hint="eastAsia" w:eastAsia="方正仿宋_GBK"/>
          <w:sz w:val="28"/>
        </w:rPr>
        <w:t>、</w:t>
      </w:r>
      <w:r>
        <w:rPr>
          <w:rFonts w:eastAsia="方正仿宋_GBK"/>
          <w:sz w:val="28"/>
        </w:rPr>
        <w:t>“</w:t>
      </w:r>
      <w:r>
        <w:rPr>
          <w:rFonts w:hint="eastAsia" w:eastAsia="方正仿宋_GBK"/>
          <w:sz w:val="28"/>
        </w:rPr>
        <w:t>事业收入</w:t>
      </w:r>
      <w:r>
        <w:rPr>
          <w:rFont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eastAsia="方正仿宋_GBK"/>
          <w:sz w:val="28"/>
        </w:rPr>
        <w:t>4</w:t>
      </w:r>
      <w:r>
        <w:rPr>
          <w:rFonts w:hint="eastAsia" w:eastAsia="方正仿宋_GBK"/>
          <w:sz w:val="28"/>
        </w:rPr>
        <w:t>、</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eastAsia="方正仿宋_GBK"/>
          <w:sz w:val="28"/>
        </w:rPr>
        <w:t>5</w:t>
      </w:r>
      <w:r>
        <w:rPr>
          <w:rFonts w:hint="eastAsia" w:eastAsia="方正仿宋_GBK"/>
          <w:sz w:val="28"/>
        </w:rPr>
        <w:t>、</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eastAsia="方正仿宋_GBK"/>
          <w:sz w:val="28"/>
        </w:rPr>
        <w:t>6</w:t>
      </w:r>
      <w:r>
        <w:rPr>
          <w:rFonts w:hint="eastAsia" w:eastAsia="方正仿宋_GBK"/>
          <w:sz w:val="28"/>
        </w:rPr>
        <w:t>、</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eastAsia="方正仿宋_GBK"/>
          <w:sz w:val="28"/>
        </w:rPr>
        <w:t>7</w:t>
      </w:r>
      <w:r>
        <w:rPr>
          <w:rFonts w:hint="eastAsia" w:eastAsia="方正仿宋_GBK"/>
          <w:sz w:val="28"/>
        </w:rPr>
        <w:t>、</w:t>
      </w:r>
      <w:r>
        <w:rPr>
          <w:rFonts w:eastAsia="方正仿宋_GBK"/>
          <w:b/>
          <w:sz w:val="28"/>
        </w:rPr>
        <w:t>“</w:t>
      </w:r>
      <w:r>
        <w:rPr>
          <w:rFonts w:hint="eastAsia" w:eastAsia="方正仿宋_GBK"/>
          <w:b/>
          <w:sz w:val="28"/>
        </w:rPr>
        <w:t>三公</w:t>
      </w:r>
      <w:r>
        <w:rPr>
          <w:rFonts w:eastAsia="方正仿宋_GBK"/>
          <w:b/>
          <w:sz w:val="28"/>
        </w:rPr>
        <w:t>”</w:t>
      </w:r>
      <w:r>
        <w:rPr>
          <w:rFonts w:hint="eastAsia" w:eastAsia="方正仿宋_GBK"/>
          <w:b/>
          <w:sz w:val="28"/>
        </w:rPr>
        <w:t>经费：</w:t>
      </w:r>
      <w:r>
        <w:rPr>
          <w:rFonts w:hint="eastAsia" w:eastAsia="方正仿宋_GBK"/>
          <w:sz w:val="28"/>
        </w:rPr>
        <w:t>纳入县级财政预算管理的</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eastAsia="方正仿宋_GBK"/>
          <w:sz w:val="28"/>
        </w:rPr>
        <w:t>8</w:t>
      </w:r>
      <w:r>
        <w:rPr>
          <w:rFonts w:hint="eastAsia" w:eastAsia="方正仿宋_GBK"/>
          <w:sz w:val="28"/>
        </w:rPr>
        <w:t>、</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eastAsia="方正仿宋_GBK"/>
          <w:sz w:val="28"/>
        </w:rPr>
        <w:t>9</w:t>
      </w:r>
      <w:r>
        <w:rPr>
          <w:rFonts w:hint="eastAsia" w:eastAsia="方正仿宋_GBK"/>
          <w:sz w:val="28"/>
        </w:rPr>
        <w:t>、</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eastAsia="方正仿宋_GBK"/>
          <w:sz w:val="28"/>
        </w:rPr>
        <w:t>10</w:t>
      </w:r>
      <w:r>
        <w:rPr>
          <w:rFonts w:hint="eastAsia" w:eastAsia="方正仿宋_GBK"/>
          <w:sz w:val="28"/>
        </w:rPr>
        <w:t>、</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jc w:val="left"/>
        <w:outlineLvl w:val="2"/>
        <w:rPr>
          <w:rFonts w:hAnsi="宋体"/>
          <w:sz w:val="32"/>
        </w:rPr>
      </w:pPr>
      <w:bookmarkStart w:id="8" w:name="_Toc65503660"/>
      <w:r>
        <w:rPr>
          <w:rFonts w:hint="eastAsia" w:ascii="黑体" w:hAnsi="黑体" w:eastAsia="黑体"/>
          <w:sz w:val="32"/>
        </w:rPr>
        <w:t>九、其他需要说明的事项</w:t>
      </w:r>
      <w:bookmarkEnd w:id="8"/>
    </w:p>
    <w:p>
      <w:pPr>
        <w:spacing w:line="500" w:lineRule="exact"/>
        <w:ind w:firstLine="560" w:firstLineChars="200"/>
        <w:jc w:val="left"/>
        <w:rPr>
          <w:rFonts w:hAnsi="宋体"/>
          <w:sz w:val="28"/>
        </w:rPr>
      </w:pPr>
      <w:r>
        <w:rPr>
          <w:rFonts w:hint="eastAsia" w:eastAsia="方正仿宋_GBK"/>
          <w:sz w:val="28"/>
        </w:rPr>
        <w:t>我部门无其他需要说明的事项。</w:t>
      </w:r>
    </w:p>
    <w:p/>
    <w:sectPr>
      <w:pgSz w:w="16838" w:h="11906" w:orient="landscape"/>
      <w:pgMar w:top="1758" w:right="1418" w:bottom="175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34786"/>
    <w:rsid w:val="00037AF6"/>
    <w:rsid w:val="000405D0"/>
    <w:rsid w:val="0004257D"/>
    <w:rsid w:val="00042F57"/>
    <w:rsid w:val="0006483E"/>
    <w:rsid w:val="00075D5F"/>
    <w:rsid w:val="0008102F"/>
    <w:rsid w:val="000850DF"/>
    <w:rsid w:val="00087AAF"/>
    <w:rsid w:val="00094508"/>
    <w:rsid w:val="000A753B"/>
    <w:rsid w:val="000B529B"/>
    <w:rsid w:val="000C3A19"/>
    <w:rsid w:val="000E353E"/>
    <w:rsid w:val="000E617A"/>
    <w:rsid w:val="000F543F"/>
    <w:rsid w:val="00104D5C"/>
    <w:rsid w:val="001245BB"/>
    <w:rsid w:val="001251A3"/>
    <w:rsid w:val="00146AA7"/>
    <w:rsid w:val="00151115"/>
    <w:rsid w:val="00180BC5"/>
    <w:rsid w:val="0018714B"/>
    <w:rsid w:val="0019071F"/>
    <w:rsid w:val="001A2BB3"/>
    <w:rsid w:val="001B4EF3"/>
    <w:rsid w:val="001B5B76"/>
    <w:rsid w:val="001C1F52"/>
    <w:rsid w:val="001E4E53"/>
    <w:rsid w:val="001F7873"/>
    <w:rsid w:val="00201B2D"/>
    <w:rsid w:val="00241FD4"/>
    <w:rsid w:val="00250768"/>
    <w:rsid w:val="00251B12"/>
    <w:rsid w:val="002524FA"/>
    <w:rsid w:val="00260B14"/>
    <w:rsid w:val="002846E6"/>
    <w:rsid w:val="00296113"/>
    <w:rsid w:val="002A673A"/>
    <w:rsid w:val="002C07BE"/>
    <w:rsid w:val="002C5E13"/>
    <w:rsid w:val="002C62BC"/>
    <w:rsid w:val="002C7DF9"/>
    <w:rsid w:val="002E0EB8"/>
    <w:rsid w:val="002E3B1C"/>
    <w:rsid w:val="002F126F"/>
    <w:rsid w:val="002F3E58"/>
    <w:rsid w:val="0030542C"/>
    <w:rsid w:val="00311B7A"/>
    <w:rsid w:val="00372FA3"/>
    <w:rsid w:val="003D24CB"/>
    <w:rsid w:val="003D2C83"/>
    <w:rsid w:val="003D417F"/>
    <w:rsid w:val="003F60E9"/>
    <w:rsid w:val="003F7831"/>
    <w:rsid w:val="004222D4"/>
    <w:rsid w:val="004248B8"/>
    <w:rsid w:val="00424943"/>
    <w:rsid w:val="0043175C"/>
    <w:rsid w:val="0043380A"/>
    <w:rsid w:val="00436327"/>
    <w:rsid w:val="00437296"/>
    <w:rsid w:val="00442E77"/>
    <w:rsid w:val="00451590"/>
    <w:rsid w:val="00451871"/>
    <w:rsid w:val="004631FC"/>
    <w:rsid w:val="004706DE"/>
    <w:rsid w:val="00472923"/>
    <w:rsid w:val="00485694"/>
    <w:rsid w:val="0049455E"/>
    <w:rsid w:val="00496109"/>
    <w:rsid w:val="004B0C3A"/>
    <w:rsid w:val="004D1109"/>
    <w:rsid w:val="004D5788"/>
    <w:rsid w:val="004E3066"/>
    <w:rsid w:val="004E74CD"/>
    <w:rsid w:val="005069C1"/>
    <w:rsid w:val="00516E04"/>
    <w:rsid w:val="005207F3"/>
    <w:rsid w:val="00531D31"/>
    <w:rsid w:val="005478C1"/>
    <w:rsid w:val="00565588"/>
    <w:rsid w:val="00565ECE"/>
    <w:rsid w:val="00572067"/>
    <w:rsid w:val="00573562"/>
    <w:rsid w:val="00590ECE"/>
    <w:rsid w:val="005915C2"/>
    <w:rsid w:val="00592ADD"/>
    <w:rsid w:val="0059529F"/>
    <w:rsid w:val="005A2F44"/>
    <w:rsid w:val="005C1A9F"/>
    <w:rsid w:val="005D1CD9"/>
    <w:rsid w:val="00602878"/>
    <w:rsid w:val="00614A29"/>
    <w:rsid w:val="0061668A"/>
    <w:rsid w:val="00643AA7"/>
    <w:rsid w:val="00653C6B"/>
    <w:rsid w:val="0066346C"/>
    <w:rsid w:val="00673D76"/>
    <w:rsid w:val="00674CD7"/>
    <w:rsid w:val="006854F0"/>
    <w:rsid w:val="0069624B"/>
    <w:rsid w:val="006B1C4A"/>
    <w:rsid w:val="006B610D"/>
    <w:rsid w:val="006D2233"/>
    <w:rsid w:val="006E49F5"/>
    <w:rsid w:val="006E7E97"/>
    <w:rsid w:val="007013C8"/>
    <w:rsid w:val="00717B1E"/>
    <w:rsid w:val="00741157"/>
    <w:rsid w:val="00753836"/>
    <w:rsid w:val="0075393C"/>
    <w:rsid w:val="00754592"/>
    <w:rsid w:val="0077207E"/>
    <w:rsid w:val="00776C08"/>
    <w:rsid w:val="00786726"/>
    <w:rsid w:val="007C180B"/>
    <w:rsid w:val="007C219A"/>
    <w:rsid w:val="007C4DEC"/>
    <w:rsid w:val="007C4F9B"/>
    <w:rsid w:val="007E1DA8"/>
    <w:rsid w:val="007F6C26"/>
    <w:rsid w:val="00813208"/>
    <w:rsid w:val="008334AE"/>
    <w:rsid w:val="00836FED"/>
    <w:rsid w:val="0083724E"/>
    <w:rsid w:val="00837667"/>
    <w:rsid w:val="00845CD2"/>
    <w:rsid w:val="00852B0D"/>
    <w:rsid w:val="00881692"/>
    <w:rsid w:val="00883D1A"/>
    <w:rsid w:val="008A25C2"/>
    <w:rsid w:val="008A6576"/>
    <w:rsid w:val="008B30BE"/>
    <w:rsid w:val="008B3CC5"/>
    <w:rsid w:val="008B52CD"/>
    <w:rsid w:val="008D78CA"/>
    <w:rsid w:val="008E4261"/>
    <w:rsid w:val="008E6C8C"/>
    <w:rsid w:val="008F4662"/>
    <w:rsid w:val="00905D08"/>
    <w:rsid w:val="00923803"/>
    <w:rsid w:val="00925753"/>
    <w:rsid w:val="009425F4"/>
    <w:rsid w:val="009436B3"/>
    <w:rsid w:val="00966C5C"/>
    <w:rsid w:val="00973104"/>
    <w:rsid w:val="0097350A"/>
    <w:rsid w:val="00995BF0"/>
    <w:rsid w:val="009A16D5"/>
    <w:rsid w:val="009A353D"/>
    <w:rsid w:val="009B0B77"/>
    <w:rsid w:val="009B511E"/>
    <w:rsid w:val="009E345C"/>
    <w:rsid w:val="00A02FED"/>
    <w:rsid w:val="00A44E3D"/>
    <w:rsid w:val="00A62942"/>
    <w:rsid w:val="00A726A0"/>
    <w:rsid w:val="00A72D2E"/>
    <w:rsid w:val="00A74447"/>
    <w:rsid w:val="00A74CE5"/>
    <w:rsid w:val="00A911E7"/>
    <w:rsid w:val="00A939D9"/>
    <w:rsid w:val="00AA24D5"/>
    <w:rsid w:val="00B07D9E"/>
    <w:rsid w:val="00B20712"/>
    <w:rsid w:val="00B43238"/>
    <w:rsid w:val="00B45DD3"/>
    <w:rsid w:val="00B50E0F"/>
    <w:rsid w:val="00B52632"/>
    <w:rsid w:val="00B66E6E"/>
    <w:rsid w:val="00B727A9"/>
    <w:rsid w:val="00B75216"/>
    <w:rsid w:val="00B91D52"/>
    <w:rsid w:val="00B9490F"/>
    <w:rsid w:val="00BA1ACD"/>
    <w:rsid w:val="00BA534E"/>
    <w:rsid w:val="00BD09F8"/>
    <w:rsid w:val="00BD4B2D"/>
    <w:rsid w:val="00BE0E8E"/>
    <w:rsid w:val="00C0360F"/>
    <w:rsid w:val="00C8692E"/>
    <w:rsid w:val="00C9154E"/>
    <w:rsid w:val="00CA7176"/>
    <w:rsid w:val="00CB3D48"/>
    <w:rsid w:val="00CB4665"/>
    <w:rsid w:val="00CC75B0"/>
    <w:rsid w:val="00CD2773"/>
    <w:rsid w:val="00CD31CC"/>
    <w:rsid w:val="00CD3A39"/>
    <w:rsid w:val="00CD5D81"/>
    <w:rsid w:val="00CE143B"/>
    <w:rsid w:val="00D0024A"/>
    <w:rsid w:val="00D14265"/>
    <w:rsid w:val="00D27003"/>
    <w:rsid w:val="00DA4B4D"/>
    <w:rsid w:val="00DB4A9B"/>
    <w:rsid w:val="00DE0873"/>
    <w:rsid w:val="00DF0011"/>
    <w:rsid w:val="00E167C7"/>
    <w:rsid w:val="00E2482E"/>
    <w:rsid w:val="00E273A5"/>
    <w:rsid w:val="00E41AAA"/>
    <w:rsid w:val="00E421EE"/>
    <w:rsid w:val="00E42A4E"/>
    <w:rsid w:val="00E61DF2"/>
    <w:rsid w:val="00E6491C"/>
    <w:rsid w:val="00E73D47"/>
    <w:rsid w:val="00E813A9"/>
    <w:rsid w:val="00E82C63"/>
    <w:rsid w:val="00EC47F6"/>
    <w:rsid w:val="00ED5103"/>
    <w:rsid w:val="00EE65B8"/>
    <w:rsid w:val="00F149E2"/>
    <w:rsid w:val="00F159B6"/>
    <w:rsid w:val="00F66032"/>
    <w:rsid w:val="00F67C4E"/>
    <w:rsid w:val="00F728BF"/>
    <w:rsid w:val="00F757AD"/>
    <w:rsid w:val="00F87C1E"/>
    <w:rsid w:val="00F958C2"/>
    <w:rsid w:val="00FA3D33"/>
    <w:rsid w:val="00FD351A"/>
    <w:rsid w:val="00FE75D7"/>
    <w:rsid w:val="049F25A4"/>
    <w:rsid w:val="2AF82D53"/>
    <w:rsid w:val="313219F0"/>
    <w:rsid w:val="5B36115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nhideWhenUsed="0" w:uiPriority="99" w:name="footnote text"/>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nhideWhenUsed="0" w:uiPriority="99" w:name="footnote reference"/>
    <w:lsdException w:uiPriority="99" w:name="annotation reference" w:locked="1"/>
    <w:lsdException w:uiPriority="99" w:name="line number" w:locked="1"/>
    <w:lsdException w:qFormat="1" w:unhideWhenUsed="0" w:uiPriority="99"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iPriority w:val="99"/>
    <w:rPr>
      <w:sz w:val="18"/>
      <w:szCs w:val="18"/>
    </w:rPr>
  </w:style>
  <w:style w:type="paragraph" w:styleId="3">
    <w:name w:val="footer"/>
    <w:basedOn w:val="1"/>
    <w:link w:val="14"/>
    <w:uiPriority w:val="99"/>
    <w:pPr>
      <w:tabs>
        <w:tab w:val="center" w:pos="4153"/>
        <w:tab w:val="right" w:pos="8306"/>
      </w:tabs>
      <w:snapToGrid w:val="0"/>
      <w:jc w:val="left"/>
    </w:pPr>
    <w:rPr>
      <w:sz w:val="18"/>
      <w:szCs w:val="18"/>
    </w:rPr>
  </w:style>
  <w:style w:type="paragraph" w:styleId="4">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99"/>
  </w:style>
  <w:style w:type="paragraph" w:styleId="6">
    <w:name w:val="footnote text"/>
    <w:basedOn w:val="1"/>
    <w:link w:val="16"/>
    <w:semiHidden/>
    <w:uiPriority w:val="99"/>
    <w:pPr>
      <w:snapToGrid w:val="0"/>
      <w:jc w:val="left"/>
    </w:pPr>
    <w:rPr>
      <w:rFonts w:ascii="Calibri" w:hAnsi="Calibri"/>
      <w:sz w:val="18"/>
      <w:szCs w:val="18"/>
    </w:rPr>
  </w:style>
  <w:style w:type="paragraph" w:styleId="7">
    <w:name w:val="toc 2"/>
    <w:basedOn w:val="1"/>
    <w:next w:val="1"/>
    <w:qFormat/>
    <w:uiPriority w:val="99"/>
    <w:pPr>
      <w:ind w:left="420" w:leftChars="200"/>
    </w:pPr>
  </w:style>
  <w:style w:type="character" w:styleId="10">
    <w:name w:val="page number"/>
    <w:basedOn w:val="9"/>
    <w:semiHidden/>
    <w:qFormat/>
    <w:uiPriority w:val="99"/>
    <w:rPr>
      <w:rFonts w:cs="Times New Roman"/>
    </w:rPr>
  </w:style>
  <w:style w:type="character" w:styleId="11">
    <w:name w:val="Hyperlink"/>
    <w:basedOn w:val="9"/>
    <w:uiPriority w:val="99"/>
    <w:rPr>
      <w:rFonts w:cs="Times New Roman"/>
      <w:color w:val="0000FF"/>
      <w:u w:val="single"/>
    </w:rPr>
  </w:style>
  <w:style w:type="character" w:styleId="12">
    <w:name w:val="footnote reference"/>
    <w:basedOn w:val="9"/>
    <w:semiHidden/>
    <w:uiPriority w:val="99"/>
    <w:rPr>
      <w:rFonts w:cs="Times New Roman"/>
      <w:vertAlign w:val="superscript"/>
    </w:rPr>
  </w:style>
  <w:style w:type="character" w:customStyle="1" w:styleId="13">
    <w:name w:val="Balloon Text Char"/>
    <w:basedOn w:val="9"/>
    <w:link w:val="2"/>
    <w:semiHidden/>
    <w:locked/>
    <w:uiPriority w:val="99"/>
    <w:rPr>
      <w:rFonts w:cs="Times New Roman"/>
      <w:sz w:val="18"/>
      <w:szCs w:val="18"/>
    </w:rPr>
  </w:style>
  <w:style w:type="character" w:customStyle="1" w:styleId="14">
    <w:name w:val="Footer Char"/>
    <w:basedOn w:val="9"/>
    <w:link w:val="3"/>
    <w:locked/>
    <w:uiPriority w:val="99"/>
    <w:rPr>
      <w:rFonts w:ascii="Times New Roman" w:hAnsi="Times New Roman" w:eastAsia="宋体" w:cs="Times New Roman"/>
      <w:sz w:val="18"/>
      <w:szCs w:val="18"/>
    </w:rPr>
  </w:style>
  <w:style w:type="character" w:customStyle="1" w:styleId="15">
    <w:name w:val="Header Char"/>
    <w:basedOn w:val="9"/>
    <w:link w:val="4"/>
    <w:locked/>
    <w:uiPriority w:val="99"/>
    <w:rPr>
      <w:rFonts w:ascii="Times New Roman" w:hAnsi="Times New Roman" w:eastAsia="宋体" w:cs="Times New Roman"/>
      <w:sz w:val="18"/>
      <w:szCs w:val="18"/>
    </w:rPr>
  </w:style>
  <w:style w:type="character" w:customStyle="1" w:styleId="16">
    <w:name w:val="Footnote Text Char"/>
    <w:basedOn w:val="9"/>
    <w:link w:val="6"/>
    <w:semiHidden/>
    <w:locked/>
    <w:uiPriority w:val="99"/>
    <w:rPr>
      <w:rFonts w:ascii="Calibri" w:hAnsi="Calibri" w:eastAsia="宋体" w:cs="Times New Roman"/>
      <w:sz w:val="18"/>
      <w:szCs w:val="18"/>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1121</Words>
  <Characters>6390</Characters>
  <Lines>0</Lines>
  <Paragraphs>0</Paragraphs>
  <TotalTime>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6665</cp:lastModifiedBy>
  <cp:lastPrinted>2017-11-09T01:12:00Z</cp:lastPrinted>
  <dcterms:modified xsi:type="dcterms:W3CDTF">2024-09-06T02:41:58Z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