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 w:eastAsia="仿宋" w:cs="仿宋" w:hAnsi="仿宋" w:hint="eastAsia"/>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仿宋" w:eastAsia="仿宋" w:cs="仿宋" w:hAnsi="仿宋" w:hint="eastAsia"/>
          <w:b w:val="0"/>
          <w:bCs w:val="0"/>
          <w:sz w:val="32"/>
          <w:szCs w:val="32"/>
          <w:lang w:val="en-US" w:eastAsia="zh-CN"/>
        </w:rPr>
      </w:pPr>
      <w:r>
        <w:rPr>
          <w:rFonts w:ascii="仿宋" w:eastAsia="仿宋" w:cs="仿宋" w:hAnsi="仿宋" w:hint="eastAsia"/>
          <w:b w:val="0"/>
          <w:bCs w:val="0"/>
          <w:sz w:val="32"/>
          <w:szCs w:val="32"/>
          <w:lang w:eastAsia="zh-CN"/>
        </w:rPr>
        <w:t>【</w:t>
      </w:r>
      <w:r>
        <w:rPr>
          <w:rFonts w:ascii="仿宋" w:eastAsia="仿宋" w:cs="仿宋" w:hAnsi="仿宋" w:hint="eastAsia"/>
          <w:b w:val="0"/>
          <w:bCs w:val="0"/>
          <w:sz w:val="32"/>
          <w:szCs w:val="32"/>
          <w:lang w:val="en-US" w:eastAsia="zh-CN"/>
        </w:rPr>
        <w:t>2022</w:t>
      </w:r>
      <w:r>
        <w:rPr>
          <w:rFonts w:ascii="仿宋" w:eastAsia="仿宋" w:cs="仿宋" w:hAnsi="仿宋" w:hint="eastAsia"/>
          <w:b w:val="0"/>
          <w:bCs w:val="0"/>
          <w:sz w:val="32"/>
          <w:szCs w:val="32"/>
          <w:lang w:eastAsia="zh-CN"/>
        </w:rPr>
        <w:t>】</w:t>
      </w:r>
      <w:r>
        <w:rPr>
          <w:rFonts w:ascii="仿宋" w:eastAsia="仿宋" w:cs="仿宋" w:hAnsi="仿宋" w:hint="eastAsia"/>
          <w:b w:val="0"/>
          <w:bCs w:val="0"/>
          <w:sz w:val="32"/>
          <w:szCs w:val="32"/>
          <w:lang w:val="en-US" w:eastAsia="zh-CN"/>
        </w:rPr>
        <w:t>28号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ascii="宋体" w:eastAsia="宋体" w:cs="宋体" w:hint="eastAsia"/>
          <w:b/>
          <w:bCs/>
          <w:sz w:val="44"/>
          <w:szCs w:val="44"/>
        </w:rPr>
        <w:t>曲阳县城市管理综合行政执法局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ascii="宋体" w:eastAsia="宋体" w:cs="宋体" w:hint="eastAsia"/>
          <w:b/>
          <w:bCs/>
          <w:sz w:val="44"/>
          <w:szCs w:val="44"/>
        </w:rPr>
        <w:t>关于2022年“双随机、一公开”监管工作的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eastAsia="宋体" w:cs="宋体"/>
          <w:b/>
          <w:bCs/>
          <w:sz w:val="44"/>
          <w:szCs w:val="44"/>
        </w:rPr>
      </w:pPr>
      <w:r>
        <w:rPr>
          <w:rFonts w:ascii="宋体" w:eastAsia="宋体" w:cs="宋体" w:hint="eastAsia"/>
          <w:b/>
          <w:bCs/>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880"/>
        <w:jc w:val="center"/>
        <w:textAlignment w:val="auto"/>
        <w:rPr>
          <w:rFonts w:ascii="宋体" w:eastAsia="宋体" w:cs="宋体"/>
          <w:b/>
          <w:bCs/>
          <w:sz w:val="44"/>
          <w:szCs w:val="44"/>
        </w:rPr>
      </w:pP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1"/>
        <w:textAlignment w:val="auto"/>
        <w:rPr>
          <w:rFonts w:ascii="仿宋" w:eastAsia="仿宋" w:cs="仿宋" w:hAnsi="仿宋"/>
          <w:sz w:val="32"/>
          <w:szCs w:val="32"/>
        </w:rPr>
      </w:pPr>
      <w:r>
        <w:rPr>
          <w:rFonts w:ascii="仿宋" w:eastAsia="仿宋" w:cs="仿宋" w:hAnsi="仿宋" w:hint="eastAsia"/>
          <w:sz w:val="32"/>
          <w:szCs w:val="32"/>
        </w:rPr>
        <w:t>为贯彻落实省、市、县深化“放管服”改革优化营商环境部署要求，深入推进“双随机、一公开”监管工作持续、广泛开展，减少对企业（单位）正常生产经营的干扰，震慑违法违规行为，助力全县经济高质量发展。现结合工作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53" w:firstLine="883"/>
        <w:textAlignment w:val="auto"/>
        <w:rPr>
          <w:rFonts w:ascii="黑体" w:eastAsia="黑体" w:cs="黑体" w:hAnsi="黑体"/>
          <w:sz w:val="32"/>
          <w:szCs w:val="32"/>
        </w:rPr>
      </w:pPr>
      <w:r>
        <w:rPr>
          <w:rFonts w:ascii="黑体" w:eastAsia="黑体" w:cs="黑体" w:hAnsi="黑体" w:hint="eastAsia"/>
          <w:sz w:val="32"/>
          <w:szCs w:val="32"/>
        </w:rPr>
        <w:t>工作目标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为加快推进“双随机、一公开”监管工作，提高监管的精准性和共享共治效果实施差异化随机抽查，严格坚持依法监管，做到公正、公开、高效、透明。完成年度随机抽查工作计划，实现监管工作常态化，确保抽查检查结果100％公示，将抽查中发现的问题及时处理，高效整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253" w:firstLine="883"/>
        <w:textAlignment w:val="auto"/>
        <w:rPr>
          <w:rFonts w:ascii="黑体" w:eastAsia="黑体" w:cs="黑体" w:hAnsi="黑体"/>
          <w:sz w:val="32"/>
          <w:szCs w:val="32"/>
        </w:rPr>
      </w:pPr>
      <w:r>
        <w:rPr>
          <w:rFonts w:ascii="黑体" w:eastAsia="黑体" w:cs="黑体" w:hAnsi="黑体" w:hint="eastAsia"/>
          <w:sz w:val="32"/>
          <w:szCs w:val="32"/>
        </w:rPr>
        <w:t>主要工作任务</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1.合理制定年度工作方案。</w:t>
      </w:r>
      <w:r>
        <w:rPr>
          <w:rFonts w:ascii="仿宋" w:eastAsia="仿宋" w:cs="仿宋" w:hAnsi="仿宋" w:hint="eastAsia"/>
          <w:sz w:val="32"/>
          <w:szCs w:val="32"/>
        </w:rPr>
        <w:t>以定向抽查和不定向抽查相结合、自查和联合检查相结合的方式，认真行使行政监管与行政处罚权。合理制定年度工作实施方案确保及时公示抽查结果和处理结果。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2.进一步完善“一单两库”。</w:t>
      </w:r>
      <w:r>
        <w:rPr>
          <w:rFonts w:ascii="仿宋" w:eastAsia="仿宋" w:cs="仿宋" w:hAnsi="仿宋" w:hint="eastAsia"/>
          <w:sz w:val="32"/>
          <w:szCs w:val="32"/>
        </w:rPr>
        <w:t>及时调整监管职责范围内的“一单两库”，执法检查人员名录库由局机关相关科室负责人及具备行政执法资格的执法人员构成，同时邀请相关领域的专业人员参加。列入执法局执法检查人员名录库的人员随机选派参与随机抽查事项检查，专业人员根据所属专业需要，随机选派。执法检查人员名录库根据执法检查人员变动情况，定期更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3.规范抽取检查工作程序。</w:t>
      </w:r>
      <w:r>
        <w:rPr>
          <w:rFonts w:ascii="仿宋" w:eastAsia="仿宋" w:cs="仿宋" w:hAnsi="仿宋" w:hint="eastAsia"/>
          <w:sz w:val="32"/>
          <w:szCs w:val="32"/>
        </w:rPr>
        <w:t>根据年度随机抽查工作计划，科学合理地组织实施抽查检查，抽取的过程要确保公开、公正。对专业性强的检查事项可以委托有资质的结构开展检验检测或依法采用相关机构作出的鉴定结论。需要调整年度抽查计划的，要严格履行相关工作程序，调整后的年度抽查工作计划要及时向社会公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楷体" w:eastAsia="楷体" w:cs="楷体" w:hAnsi="楷体" w:hint="eastAsia"/>
          <w:b/>
          <w:bCs/>
          <w:sz w:val="32"/>
          <w:szCs w:val="32"/>
        </w:rPr>
        <w:t>4.加大宣传、培训力度。</w:t>
      </w:r>
      <w:r>
        <w:rPr>
          <w:rFonts w:ascii="仿宋" w:eastAsia="仿宋" w:cs="仿宋" w:hAnsi="仿宋" w:hint="eastAsia"/>
          <w:sz w:val="32"/>
          <w:szCs w:val="32"/>
        </w:rPr>
        <w:t>开展好随机抽查工作和监管业务以及管理人员的系统使用培训，提高检查人员“双随机、一公开”监管工作能力和水平，强化随机抽查工作标准化、规范化。加大随机抽查的宣传报道，扩大社会群众对双随机抽查监管方式的认知度，形成良好的监管氛围。</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黑体" w:eastAsia="黑体" w:cs="黑体" w:hAnsi="黑体"/>
          <w:kern w:val="2"/>
          <w:sz w:val="32"/>
          <w:szCs w:val="32"/>
        </w:rPr>
      </w:pPr>
      <w:r>
        <w:rPr>
          <w:rFonts w:ascii="黑体" w:eastAsia="黑体" w:cs="黑体" w:hAnsi="黑体" w:hint="eastAsia"/>
          <w:kern w:val="2"/>
          <w:sz w:val="32"/>
          <w:szCs w:val="32"/>
        </w:rPr>
        <w:t>三、基本原则</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kern w:val="2"/>
          <w:sz w:val="32"/>
          <w:szCs w:val="32"/>
        </w:rPr>
      </w:pPr>
      <w:r>
        <w:rPr>
          <w:rFonts w:ascii="楷体" w:eastAsia="楷体" w:cs="楷体" w:hAnsi="楷体" w:hint="eastAsia"/>
          <w:b/>
          <w:bCs/>
          <w:kern w:val="2"/>
          <w:sz w:val="32"/>
          <w:szCs w:val="32"/>
        </w:rPr>
        <w:t>（一）规范监管。</w:t>
      </w:r>
      <w:r>
        <w:rPr>
          <w:rFonts w:ascii="仿宋" w:eastAsia="仿宋" w:cs="仿宋" w:hAnsi="仿宋" w:hint="eastAsia"/>
          <w:kern w:val="2"/>
          <w:sz w:val="32"/>
          <w:szCs w:val="32"/>
        </w:rPr>
        <w:t>严格依据有关法律、法规和规章，规范事中事后监管，确保“</w:t>
      </w:r>
      <w:r>
        <w:rPr>
          <w:rFonts w:ascii="仿宋" w:eastAsia="仿宋" w:cs="仿宋" w:hAnsi="仿宋"/>
          <w:kern w:val="2"/>
          <w:sz w:val="32"/>
          <w:szCs w:val="32"/>
        </w:rPr>
        <w:t>双</w:t>
      </w:r>
      <w:r>
        <w:rPr>
          <w:rFonts w:ascii="仿宋" w:eastAsia="仿宋" w:cs="仿宋" w:hAnsi="仿宋" w:hint="eastAsia"/>
          <w:kern w:val="2"/>
          <w:sz w:val="32"/>
          <w:szCs w:val="32"/>
        </w:rPr>
        <w:t>随机”抽查依法有序进行。</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kern w:val="2"/>
          <w:sz w:val="32"/>
          <w:szCs w:val="32"/>
        </w:rPr>
      </w:pPr>
      <w:r>
        <w:rPr>
          <w:rFonts w:ascii="楷体" w:eastAsia="楷体" w:cs="楷体" w:hAnsi="楷体" w:hint="eastAsia"/>
          <w:b/>
          <w:bCs/>
          <w:kern w:val="2"/>
          <w:sz w:val="32"/>
          <w:szCs w:val="32"/>
        </w:rPr>
        <w:t>（二）公正高效。</w:t>
      </w:r>
      <w:r>
        <w:rPr>
          <w:rFonts w:ascii="仿宋" w:eastAsia="仿宋" w:cs="仿宋" w:hAnsi="仿宋" w:hint="eastAsia"/>
          <w:kern w:val="2"/>
          <w:sz w:val="32"/>
          <w:szCs w:val="32"/>
        </w:rPr>
        <w:t>坚持公正、公平、文明执法，提升监管效能，遏制违规执法，执法腐败现象，减轻市场主体负担，优化市场环境。</w:t>
      </w:r>
    </w:p>
    <w:p>
      <w:pPr>
        <w:pStyle w:val="17"/>
        <w:keepNext w:val="0"/>
        <w:keepLines w:val="0"/>
        <w:pageBreakBefore w:val="0"/>
        <w:widowControl/>
        <w:kinsoku/>
        <w:wordWrap/>
        <w:overflowPunct/>
        <w:topLinePunct w:val="0"/>
        <w:autoSpaceDE/>
        <w:autoSpaceDN/>
        <w:bidi w:val="0"/>
        <w:adjustRightInd/>
        <w:snapToGrid/>
        <w:spacing w:beforeAutospacing="0" w:afterAutospacing="0" w:line="560" w:lineRule="exact"/>
        <w:ind w:firstLineChars="200" w:firstLine="640"/>
        <w:textAlignment w:val="auto"/>
        <w:rPr>
          <w:rFonts w:ascii="仿宋" w:eastAsia="仿宋" w:cs="仿宋" w:hAnsi="仿宋"/>
          <w:kern w:val="2"/>
          <w:sz w:val="32"/>
          <w:szCs w:val="32"/>
        </w:rPr>
      </w:pPr>
      <w:r>
        <w:rPr>
          <w:rFonts w:ascii="楷体" w:eastAsia="楷体" w:cs="楷体" w:hAnsi="楷体" w:hint="eastAsia"/>
          <w:b/>
          <w:bCs/>
          <w:kern w:val="2"/>
          <w:sz w:val="32"/>
          <w:szCs w:val="32"/>
        </w:rPr>
        <w:t>（三）公开透明。</w:t>
      </w:r>
      <w:r>
        <w:rPr>
          <w:rFonts w:ascii="仿宋" w:eastAsia="仿宋" w:cs="仿宋" w:hAnsi="仿宋" w:hint="eastAsia"/>
          <w:kern w:val="2"/>
          <w:sz w:val="32"/>
          <w:szCs w:val="32"/>
        </w:rPr>
        <w:t>公开“</w:t>
      </w:r>
      <w:r>
        <w:rPr>
          <w:rFonts w:ascii="仿宋" w:eastAsia="仿宋" w:cs="仿宋" w:hAnsi="仿宋"/>
          <w:kern w:val="2"/>
          <w:sz w:val="32"/>
          <w:szCs w:val="32"/>
        </w:rPr>
        <w:t>双</w:t>
      </w:r>
      <w:r>
        <w:rPr>
          <w:rFonts w:ascii="仿宋" w:eastAsia="仿宋" w:cs="仿宋" w:hAnsi="仿宋" w:hint="eastAsia"/>
          <w:kern w:val="2"/>
          <w:sz w:val="32"/>
          <w:szCs w:val="32"/>
        </w:rPr>
        <w:t>随机、一公开”各项规定和工作制度，实行阳光执法，接受社会监督。</w:t>
      </w:r>
    </w:p>
    <w:p>
      <w:pPr>
        <w:keepNext w:val="0"/>
        <w:keepLines w:val="0"/>
        <w:pageBreakBefore w:val="0"/>
        <w:widowControl w:val="0"/>
        <w:kinsoku/>
        <w:wordWrap/>
        <w:overflowPunct/>
        <w:topLinePunct w:val="0"/>
        <w:autoSpaceDE/>
        <w:autoSpaceDN/>
        <w:bidi w:val="0"/>
        <w:adjustRightInd/>
        <w:snapToGrid/>
        <w:spacing w:line="560" w:lineRule="exact"/>
        <w:ind w:left="630"/>
        <w:textAlignment w:val="auto"/>
        <w:rPr>
          <w:rFonts w:ascii="黑体" w:eastAsia="黑体" w:cs="黑体" w:hAnsi="黑体"/>
          <w:sz w:val="32"/>
          <w:szCs w:val="32"/>
        </w:rPr>
      </w:pPr>
      <w:r>
        <w:rPr>
          <w:rFonts w:ascii="黑体" w:eastAsia="黑体" w:cs="黑体" w:hAnsi="黑体" w:hint="eastAsia"/>
          <w:sz w:val="32"/>
          <w:szCs w:val="32"/>
        </w:rPr>
        <w:t>四、工作要求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sz w:val="32"/>
          <w:szCs w:val="32"/>
        </w:rPr>
      </w:pPr>
      <w:r>
        <w:rPr>
          <w:rFonts w:ascii="楷体" w:eastAsia="楷体" w:cs="楷体" w:hAnsi="楷体" w:hint="eastAsia"/>
          <w:b/>
          <w:bCs/>
          <w:sz w:val="32"/>
          <w:szCs w:val="32"/>
        </w:rPr>
        <w:t>提高政治站位，加强组织领导。</w:t>
      </w:r>
      <w:r>
        <w:rPr>
          <w:rFonts w:ascii="仿宋" w:eastAsia="仿宋" w:cs="仿宋" w:hAnsi="仿宋" w:hint="eastAsia"/>
          <w:sz w:val="32"/>
          <w:szCs w:val="32"/>
        </w:rPr>
        <w:t>“双随机、一公开”抽查工作，是贯彻落实党中央、国务院关于深化行政体制改革，加快转变政府职能，是避免执法缺位、提高执法覆盖面的有效手段。务必高度认识此项工作，创造性地落实工作部署和要求，充分发挥随机抽查的监管职能作用，打击违法活动，促进企业合法合规经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sz w:val="32"/>
          <w:szCs w:val="32"/>
        </w:rPr>
      </w:pPr>
      <w:r>
        <w:rPr>
          <w:rFonts w:ascii="楷体" w:eastAsia="楷体" w:cs="楷体" w:hAnsi="楷体" w:hint="eastAsia"/>
          <w:b/>
          <w:bCs/>
          <w:sz w:val="32"/>
          <w:szCs w:val="32"/>
        </w:rPr>
        <w:t>认真履行职责，严格落实责任。</w:t>
      </w:r>
      <w:r>
        <w:rPr>
          <w:rFonts w:ascii="仿宋" w:eastAsia="仿宋" w:cs="仿宋" w:hAnsi="仿宋" w:hint="eastAsia"/>
          <w:sz w:val="32"/>
          <w:szCs w:val="32"/>
        </w:rPr>
        <w:t>要进一步增强责任意识，公平公正高效透明地履行事前公开，事中事后监管，严格依法检查，切实履行监管职责。要加强协调配合，确保“双随机、一公开”监管工作依法、有序、扎实推进。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Chars="200" w:firstLine="640"/>
        <w:textAlignment w:val="auto"/>
        <w:rPr>
          <w:rFonts w:ascii="仿宋" w:eastAsia="仿宋" w:cs="仿宋" w:hAnsi="仿宋"/>
          <w:sz w:val="32"/>
          <w:szCs w:val="32"/>
        </w:rPr>
      </w:pPr>
      <w:r>
        <w:rPr>
          <w:rFonts w:ascii="楷体" w:eastAsia="楷体" w:cs="楷体" w:hAnsi="楷体" w:hint="eastAsia"/>
          <w:b/>
          <w:bCs/>
          <w:sz w:val="32"/>
          <w:szCs w:val="32"/>
        </w:rPr>
        <w:t>严格工作实效，提升监管效能。</w:t>
      </w:r>
      <w:r>
        <w:rPr>
          <w:rFonts w:ascii="仿宋" w:eastAsia="仿宋" w:cs="仿宋" w:hAnsi="仿宋" w:hint="eastAsia"/>
          <w:sz w:val="32"/>
          <w:szCs w:val="32"/>
        </w:rPr>
        <w:t>提高检查人员“一专多能”的检查水平和解决实际问题能力，解决平台使用不熟练，报废方案多的问题。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r>
        <w:rPr>
          <w:rFonts w:ascii="仿宋" w:eastAsia="仿宋" w:cs="仿宋" w:hAnsi="仿宋" w:hint="eastAsia"/>
          <w:sz w:val="32"/>
          <w:szCs w:val="32"/>
        </w:rPr>
        <w:t>附件：曲阳县执法局2022年度随机抽查工作计划</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 w:eastAsia="仿宋" w:cs="仿宋" w:hAnsi="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right"/>
        <w:textAlignment w:val="auto"/>
        <w:rPr>
          <w:rFonts w:ascii="仿宋" w:eastAsia="仿宋" w:cs="仿宋" w:hAnsi="仿宋" w:hint="eastAsia"/>
          <w:sz w:val="32"/>
          <w:szCs w:val="32"/>
          <w:lang w:val="en-US" w:eastAsia="zh-CN"/>
        </w:rPr>
      </w:pPr>
      <w:r>
        <w:rPr>
          <w:rFonts w:ascii="仿宋" w:eastAsia="仿宋" w:cs="仿宋" w:hAnsi="仿宋" w:hint="eastAsia"/>
          <w:sz w:val="32"/>
          <w:szCs w:val="32"/>
          <w:lang w:val="en-US" w:eastAsia="zh-CN"/>
        </w:rPr>
        <w:t>曲阳县城市管理综合行政执法局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right"/>
        <w:textAlignment w:val="auto"/>
        <w:rPr>
          <w:rFonts w:ascii="仿宋" w:eastAsia="仿宋" w:cs="仿宋" w:hAnsi="仿宋"/>
          <w:sz w:val="32"/>
          <w:szCs w:val="32"/>
          <w:lang w:val="en-US" w:eastAsia="zh-CN"/>
        </w:rPr>
      </w:pPr>
      <w:r>
        <w:rPr>
          <w:rFonts w:ascii="仿宋" w:eastAsia="仿宋" w:cs="仿宋" w:hAnsi="仿宋" w:hint="eastAsia"/>
          <w:sz w:val="32"/>
          <w:szCs w:val="32"/>
          <w:lang w:val="en-US" w:eastAsia="zh-CN"/>
        </w:rPr>
        <w:t>2022年7月12日</w:t>
      </w:r>
    </w:p>
    <w:sectPr>
      <w:footerReference w:type="default" r:id="rId2"/>
      <w:pgSz w:w="11906" w:h="16838"/>
      <w:pgMar w:top="1440" w:right="1474" w:bottom="1440" w:left="1474" w:header="851" w:footer="992" w:gutter="0"/>
      <w:cols w:num="1" w:space="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76198" cy="139560"/>
              <wp:effectExtent l="0" t="0" r="0" b="0"/>
              <wp:wrapNone/>
              <wp:docPr id="1" name="_x0000_s1026"/>
              <wp:cNvGraphicFramePr>
                <a:graphicFrameLocks noChangeAspect="0"/>
              </wp:cNvGraphicFramePr>
              <a:graphic>
                <a:graphicData uri="http://schemas.microsoft.com/office/word/2010/wordprocessingShape">
                  <wps:wsp>
                    <wps:cNvSpPr/>
                    <wps:spPr>
                      <a:xfrm rot="0">
                        <a:off x="0" y="0"/>
                        <a:ext cx="76198" cy="139560"/>
                      </a:xfrm>
                      <a:prstGeom prst="rect"/>
                      <a:noFill/>
                      <a:ln w="9525" cmpd="sng" cap="flat">
                        <a:noFill/>
                        <a:prstDash val="solid"/>
                        <a:miter/>
                      </a:ln>
                    </wps:spPr>
                    <wps:txbx id="2">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shape type="#_x0000_t202" id="_x0000_s1026 3" o:spid="_x0000_s3" filled="f" stroked="f" style="position:absolute;margin-left:0.0pt;margin-top:0.0pt;width:5.9999084pt;height:10.988999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BA12D5D"/>
    <w:multiLevelType w:val="singleLevel"/>
    <w:tmpl w:val="5BA12D5D"/>
    <w:lvl w:ilvl="0">
      <w:start w:val="1"/>
      <w:numFmt w:val="chineseCounting"/>
      <w:lvlRestart w:val="0"/>
      <w:suff w:val="nothing"/>
      <w:lvlText w:val="%1、"/>
      <w:lvlJc w:val="left"/>
      <w:pPr/>
      <w:rPr>
        <w:rFonts w:hint="eastAsia"/>
      </w:rPr>
    </w:lvl>
  </w:abstractNum>
  <w:abstractNum w:abstractNumId="1">
    <w:nsid w:val="0DA6FCE1"/>
    <w:multiLevelType w:val="singleLevel"/>
    <w:tmpl w:val="0DA6FCE1"/>
    <w:lvl w:ilvl="0">
      <w:start w:val="1"/>
      <w:numFmt w:val="decimal"/>
      <w:lvlRestart w:val="0"/>
      <w:suff w:val="nothing"/>
      <w:lvlText w:val="%1、"/>
      <w:lvlJc w:val="left"/>
      <w:pPr/>
      <w:rPr>
        <w:rFonts w:ascii="楷体" w:hAnsi="楷体" w:eastAsia="楷体" w:cs="楷体" w:hint="default"/>
        <w:b/>
        <w:bCs/>
        <w:sz w:val="32"/>
        <w:szCs w:val="32"/>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1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2"/>
  </w:compat>
  <w:docVars>
    <w:docVar w:name="commondata" w:val="eyJoZGlkIjoiMjFlNmMyMTU1YzkyY2FkMmFkOTkyMWVlNjkwMGZiMTc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7">
    <w:name w:val="Normal (Web)"/>
    <w:basedOn w:val="0"/>
    <w:pPr>
      <w:spacing w:beforeAutospacing="1" w:afterAutospacing="1"/>
      <w:jc w:val="left"/>
    </w:pPr>
    <w:rPr>
      <w:rFonts w:cs="Times New Roman"/>
      <w:kern w:val="0"/>
      <w:sz w:val="24"/>
    </w:rPr>
  </w:style>
  <w:style w:type="character" w:styleId="18">
    <w:name w:val="Strong"/>
    <w:basedOn w:val="10"/>
    <w:rPr>
      <w:b/>
      <w:bCs/>
    </w:rPr>
  </w:style>
  <w:style w:type="character" w:styleId="19">
    <w:name w:val="FollowedHyperlink"/>
    <w:basedOn w:val="10"/>
    <w:rPr>
      <w:color w:val="800080"/>
      <w:u w:val="none"/>
    </w:rPr>
  </w:style>
  <w:style w:type="character" w:styleId="20">
    <w:name w:val="Emphasis"/>
    <w:basedOn w:val="10"/>
    <w:rPr>
      <w:i/>
      <w:iCs/>
    </w:rPr>
  </w:style>
  <w:style w:type="character" w:styleId="21">
    <w:name w:val="Hyperlink"/>
    <w:basedOn w:val="10"/>
    <w:rPr>
      <w:color w:val="0000FF"/>
      <w:u w:val="none"/>
    </w:rPr>
  </w:style>
  <w:style w:type="character" w:customStyle="1" w:styleId="22">
    <w:name w:val="red"/>
    <w:basedOn w:val="10"/>
    <w:rPr>
      <w:color w:val="FF0000"/>
    </w:rPr>
  </w:style>
  <w:style w:type="character" w:customStyle="1" w:styleId="23">
    <w:name w:val="zuoz"/>
    <w:basedOn w:val="10"/>
  </w:style>
  <w:style w:type="character" w:customStyle="1" w:styleId="24">
    <w:name w:val="laiy"/>
    <w:basedOn w:val="10"/>
  </w:style>
  <w:style w:type="character" w:customStyle="1" w:styleId="25">
    <w:name w:val="update"/>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6D291C1-8326-4BB9-B134-73679FDF3E9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3</Pages>
  <Words>0</Words>
  <Characters>1009</Characters>
  <Lines>0</Lines>
  <Paragraphs>35</Paragraphs>
  <CharactersWithSpaces>1346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WPS_1530596691</dc:creator>
  <cp:lastModifiedBy>Administrator</cp:lastModifiedBy>
  <cp:revision>2</cp:revision>
  <cp:lastPrinted>2022-08-26T03:05:12Z</cp:lastPrinted>
  <dcterms:created xsi:type="dcterms:W3CDTF">2022-08-25T01:23:00Z</dcterms:created>
  <dcterms:modified xsi:type="dcterms:W3CDTF">2024-08-27T08:33:45Z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2052-11.1.0.12353</vt:lpwstr>
  </property>
  <property fmtid="{D5CDD505-2E9C-101B-9397-08002B2CF9AE}" pid="3" name="ICV">
    <vt:lpwstr>B8AB5D6F727E4A51802E825EC3053767</vt:lpwstr>
  </property>
</Properties>
</file>