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方正小标宋_GBK"/>
          <w:color w:val="auto"/>
          <w:sz w:val="44"/>
          <w:szCs w:val="44"/>
        </w:rPr>
        <w:t>曲阳县</w:t>
      </w:r>
      <w:r>
        <w:rPr>
          <w:rFonts w:hint="eastAsia" w:ascii="Times New Roman" w:hAnsi="Times New Roman" w:eastAsia="方正小标宋_GBK" w:cs="方正小标宋_GBK"/>
          <w:color w:val="auto"/>
          <w:sz w:val="44"/>
          <w:szCs w:val="44"/>
          <w:lang w:eastAsia="zh-CN"/>
        </w:rPr>
        <w:t>党城乡</w:t>
      </w:r>
      <w:r>
        <w:rPr>
          <w:rFonts w:hint="eastAsia" w:ascii="Times New Roman" w:hAnsi="Times New Roman" w:eastAsia="方正小标宋_GBK" w:cs="方正小标宋_GBK"/>
          <w:color w:val="auto"/>
          <w:sz w:val="44"/>
          <w:szCs w:val="44"/>
        </w:rPr>
        <w:t>人民政府</w:t>
      </w:r>
      <w:r>
        <w:rPr>
          <w:rFonts w:ascii="Times New Roman" w:hAnsi="Times New Roman" w:eastAsia="方正小标宋_GBK" w:cs="Times New Roman"/>
          <w:color w:val="auto"/>
          <w:sz w:val="44"/>
          <w:szCs w:val="44"/>
        </w:rPr>
        <w:t>2019</w:t>
      </w:r>
      <w:r>
        <w:rPr>
          <w:rFonts w:hint="eastAsia" w:ascii="Times New Roman" w:hAnsi="Times New Roman" w:eastAsia="方正小标宋_GBK" w:cs="方正小标宋_GBK"/>
          <w:color w:val="auto"/>
          <w:sz w:val="44"/>
          <w:szCs w:val="44"/>
        </w:rPr>
        <w:t>年部门预算信息公开</w:t>
      </w:r>
    </w:p>
    <w:p>
      <w:pPr>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号）规定，现将曲阳县</w:t>
      </w:r>
      <w:r>
        <w:rPr>
          <w:rFonts w:hint="eastAsia" w:ascii="仿宋" w:hAnsi="仿宋" w:eastAsia="仿宋" w:cs="仿宋"/>
          <w:color w:val="auto"/>
          <w:sz w:val="32"/>
          <w:szCs w:val="32"/>
          <w:lang w:eastAsia="zh-CN"/>
        </w:rPr>
        <w:t>党城乡</w:t>
      </w:r>
      <w:r>
        <w:rPr>
          <w:rFonts w:hint="eastAsia" w:ascii="仿宋" w:hAnsi="仿宋" w:eastAsia="仿宋" w:cs="仿宋"/>
          <w:color w:val="auto"/>
          <w:sz w:val="32"/>
          <w:szCs w:val="32"/>
        </w:rPr>
        <w:t>人民政府</w:t>
      </w:r>
      <w:r>
        <w:rPr>
          <w:rFonts w:ascii="仿宋" w:hAnsi="仿宋" w:eastAsia="仿宋" w:cs="仿宋"/>
          <w:color w:val="auto"/>
          <w:sz w:val="32"/>
          <w:szCs w:val="32"/>
        </w:rPr>
        <w:t>2019</w:t>
      </w:r>
      <w:r>
        <w:rPr>
          <w:rFonts w:hint="eastAsia" w:ascii="仿宋" w:hAnsi="仿宋" w:eastAsia="仿宋" w:cs="仿宋"/>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黑体"/>
          <w:color w:val="auto"/>
          <w:sz w:val="32"/>
          <w:szCs w:val="32"/>
        </w:rPr>
        <w:t>一、部门职责及机构设置情况</w:t>
      </w:r>
    </w:p>
    <w:p>
      <w:pPr>
        <w:pStyle w:val="15"/>
        <w:widowControl/>
        <w:spacing w:line="520" w:lineRule="exact"/>
        <w:ind w:firstLine="643" w:firstLineChars="200"/>
        <w:rPr>
          <w:rFonts w:ascii="仿宋" w:hAnsi="仿宋" w:eastAsia="仿宋" w:cs="Times New Roman"/>
          <w:color w:val="auto"/>
          <w:sz w:val="32"/>
          <w:szCs w:val="32"/>
        </w:rPr>
      </w:pPr>
      <w:r>
        <w:rPr>
          <w:rFonts w:hint="eastAsia" w:ascii="仿宋" w:hAnsi="仿宋" w:eastAsia="仿宋" w:cs="仿宋"/>
          <w:b/>
          <w:bCs/>
          <w:color w:val="auto"/>
          <w:sz w:val="32"/>
          <w:szCs w:val="32"/>
        </w:rPr>
        <w:t>部门职责：</w:t>
      </w:r>
      <w:r>
        <w:rPr>
          <w:rFonts w:hint="eastAsia" w:ascii="仿宋" w:hAnsi="仿宋" w:eastAsia="仿宋" w:cs="仿宋"/>
          <w:color w:val="auto"/>
          <w:sz w:val="32"/>
          <w:szCs w:val="32"/>
        </w:rPr>
        <w:t>根据中共保定市委、保定市人民政府《关于印发</w:t>
      </w:r>
      <w:r>
        <w:rPr>
          <w:rFonts w:ascii="仿宋" w:hAnsi="仿宋" w:eastAsia="仿宋" w:cs="仿宋"/>
          <w:color w:val="auto"/>
          <w:sz w:val="32"/>
          <w:szCs w:val="32"/>
        </w:rPr>
        <w:t xml:space="preserve">&lt; </w:t>
      </w:r>
      <w:r>
        <w:rPr>
          <w:rFonts w:hint="eastAsia" w:ascii="仿宋" w:hAnsi="仿宋" w:eastAsia="仿宋" w:cs="仿宋"/>
          <w:color w:val="auto"/>
          <w:sz w:val="32"/>
          <w:szCs w:val="32"/>
        </w:rPr>
        <w:t>曲阳县机构改革方案</w:t>
      </w:r>
      <w:r>
        <w:rPr>
          <w:rFonts w:ascii="仿宋" w:hAnsi="仿宋" w:eastAsia="仿宋" w:cs="仿宋"/>
          <w:color w:val="auto"/>
          <w:sz w:val="32"/>
          <w:szCs w:val="32"/>
        </w:rPr>
        <w:t>&gt;</w:t>
      </w:r>
      <w:r>
        <w:rPr>
          <w:rFonts w:hint="eastAsia" w:ascii="仿宋" w:hAnsi="仿宋" w:eastAsia="仿宋" w:cs="仿宋"/>
          <w:color w:val="auto"/>
          <w:sz w:val="32"/>
          <w:szCs w:val="32"/>
        </w:rPr>
        <w:t>的通知》（保字【</w:t>
      </w:r>
      <w:r>
        <w:rPr>
          <w:rFonts w:ascii="仿宋" w:hAnsi="仿宋" w:eastAsia="仿宋" w:cs="仿宋"/>
          <w:color w:val="auto"/>
          <w:sz w:val="32"/>
          <w:szCs w:val="32"/>
        </w:rPr>
        <w:t>2002</w:t>
      </w:r>
      <w:r>
        <w:rPr>
          <w:rFonts w:hint="eastAsia" w:ascii="仿宋" w:hAnsi="仿宋" w:eastAsia="仿宋" w:cs="仿宋"/>
          <w:color w:val="auto"/>
          <w:sz w:val="32"/>
          <w:szCs w:val="32"/>
        </w:rPr>
        <w:t>】</w:t>
      </w:r>
      <w:r>
        <w:rPr>
          <w:rFonts w:ascii="仿宋" w:hAnsi="仿宋" w:eastAsia="仿宋" w:cs="仿宋"/>
          <w:color w:val="auto"/>
          <w:sz w:val="32"/>
          <w:szCs w:val="32"/>
        </w:rPr>
        <w:t>43</w:t>
      </w:r>
      <w:r>
        <w:rPr>
          <w:rFonts w:hint="eastAsia" w:ascii="仿宋" w:hAnsi="仿宋" w:eastAsia="仿宋" w:cs="仿宋"/>
          <w:color w:val="auto"/>
          <w:sz w:val="32"/>
          <w:szCs w:val="32"/>
        </w:rPr>
        <w:t>号）和中共曲阳县委、曲阳县人民政府《关于印发</w:t>
      </w:r>
      <w:r>
        <w:rPr>
          <w:rFonts w:ascii="仿宋" w:hAnsi="仿宋" w:eastAsia="仿宋" w:cs="仿宋"/>
          <w:color w:val="auto"/>
          <w:sz w:val="32"/>
          <w:szCs w:val="32"/>
        </w:rPr>
        <w:t>&lt;</w:t>
      </w:r>
      <w:r>
        <w:rPr>
          <w:rFonts w:hint="eastAsia" w:ascii="仿宋" w:hAnsi="仿宋" w:eastAsia="仿宋" w:cs="仿宋"/>
          <w:color w:val="auto"/>
          <w:sz w:val="32"/>
          <w:szCs w:val="32"/>
        </w:rPr>
        <w:t>曲阳县乡镇机构改革方案</w:t>
      </w:r>
      <w:r>
        <w:rPr>
          <w:rFonts w:ascii="仿宋" w:hAnsi="仿宋" w:eastAsia="仿宋" w:cs="仿宋"/>
          <w:color w:val="auto"/>
          <w:sz w:val="32"/>
          <w:szCs w:val="32"/>
        </w:rPr>
        <w:t>&gt;</w:t>
      </w:r>
      <w:r>
        <w:rPr>
          <w:rFonts w:hint="eastAsia" w:ascii="仿宋" w:hAnsi="仿宋" w:eastAsia="仿宋" w:cs="仿宋"/>
          <w:color w:val="auto"/>
          <w:sz w:val="32"/>
          <w:szCs w:val="32"/>
        </w:rPr>
        <w:t>的通知（曲字【</w:t>
      </w:r>
      <w:r>
        <w:rPr>
          <w:rFonts w:ascii="仿宋" w:hAnsi="仿宋" w:eastAsia="仿宋" w:cs="仿宋"/>
          <w:color w:val="auto"/>
          <w:sz w:val="32"/>
          <w:szCs w:val="32"/>
        </w:rPr>
        <w:t>2002</w:t>
      </w:r>
      <w:r>
        <w:rPr>
          <w:rFonts w:hint="eastAsia" w:ascii="仿宋" w:hAnsi="仿宋" w:eastAsia="仿宋" w:cs="仿宋"/>
          <w:color w:val="auto"/>
          <w:sz w:val="32"/>
          <w:szCs w:val="32"/>
        </w:rPr>
        <w:t>】</w:t>
      </w:r>
      <w:r>
        <w:rPr>
          <w:rFonts w:ascii="仿宋" w:hAnsi="仿宋" w:eastAsia="仿宋" w:cs="仿宋"/>
          <w:color w:val="auto"/>
          <w:sz w:val="32"/>
          <w:szCs w:val="32"/>
        </w:rPr>
        <w:t>47</w:t>
      </w:r>
      <w:r>
        <w:rPr>
          <w:rFonts w:hint="eastAsia" w:ascii="仿宋" w:hAnsi="仿宋" w:eastAsia="仿宋" w:cs="仿宋"/>
          <w:color w:val="auto"/>
          <w:sz w:val="32"/>
          <w:szCs w:val="32"/>
        </w:rPr>
        <w:t>号）文件要求，现将</w:t>
      </w:r>
      <w:r>
        <w:rPr>
          <w:rFonts w:hint="eastAsia" w:ascii="仿宋" w:hAnsi="仿宋" w:eastAsia="仿宋" w:cs="仿宋"/>
          <w:color w:val="auto"/>
          <w:sz w:val="32"/>
          <w:szCs w:val="32"/>
          <w:lang w:eastAsia="zh-CN"/>
        </w:rPr>
        <w:t>我乡</w:t>
      </w:r>
      <w:r>
        <w:rPr>
          <w:rFonts w:hint="eastAsia" w:ascii="仿宋" w:hAnsi="仿宋" w:eastAsia="仿宋" w:cs="仿宋"/>
          <w:color w:val="auto"/>
          <w:sz w:val="32"/>
          <w:szCs w:val="32"/>
        </w:rPr>
        <w:t>部门概况说明如下：</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（一）执行本级人民代表大会的决议和上级国家行政机关的决定和命令，发布决定和命令；</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（二）执行本行政区域内经济和社会发展计划，加强公共设施的建设和管理，发展各项服务事业；</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（三）加强水利建设、土地使用管理及环境综合整治，合理利用自然资源，保护改善生活和生态环境；</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（四）依法管理乡财政，执行本级预算；</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（五）管理和发展文化、教育、科学技术、广播、体育、卫生等事业；</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（六）保护全民所有财产和劳动群众集体所有的财产，保护公民私人所有的合法财产，保障公民的人身权利、民主权利和其他权利，保护各种经济组织的合法权益；</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（七）开展社会主义民主与法制教育，管理公安、司法行政工作，加强社会治安综合治理，调解民事纠纷，维护社会秩序；</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（八）推行计划生育，控制人口增长，保护妇女、儿童和老人的合法权益；</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（九）管理民政行政工作，发展社会福利事业，做好社会保障工作，办理兵役事项；</w:t>
      </w:r>
    </w:p>
    <w:p>
      <w:pPr>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（十）办理上级人民政府交办的其他事项。</w:t>
      </w:r>
    </w:p>
    <w:p>
      <w:pPr>
        <w:ind w:firstLine="643" w:firstLineChars="200"/>
        <w:rPr>
          <w:rFonts w:ascii="仿宋" w:hAnsi="仿宋" w:eastAsia="仿宋" w:cs="Times New Roman"/>
          <w:b/>
          <w:bCs/>
          <w:color w:val="auto"/>
          <w:sz w:val="32"/>
          <w:szCs w:val="32"/>
        </w:rPr>
      </w:pPr>
      <w:r>
        <w:rPr>
          <w:rFonts w:hint="eastAsia" w:ascii="仿宋" w:hAnsi="仿宋" w:eastAsia="仿宋" w:cs="仿宋"/>
          <w:b/>
          <w:bCs/>
          <w:color w:val="auto"/>
          <w:sz w:val="32"/>
          <w:szCs w:val="32"/>
        </w:rPr>
        <w:t>机构设置：</w:t>
      </w:r>
    </w:p>
    <w:p>
      <w:pPr>
        <w:jc w:val="center"/>
        <w:outlineLvl w:val="0"/>
        <w:rPr>
          <w:rFonts w:ascii="Times New Roman" w:hAnsi="Times New Roman" w:eastAsia="方正小标宋_GBK" w:cs="Times New Roman"/>
          <w:color w:val="auto"/>
          <w:sz w:val="32"/>
          <w:szCs w:val="32"/>
        </w:rPr>
      </w:pPr>
      <w:r>
        <w:rPr>
          <w:rFonts w:hint="eastAsia" w:ascii="Times New Roman" w:hAnsi="Times New Roman" w:eastAsia="方正小标宋_GBK" w:cs="方正小标宋_GBK"/>
          <w:color w:val="auto"/>
          <w:sz w:val="32"/>
          <w:szCs w:val="32"/>
        </w:rPr>
        <w:t>部门机构设置情况</w:t>
      </w:r>
    </w:p>
    <w:tbl>
      <w:tblPr>
        <w:tblStyle w:val="7"/>
        <w:tblW w:w="99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单位名称</w:t>
            </w:r>
          </w:p>
        </w:tc>
        <w:tc>
          <w:tcPr>
            <w:tcW w:w="1134"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单位性质</w:t>
            </w:r>
          </w:p>
        </w:tc>
        <w:tc>
          <w:tcPr>
            <w:tcW w:w="1276"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单位规格</w:t>
            </w:r>
          </w:p>
        </w:tc>
        <w:tc>
          <w:tcPr>
            <w:tcW w:w="3153"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rPr>
            </w:pPr>
          </w:p>
        </w:tc>
        <w:tc>
          <w:tcPr>
            <w:tcW w:w="1134" w:type="dxa"/>
            <w:vMerge w:val="continue"/>
            <w:vAlign w:val="center"/>
          </w:tcPr>
          <w:p>
            <w:pPr>
              <w:spacing w:line="300" w:lineRule="exact"/>
              <w:jc w:val="left"/>
              <w:outlineLvl w:val="0"/>
              <w:rPr>
                <w:rFonts w:ascii="Times New Roman" w:hAnsi="Times New Roman" w:cs="Times New Roman"/>
                <w:color w:val="auto"/>
              </w:rPr>
            </w:pPr>
          </w:p>
        </w:tc>
        <w:tc>
          <w:tcPr>
            <w:tcW w:w="1276" w:type="dxa"/>
            <w:vMerge w:val="continue"/>
            <w:vAlign w:val="center"/>
          </w:tcPr>
          <w:p>
            <w:pPr>
              <w:spacing w:line="300" w:lineRule="exact"/>
              <w:jc w:val="left"/>
              <w:outlineLvl w:val="0"/>
              <w:rPr>
                <w:rFonts w:ascii="Times New Roman" w:hAnsi="Times New Roman" w:cs="Times New Roman"/>
                <w:color w:val="auto"/>
              </w:rPr>
            </w:pPr>
          </w:p>
        </w:tc>
        <w:tc>
          <w:tcPr>
            <w:tcW w:w="3153" w:type="dxa"/>
            <w:vMerge w:val="continue"/>
            <w:vAlign w:val="center"/>
          </w:tcPr>
          <w:p>
            <w:pPr>
              <w:spacing w:line="300" w:lineRule="exact"/>
              <w:jc w:val="left"/>
              <w:outlineLvl w:val="0"/>
              <w:rPr>
                <w:rFonts w:ascii="Times New Roman" w:hAnsi="Times New Roman"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lang w:eastAsia="zh-CN"/>
              </w:rPr>
              <w:t>党城乡</w:t>
            </w:r>
            <w:r>
              <w:rPr>
                <w:rFonts w:hint="eastAsia" w:ascii="宋体" w:hAnsi="宋体" w:cs="宋体"/>
                <w:color w:val="auto"/>
                <w:kern w:val="0"/>
                <w:sz w:val="24"/>
                <w:szCs w:val="24"/>
              </w:rPr>
              <w:t>人大</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正科级</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lang w:eastAsia="zh-CN"/>
              </w:rPr>
              <w:t>党城乡</w:t>
            </w:r>
            <w:r>
              <w:rPr>
                <w:rFonts w:hint="eastAsia" w:ascii="宋体" w:hAnsi="宋体" w:cs="宋体"/>
                <w:color w:val="auto"/>
                <w:kern w:val="0"/>
                <w:sz w:val="24"/>
                <w:szCs w:val="24"/>
              </w:rPr>
              <w:t>政府</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正科级</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lang w:eastAsia="zh-CN"/>
              </w:rPr>
              <w:t>党城乡</w:t>
            </w:r>
            <w:r>
              <w:rPr>
                <w:rFonts w:hint="eastAsia" w:ascii="宋体" w:hAnsi="宋体" w:cs="宋体"/>
                <w:color w:val="auto"/>
                <w:kern w:val="0"/>
                <w:sz w:val="24"/>
                <w:szCs w:val="24"/>
              </w:rPr>
              <w:t>党委</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正科级</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lang w:eastAsia="zh-CN"/>
              </w:rPr>
              <w:t>党城乡</w:t>
            </w:r>
            <w:r>
              <w:rPr>
                <w:rFonts w:hint="eastAsia" w:ascii="宋体" w:hAnsi="宋体" w:cs="宋体"/>
                <w:color w:val="auto"/>
                <w:kern w:val="0"/>
                <w:sz w:val="24"/>
                <w:szCs w:val="24"/>
              </w:rPr>
              <w:t>社会事务管理</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股级</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lang w:eastAsia="zh-CN"/>
              </w:rPr>
              <w:t>党城乡</w:t>
            </w:r>
            <w:r>
              <w:rPr>
                <w:rFonts w:hint="eastAsia" w:ascii="宋体" w:hAnsi="宋体" w:cs="宋体"/>
                <w:color w:val="auto"/>
                <w:kern w:val="0"/>
                <w:sz w:val="24"/>
                <w:szCs w:val="24"/>
              </w:rPr>
              <w:t>企业管理</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其他</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方正书宋_GBK" w:eastAsia="方正书宋_GBK" w:cs="Times New Roman"/>
                <w:color w:val="auto"/>
              </w:rPr>
            </w:pPr>
            <w:r>
              <w:rPr>
                <w:rFonts w:hint="eastAsia" w:ascii="宋体" w:hAnsi="宋体" w:cs="宋体"/>
                <w:color w:val="auto"/>
                <w:kern w:val="0"/>
                <w:sz w:val="24"/>
                <w:szCs w:val="24"/>
                <w:lang w:eastAsia="zh-CN"/>
              </w:rPr>
              <w:t>党城乡</w:t>
            </w:r>
            <w:r>
              <w:rPr>
                <w:rFonts w:hint="eastAsia" w:ascii="宋体" w:hAnsi="宋体" w:cs="宋体"/>
                <w:color w:val="auto"/>
                <w:kern w:val="0"/>
                <w:sz w:val="24"/>
                <w:szCs w:val="24"/>
              </w:rPr>
              <w:t>财政</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股级</w:t>
            </w:r>
          </w:p>
        </w:tc>
        <w:tc>
          <w:tcPr>
            <w:tcW w:w="3153" w:type="dxa"/>
          </w:tcPr>
          <w:p>
            <w:pPr>
              <w:widowControl/>
              <w:jc w:val="center"/>
              <w:rPr>
                <w:rFonts w:ascii="方正书宋_GBK" w:eastAsia="方正书宋_GBK" w:cs="Times New Roman"/>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党城乡计生</w:t>
            </w:r>
          </w:p>
        </w:tc>
        <w:tc>
          <w:tcPr>
            <w:tcW w:w="1134" w:type="dxa"/>
            <w:vAlign w:val="top"/>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事业</w:t>
            </w:r>
          </w:p>
        </w:tc>
        <w:tc>
          <w:tcPr>
            <w:tcW w:w="1276" w:type="dxa"/>
            <w:vAlign w:val="top"/>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股级</w:t>
            </w:r>
          </w:p>
        </w:tc>
        <w:tc>
          <w:tcPr>
            <w:tcW w:w="3153" w:type="dxa"/>
            <w:vAlign w:val="top"/>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财政性资金基本保证</w:t>
            </w:r>
          </w:p>
        </w:tc>
      </w:tr>
    </w:tbl>
    <w:p>
      <w:pPr>
        <w:rPr>
          <w:rFonts w:cs="Times New Roman"/>
          <w:color w:val="auto"/>
        </w:rPr>
      </w:pPr>
    </w:p>
    <w:p>
      <w:pPr>
        <w:ind w:firstLine="640"/>
        <w:rPr>
          <w:rFonts w:ascii="黑体" w:hAnsi="黑体" w:eastAsia="黑体" w:cs="Times New Roman"/>
          <w:color w:val="auto"/>
          <w:sz w:val="32"/>
          <w:szCs w:val="32"/>
        </w:rPr>
      </w:pPr>
      <w:r>
        <w:rPr>
          <w:rFonts w:hint="eastAsia" w:ascii="黑体" w:hAnsi="黑体" w:eastAsia="黑体" w:cs="黑体"/>
          <w:color w:val="auto"/>
          <w:sz w:val="32"/>
          <w:szCs w:val="32"/>
        </w:rPr>
        <w:t>二、部门预算安排的总体情况</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按照预算管理有关规定，目前</w:t>
      </w:r>
      <w:r>
        <w:rPr>
          <w:rFonts w:hint="eastAsia" w:ascii="Times New Roman" w:hAnsi="Times New Roman" w:eastAsia="仿宋" w:cs="仿宋"/>
          <w:color w:val="auto"/>
          <w:sz w:val="32"/>
          <w:szCs w:val="32"/>
          <w:lang w:eastAsia="zh-CN"/>
        </w:rPr>
        <w:t>我乡</w:t>
      </w:r>
      <w:r>
        <w:rPr>
          <w:rFonts w:hint="eastAsia" w:ascii="Times New Roman" w:hAnsi="Times New Roman" w:eastAsia="仿宋" w:cs="仿宋"/>
          <w:color w:val="auto"/>
          <w:sz w:val="32"/>
          <w:szCs w:val="32"/>
        </w:rPr>
        <w:t>部门预算的编制实行综合预算制度，即全部收入和支出都反映在预算中。</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反应本部门当年全部收入。</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年预算收入</w:t>
      </w:r>
      <w:r>
        <w:rPr>
          <w:rFonts w:hint="eastAsia" w:ascii="Times New Roman" w:hAnsi="Times New Roman" w:eastAsia="仿宋" w:cs="Times New Roman"/>
          <w:color w:val="auto"/>
          <w:sz w:val="32"/>
          <w:szCs w:val="32"/>
          <w:lang w:val="en-US" w:eastAsia="zh-CN"/>
        </w:rPr>
        <w:t>593.69</w:t>
      </w:r>
      <w:r>
        <w:rPr>
          <w:rFonts w:hint="eastAsia" w:ascii="Times New Roman" w:hAnsi="Times New Roman" w:eastAsia="仿宋" w:cs="仿宋"/>
          <w:color w:val="auto"/>
          <w:sz w:val="32"/>
          <w:szCs w:val="32"/>
        </w:rPr>
        <w:t>万元，其中：一般公共预算收入</w:t>
      </w:r>
      <w:r>
        <w:rPr>
          <w:rFonts w:hint="eastAsia" w:ascii="Times New Roman" w:hAnsi="Times New Roman" w:eastAsia="仿宋" w:cs="Times New Roman"/>
          <w:color w:val="auto"/>
          <w:sz w:val="32"/>
          <w:szCs w:val="32"/>
          <w:lang w:val="en-US" w:eastAsia="zh-CN"/>
        </w:rPr>
        <w:t>593.69</w:t>
      </w:r>
      <w:r>
        <w:rPr>
          <w:rFonts w:hint="eastAsia" w:ascii="Times New Roman" w:hAnsi="Times New Roman" w:eastAsia="仿宋" w:cs="仿宋"/>
          <w:color w:val="auto"/>
          <w:sz w:val="32"/>
          <w:szCs w:val="32"/>
        </w:rPr>
        <w:t>万元，基金预算收入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万元，财政专户核拨收入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收支预算总表支出栏、基本支出表、项目支出表按经济分类和支出功能分类科目编制，反映</w:t>
      </w:r>
      <w:r>
        <w:rPr>
          <w:rFonts w:hint="eastAsia" w:ascii="Times New Roman" w:hAnsi="Times New Roman" w:eastAsia="仿宋" w:cs="仿宋"/>
          <w:color w:val="auto"/>
          <w:sz w:val="32"/>
          <w:szCs w:val="32"/>
          <w:lang w:eastAsia="zh-CN"/>
        </w:rPr>
        <w:t>曲阳县党城乡人民政府</w:t>
      </w:r>
      <w:r>
        <w:rPr>
          <w:rFonts w:hint="eastAsia" w:ascii="Times New Roman" w:hAnsi="Times New Roman" w:eastAsia="仿宋" w:cs="仿宋"/>
          <w:color w:val="auto"/>
          <w:sz w:val="32"/>
          <w:szCs w:val="32"/>
        </w:rPr>
        <w:t>年度部门预算中支出预算的总体情况。</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年部门支出预算为</w:t>
      </w:r>
      <w:r>
        <w:rPr>
          <w:rFonts w:hint="eastAsia" w:ascii="Times New Roman" w:hAnsi="Times New Roman" w:eastAsia="仿宋" w:cs="Times New Roman"/>
          <w:color w:val="auto"/>
          <w:sz w:val="32"/>
          <w:szCs w:val="32"/>
          <w:lang w:val="en-US" w:eastAsia="zh-CN"/>
        </w:rPr>
        <w:t>593.69</w:t>
      </w:r>
      <w:r>
        <w:rPr>
          <w:rFonts w:hint="eastAsia" w:ascii="Times New Roman" w:hAnsi="Times New Roman" w:eastAsia="仿宋" w:cs="仿宋"/>
          <w:color w:val="auto"/>
          <w:sz w:val="32"/>
          <w:szCs w:val="32"/>
        </w:rPr>
        <w:t>万元，其中基本支出</w:t>
      </w:r>
      <w:r>
        <w:rPr>
          <w:rFonts w:hint="eastAsia" w:ascii="Times New Roman" w:hAnsi="Times New Roman" w:eastAsia="仿宋" w:cs="Times New Roman"/>
          <w:color w:val="auto"/>
          <w:sz w:val="32"/>
          <w:szCs w:val="32"/>
          <w:lang w:val="en-US" w:eastAsia="zh-CN"/>
        </w:rPr>
        <w:t>318.68</w:t>
      </w:r>
      <w:r>
        <w:rPr>
          <w:rFonts w:hint="eastAsia" w:ascii="Times New Roman" w:hAnsi="Times New Roman" w:eastAsia="仿宋" w:cs="仿宋"/>
          <w:color w:val="auto"/>
          <w:sz w:val="32"/>
          <w:szCs w:val="32"/>
        </w:rPr>
        <w:t>万元，包括人员经费</w:t>
      </w:r>
      <w:r>
        <w:rPr>
          <w:rFonts w:hint="eastAsia" w:ascii="Times New Roman" w:hAnsi="Times New Roman" w:eastAsia="仿宋" w:cs="Times New Roman"/>
          <w:color w:val="auto"/>
          <w:sz w:val="32"/>
          <w:szCs w:val="32"/>
          <w:lang w:val="en-US" w:eastAsia="zh-CN"/>
        </w:rPr>
        <w:t>298.02</w:t>
      </w:r>
      <w:r>
        <w:rPr>
          <w:rFonts w:hint="eastAsia" w:ascii="Times New Roman" w:hAnsi="Times New Roman" w:eastAsia="仿宋" w:cs="仿宋"/>
          <w:color w:val="auto"/>
          <w:sz w:val="32"/>
          <w:szCs w:val="32"/>
        </w:rPr>
        <w:t>万元和日常公用经费</w:t>
      </w:r>
      <w:r>
        <w:rPr>
          <w:rFonts w:hint="eastAsia" w:ascii="Times New Roman" w:hAnsi="Times New Roman" w:eastAsia="仿宋" w:cs="Times New Roman"/>
          <w:color w:val="auto"/>
          <w:sz w:val="32"/>
          <w:szCs w:val="32"/>
          <w:lang w:val="en-US" w:eastAsia="zh-CN"/>
        </w:rPr>
        <w:t>34.66</w:t>
      </w:r>
      <w:r>
        <w:rPr>
          <w:rFonts w:hint="eastAsia" w:ascii="Times New Roman" w:hAnsi="Times New Roman" w:eastAsia="仿宋" w:cs="仿宋"/>
          <w:color w:val="auto"/>
          <w:sz w:val="32"/>
          <w:szCs w:val="32"/>
        </w:rPr>
        <w:t>万元；项目支出</w:t>
      </w:r>
      <w:r>
        <w:rPr>
          <w:rFonts w:hint="eastAsia" w:ascii="Times New Roman" w:hAnsi="Times New Roman" w:eastAsia="仿宋" w:cs="Times New Roman"/>
          <w:color w:val="auto"/>
          <w:sz w:val="32"/>
          <w:szCs w:val="32"/>
          <w:lang w:val="en-US" w:eastAsia="zh-CN"/>
        </w:rPr>
        <w:t>275.01</w:t>
      </w:r>
      <w:r>
        <w:rPr>
          <w:rFonts w:hint="eastAsia" w:ascii="Times New Roman" w:hAnsi="Times New Roman" w:eastAsia="仿宋" w:cs="仿宋"/>
          <w:color w:val="auto"/>
          <w:sz w:val="32"/>
          <w:szCs w:val="32"/>
        </w:rPr>
        <w:t>万元，综合事务管理支出</w:t>
      </w:r>
      <w:r>
        <w:rPr>
          <w:rFonts w:hint="eastAsia" w:ascii="Times New Roman" w:hAnsi="Times New Roman" w:eastAsia="仿宋" w:cs="Times New Roman"/>
          <w:color w:val="auto"/>
          <w:sz w:val="32"/>
          <w:szCs w:val="32"/>
          <w:lang w:val="en-US" w:eastAsia="zh-CN"/>
        </w:rPr>
        <w:t>20.65</w:t>
      </w:r>
      <w:r>
        <w:rPr>
          <w:rFonts w:hint="eastAsia" w:ascii="Times New Roman" w:hAnsi="Times New Roman" w:eastAsia="仿宋" w:cs="仿宋"/>
          <w:color w:val="auto"/>
          <w:sz w:val="32"/>
          <w:szCs w:val="32"/>
        </w:rPr>
        <w:t>万元，农村环境综合整治支出</w:t>
      </w:r>
      <w:r>
        <w:rPr>
          <w:rFonts w:hint="eastAsia" w:ascii="Times New Roman" w:hAnsi="Times New Roman" w:eastAsia="仿宋" w:cs="Times New Roman"/>
          <w:color w:val="auto"/>
          <w:sz w:val="32"/>
          <w:szCs w:val="32"/>
          <w:lang w:val="en-US" w:eastAsia="zh-CN"/>
        </w:rPr>
        <w:t>18</w:t>
      </w:r>
      <w:r>
        <w:rPr>
          <w:rFonts w:hint="eastAsia" w:ascii="Times New Roman" w:hAnsi="Times New Roman" w:eastAsia="仿宋" w:cs="仿宋"/>
          <w:color w:val="auto"/>
          <w:sz w:val="32"/>
          <w:szCs w:val="32"/>
        </w:rPr>
        <w:t>万元，农村农业事务管理支出</w:t>
      </w:r>
      <w:r>
        <w:rPr>
          <w:rFonts w:hint="eastAsia" w:ascii="Times New Roman" w:hAnsi="Times New Roman" w:eastAsia="仿宋" w:cs="Times New Roman"/>
          <w:color w:val="auto"/>
          <w:sz w:val="32"/>
          <w:szCs w:val="32"/>
          <w:lang w:val="en-US" w:eastAsia="zh-CN"/>
        </w:rPr>
        <w:t>236.36</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、比上年增减情况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年，部门预算收支安排</w:t>
      </w:r>
      <w:r>
        <w:rPr>
          <w:rFonts w:hint="eastAsia" w:ascii="Times New Roman" w:hAnsi="Times New Roman" w:eastAsia="仿宋" w:cs="Times New Roman"/>
          <w:color w:val="auto"/>
          <w:sz w:val="32"/>
          <w:szCs w:val="32"/>
          <w:lang w:val="en-US" w:eastAsia="zh-CN"/>
        </w:rPr>
        <w:t>593.69</w:t>
      </w:r>
      <w:r>
        <w:rPr>
          <w:rFonts w:hint="eastAsia" w:ascii="Times New Roman" w:hAnsi="Times New Roman" w:eastAsia="仿宋" w:cs="仿宋"/>
          <w:color w:val="auto"/>
          <w:sz w:val="32"/>
          <w:szCs w:val="32"/>
        </w:rPr>
        <w:t>万元，较</w:t>
      </w:r>
      <w:r>
        <w:rPr>
          <w:rFonts w:ascii="Times New Roman" w:hAnsi="Times New Roman" w:eastAsia="仿宋" w:cs="Times New Roman"/>
          <w:color w:val="auto"/>
          <w:sz w:val="32"/>
          <w:szCs w:val="32"/>
        </w:rPr>
        <w:t>2018</w:t>
      </w:r>
      <w:r>
        <w:rPr>
          <w:rFonts w:hint="eastAsia" w:ascii="Times New Roman" w:hAnsi="Times New Roman" w:eastAsia="仿宋" w:cs="仿宋"/>
          <w:color w:val="auto"/>
          <w:sz w:val="32"/>
          <w:szCs w:val="32"/>
        </w:rPr>
        <w:t>年增长</w:t>
      </w:r>
      <w:r>
        <w:rPr>
          <w:rFonts w:hint="eastAsia" w:ascii="Times New Roman" w:hAnsi="Times New Roman" w:eastAsia="仿宋" w:cs="Times New Roman"/>
          <w:color w:val="auto"/>
          <w:sz w:val="32"/>
          <w:szCs w:val="32"/>
          <w:lang w:val="en-US" w:eastAsia="zh-CN"/>
        </w:rPr>
        <w:t>121.1</w:t>
      </w:r>
      <w:r>
        <w:rPr>
          <w:rFonts w:hint="eastAsia" w:ascii="Times New Roman" w:hAnsi="Times New Roman" w:eastAsia="仿宋" w:cs="仿宋"/>
          <w:color w:val="auto"/>
          <w:sz w:val="32"/>
          <w:szCs w:val="32"/>
        </w:rPr>
        <w:t>万元，其中：基本支出增加</w:t>
      </w:r>
      <w:r>
        <w:rPr>
          <w:rFonts w:hint="eastAsia" w:ascii="Times New Roman" w:hAnsi="Times New Roman" w:eastAsia="仿宋" w:cs="Times New Roman"/>
          <w:color w:val="auto"/>
          <w:sz w:val="32"/>
          <w:szCs w:val="32"/>
          <w:lang w:val="en-US" w:eastAsia="zh-CN"/>
        </w:rPr>
        <w:t>1.31</w:t>
      </w:r>
      <w:r>
        <w:rPr>
          <w:rFonts w:hint="eastAsia" w:ascii="Times New Roman" w:hAnsi="Times New Roman" w:eastAsia="仿宋" w:cs="仿宋"/>
          <w:color w:val="auto"/>
          <w:sz w:val="32"/>
          <w:szCs w:val="32"/>
        </w:rPr>
        <w:t>万元，主要是增加人员经费；项目支出增长</w:t>
      </w:r>
      <w:r>
        <w:rPr>
          <w:rFonts w:hint="eastAsia" w:ascii="Times New Roman" w:hAnsi="Times New Roman" w:eastAsia="仿宋" w:cs="Times New Roman"/>
          <w:color w:val="auto"/>
          <w:sz w:val="32"/>
          <w:szCs w:val="32"/>
          <w:lang w:val="en-US" w:eastAsia="zh-CN"/>
        </w:rPr>
        <w:t>119.79</w:t>
      </w:r>
      <w:r>
        <w:rPr>
          <w:rFonts w:hint="eastAsia" w:ascii="Times New Roman" w:hAnsi="Times New Roman" w:eastAsia="仿宋" w:cs="仿宋"/>
          <w:color w:val="auto"/>
          <w:sz w:val="32"/>
          <w:szCs w:val="32"/>
        </w:rPr>
        <w:t>万元，主要是由于增加了人大活动经费，村党组织活动经费，自然生态保护及林业生态建设等经费。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年，我部门机关运行经费共计安排</w:t>
      </w:r>
      <w:r>
        <w:rPr>
          <w:rFonts w:hint="eastAsia" w:ascii="Times New Roman" w:hAnsi="Times New Roman" w:eastAsia="仿宋" w:cs="Times New Roman"/>
          <w:color w:val="auto"/>
          <w:sz w:val="32"/>
          <w:szCs w:val="32"/>
          <w:lang w:val="en-US" w:eastAsia="zh-CN"/>
        </w:rPr>
        <w:t>34.66</w:t>
      </w:r>
      <w:r>
        <w:rPr>
          <w:rFonts w:hint="eastAsia" w:ascii="Times New Roman" w:hAnsi="Times New Roman" w:eastAsia="仿宋" w:cs="仿宋"/>
          <w:color w:val="auto"/>
          <w:sz w:val="32"/>
          <w:szCs w:val="32"/>
        </w:rPr>
        <w:t>万元，主要用于保证机关正常运转的办公及印刷费、邮电费、差旅费、福利费、办公用房水电费、办公用房取暖费、其他交通费、公务车运行维护费等支出。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w:t>
      </w:r>
      <w:r>
        <w:rPr>
          <w:rFonts w:hint="eastAsia" w:ascii="Times New Roman" w:hAnsi="Times New Roman" w:eastAsia="仿宋" w:cs="仿宋"/>
          <w:color w:val="auto"/>
          <w:sz w:val="32"/>
          <w:szCs w:val="32"/>
          <w:lang w:eastAsia="zh-CN"/>
        </w:rPr>
        <w:t>我乡</w:t>
      </w:r>
      <w:r>
        <w:rPr>
          <w:rFonts w:hint="eastAsia" w:ascii="Times New Roman" w:hAnsi="Times New Roman" w:eastAsia="仿宋" w:cs="仿宋"/>
          <w:color w:val="auto"/>
          <w:sz w:val="32"/>
          <w:szCs w:val="32"/>
        </w:rPr>
        <w:t>财政拨款“三公”经费预算安排</w:t>
      </w:r>
      <w:r>
        <w:rPr>
          <w:rFonts w:ascii="Times New Roman" w:hAnsi="Times New Roman" w:eastAsia="仿宋" w:cs="Times New Roman"/>
          <w:color w:val="auto"/>
          <w:sz w:val="32"/>
          <w:szCs w:val="32"/>
        </w:rPr>
        <w:t>2.4</w:t>
      </w:r>
      <w:r>
        <w:rPr>
          <w:rFonts w:hint="eastAsia" w:ascii="Times New Roman" w:hAnsi="Times New Roman" w:eastAsia="仿宋" w:cs="仿宋"/>
          <w:color w:val="auto"/>
          <w:sz w:val="32"/>
          <w:szCs w:val="32"/>
        </w:rPr>
        <w:t>万元，其中：因公出国（境）费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万元；公务用车购置及运维费</w:t>
      </w:r>
      <w:r>
        <w:rPr>
          <w:rFonts w:ascii="Times New Roman" w:hAnsi="Times New Roman" w:eastAsia="仿宋" w:cs="Times New Roman"/>
          <w:color w:val="auto"/>
          <w:sz w:val="32"/>
          <w:szCs w:val="32"/>
        </w:rPr>
        <w:t>2.4</w:t>
      </w:r>
      <w:r>
        <w:rPr>
          <w:rFonts w:hint="eastAsia" w:ascii="Times New Roman" w:hAnsi="Times New Roman" w:eastAsia="仿宋" w:cs="仿宋"/>
          <w:color w:val="auto"/>
          <w:sz w:val="32"/>
          <w:szCs w:val="32"/>
        </w:rPr>
        <w:t>万元（其中：公务用车运行维护费</w:t>
      </w:r>
      <w:r>
        <w:rPr>
          <w:rFonts w:ascii="Times New Roman" w:hAnsi="Times New Roman" w:eastAsia="仿宋" w:cs="Times New Roman"/>
          <w:color w:val="auto"/>
          <w:sz w:val="32"/>
          <w:szCs w:val="32"/>
        </w:rPr>
        <w:t>2.4</w:t>
      </w:r>
      <w:r>
        <w:rPr>
          <w:rFonts w:hint="eastAsia" w:ascii="Times New Roman" w:hAnsi="Times New Roman" w:eastAsia="仿宋" w:cs="仿宋"/>
          <w:color w:val="auto"/>
          <w:sz w:val="32"/>
          <w:szCs w:val="32"/>
        </w:rPr>
        <w:t>万元，公务用车购置费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；公务接待费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bookmarkStart w:id="0" w:name="_Toc471398463"/>
      <w:r>
        <w:rPr>
          <w:rFonts w:hint="eastAsia" w:ascii="Times New Roman" w:hAnsi="Times New Roman" w:eastAsia="仿宋" w:cs="仿宋"/>
          <w:b/>
          <w:bCs/>
          <w:color w:val="auto"/>
          <w:sz w:val="32"/>
          <w:szCs w:val="32"/>
        </w:rPr>
        <w:t>总体绩效目标：</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2019</w:t>
      </w:r>
      <w:r>
        <w:rPr>
          <w:rFonts w:hint="eastAsia" w:ascii="方正仿宋_GBK" w:eastAsia="方正仿宋_GBK" w:cs="方正仿宋_GBK"/>
          <w:color w:val="auto"/>
          <w:sz w:val="28"/>
          <w:szCs w:val="28"/>
        </w:rPr>
        <w:t>年，</w:t>
      </w:r>
      <w:r>
        <w:rPr>
          <w:rFonts w:hint="eastAsia" w:ascii="方正仿宋_GBK" w:eastAsia="方正仿宋_GBK" w:cs="方正仿宋_GBK"/>
          <w:color w:val="auto"/>
          <w:sz w:val="28"/>
          <w:szCs w:val="28"/>
          <w:lang w:eastAsia="zh-CN"/>
        </w:rPr>
        <w:t>党城乡</w:t>
      </w:r>
      <w:r>
        <w:rPr>
          <w:rFonts w:hint="eastAsia" w:ascii="方正仿宋_GBK" w:eastAsia="方正仿宋_GBK" w:cs="方正仿宋_GBK"/>
          <w:color w:val="auto"/>
          <w:sz w:val="28"/>
          <w:szCs w:val="28"/>
        </w:rPr>
        <w:t>将加强队伍建设，实施农村面貌改造提升行动，推动新农村建设，进一步建立健全农村基层干部的激励保障机制。</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1</w:t>
      </w:r>
      <w:r>
        <w:rPr>
          <w:rFonts w:hint="eastAsia" w:ascii="方正仿宋_GBK" w:eastAsia="方正仿宋_GBK" w:cs="方正仿宋_GBK"/>
          <w:color w:val="auto"/>
          <w:sz w:val="28"/>
          <w:szCs w:val="28"/>
        </w:rPr>
        <w:t>、领导经济建设，推进新农村发展。</w:t>
      </w:r>
      <w:r>
        <w:rPr>
          <w:rFonts w:hint="eastAsia" w:ascii="方正仿宋_GBK" w:eastAsia="方正仿宋_GBK" w:cs="方正仿宋_GBK"/>
          <w:color w:val="auto"/>
          <w:sz w:val="28"/>
          <w:szCs w:val="28"/>
          <w:lang w:eastAsia="zh-CN"/>
        </w:rPr>
        <w:t>制订</w:t>
      </w:r>
      <w:r>
        <w:rPr>
          <w:rFonts w:hint="eastAsia" w:ascii="方正仿宋_GBK" w:eastAsia="方正仿宋_GBK" w:cs="方正仿宋_GBK"/>
          <w:color w:val="auto"/>
          <w:sz w:val="28"/>
          <w:szCs w:val="28"/>
        </w:rPr>
        <w:t>本镇经济和社会发展规划，并组织实施。执行本行政区域内经济和社会发展计划，加强公共设施的建设和管理，发展各项服务事业。</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2</w:t>
      </w:r>
      <w:r>
        <w:rPr>
          <w:rFonts w:hint="eastAsia" w:ascii="方正仿宋_GBK" w:eastAsia="方正仿宋_GBK" w:cs="方正仿宋_GBK"/>
          <w:color w:val="auto"/>
          <w:sz w:val="28"/>
          <w:szCs w:val="28"/>
        </w:rPr>
        <w:t>、加强文明建设，改善农村面貌。社会主义精神文明和民主法制建设，加强农村社会治安综合治理，贯彻执行党和国家的计划生育政策。贯彻</w:t>
      </w:r>
      <w:r>
        <w:rPr>
          <w:rFonts w:hint="eastAsia" w:ascii="方正仿宋_GBK" w:eastAsia="方正仿宋_GBK" w:cs="方正仿宋_GBK"/>
          <w:color w:val="auto"/>
          <w:sz w:val="28"/>
          <w:szCs w:val="28"/>
          <w:lang w:eastAsia="zh-CN"/>
        </w:rPr>
        <w:t>习近平总书记</w:t>
      </w:r>
      <w:r>
        <w:rPr>
          <w:rFonts w:hint="eastAsia" w:ascii="方正仿宋_GBK" w:eastAsia="方正仿宋_GBK"/>
          <w:color w:val="auto"/>
          <w:sz w:val="28"/>
          <w:szCs w:val="28"/>
          <w:lang w:eastAsia="zh-CN"/>
        </w:rPr>
        <w:t>扫黑除恶</w:t>
      </w:r>
      <w:r>
        <w:rPr>
          <w:rFonts w:hint="eastAsia" w:ascii="方正仿宋_GBK" w:eastAsia="方正仿宋_GBK" w:cs="方正仿宋_GBK"/>
          <w:color w:val="auto"/>
          <w:sz w:val="28"/>
          <w:szCs w:val="28"/>
        </w:rPr>
        <w:t>精神，进一步健全</w:t>
      </w:r>
      <w:r>
        <w:rPr>
          <w:rFonts w:hint="eastAsia" w:ascii="方正仿宋_GBK" w:eastAsia="方正仿宋_GBK" w:cs="方正仿宋_GBK"/>
          <w:color w:val="auto"/>
          <w:sz w:val="28"/>
          <w:szCs w:val="28"/>
          <w:lang w:eastAsia="zh-CN"/>
        </w:rPr>
        <w:t>我乡</w:t>
      </w:r>
      <w:r>
        <w:rPr>
          <w:rFonts w:hint="eastAsia" w:ascii="方正仿宋_GBK" w:eastAsia="方正仿宋_GBK" w:cs="方正仿宋_GBK"/>
          <w:color w:val="auto"/>
          <w:sz w:val="28"/>
          <w:szCs w:val="28"/>
        </w:rPr>
        <w:t>社会治安综合治理领导和办事机构，不断加强基层基础建设，贯彻执行党和国家政策。优化农村环境，清理村内街道，建设文明乡村。</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3</w:t>
      </w:r>
      <w:r>
        <w:rPr>
          <w:rFonts w:hint="eastAsia" w:ascii="方正仿宋_GBK" w:eastAsia="方正仿宋_GBK" w:cs="方正仿宋_GBK"/>
          <w:color w:val="auto"/>
          <w:sz w:val="28"/>
          <w:szCs w:val="28"/>
        </w:rPr>
        <w:t>、加强农村农业事务管理，保证补贴发放率。依法管理乡财政，执行本级预算。推进新农村建设，加快建设社会主义新农村。进一步规范村级财务管理，使得</w:t>
      </w:r>
      <w:r>
        <w:rPr>
          <w:rFonts w:ascii="方正仿宋_GBK" w:eastAsia="方正仿宋_GBK"/>
          <w:color w:val="auto"/>
          <w:sz w:val="28"/>
          <w:szCs w:val="28"/>
        </w:rPr>
        <w:t>“</w:t>
      </w:r>
      <w:r>
        <w:rPr>
          <w:rFonts w:hint="eastAsia" w:ascii="方正仿宋_GBK" w:eastAsia="方正仿宋_GBK" w:cs="方正仿宋_GBK"/>
          <w:color w:val="auto"/>
          <w:sz w:val="28"/>
          <w:szCs w:val="28"/>
        </w:rPr>
        <w:t>村财乡管</w:t>
      </w:r>
      <w:r>
        <w:rPr>
          <w:rFonts w:ascii="方正仿宋_GBK" w:eastAsia="方正仿宋_GBK"/>
          <w:color w:val="auto"/>
          <w:sz w:val="28"/>
          <w:szCs w:val="28"/>
        </w:rPr>
        <w:t>”</w:t>
      </w:r>
      <w:r>
        <w:rPr>
          <w:rFonts w:hint="eastAsia" w:ascii="方正仿宋_GBK" w:eastAsia="方正仿宋_GBK" w:cs="方正仿宋_GBK"/>
          <w:color w:val="auto"/>
          <w:sz w:val="28"/>
          <w:szCs w:val="28"/>
        </w:rPr>
        <w:t>完成率达标。</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4</w:t>
      </w:r>
      <w:r>
        <w:rPr>
          <w:rFonts w:hint="eastAsia" w:ascii="方正仿宋_GBK" w:eastAsia="方正仿宋_GBK" w:cs="方正仿宋_GBK"/>
          <w:color w:val="auto"/>
          <w:sz w:val="28"/>
          <w:szCs w:val="28"/>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ascii="方正仿宋_GBK" w:eastAsia="方正仿宋_GBK" w:cs="方正仿宋_GBK"/>
          <w:color w:val="auto"/>
          <w:sz w:val="28"/>
          <w:szCs w:val="28"/>
        </w:rPr>
      </w:pPr>
      <w:r>
        <w:rPr>
          <w:rFonts w:hint="eastAsia" w:ascii="方正仿宋_GBK" w:eastAsia="方正仿宋_GBK" w:cs="方正仿宋_GBK"/>
          <w:color w:val="auto"/>
          <w:sz w:val="28"/>
          <w:szCs w:val="28"/>
          <w:lang w:val="en-US" w:eastAsia="zh-CN"/>
        </w:rPr>
        <w:t>5</w:t>
      </w:r>
      <w:r>
        <w:rPr>
          <w:rFonts w:hint="eastAsia" w:ascii="方正仿宋_GBK" w:eastAsia="方正仿宋_GBK" w:cs="方正仿宋_GBK"/>
          <w:color w:val="auto"/>
          <w:sz w:val="28"/>
          <w:szCs w:val="28"/>
        </w:rPr>
        <w:t>、改善生活环境，加大生态保护。加强水利建设、土地使用管理及环境综合整治，合理利用自然资源，宣传绿色理念。做好防火工作，防治大气污染。携手各村，植树造林，净化空气。</w:t>
      </w:r>
      <w:r>
        <w:rPr>
          <w:rFonts w:ascii="方正仿宋_GBK" w:eastAsia="方正仿宋_GBK" w:cs="方正仿宋_GBK"/>
          <w:color w:val="auto"/>
          <w:sz w:val="28"/>
          <w:szCs w:val="28"/>
        </w:rPr>
        <w:t xml:space="preserve"> </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6</w:t>
      </w:r>
      <w:r>
        <w:rPr>
          <w:rFonts w:hint="eastAsia" w:ascii="方正仿宋_GBK" w:eastAsia="方正仿宋_GBK" w:cs="方正仿宋_GBK"/>
          <w:color w:val="auto"/>
          <w:sz w:val="28"/>
          <w:szCs w:val="28"/>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7</w:t>
      </w:r>
      <w:r>
        <w:rPr>
          <w:rFonts w:hint="eastAsia" w:ascii="方正仿宋_GBK" w:eastAsia="方正仿宋_GBK" w:cs="方正仿宋_GBK"/>
          <w:color w:val="auto"/>
          <w:sz w:val="28"/>
          <w:szCs w:val="28"/>
        </w:rPr>
        <w:t>、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8</w:t>
      </w:r>
      <w:r>
        <w:rPr>
          <w:rFonts w:hint="eastAsia" w:ascii="方正仿宋_GBK" w:eastAsia="方正仿宋_GBK" w:cs="方正仿宋_GBK"/>
          <w:color w:val="auto"/>
          <w:sz w:val="28"/>
          <w:szCs w:val="28"/>
        </w:rPr>
        <w:t>、促进征兵工作，加强国防力量。完成上级交给的征兵工作任务，严格把关，做好满十八岁青少年兵役登记工作，做好征兵工作再宣传，使得国家政策得到很好再宣传。张贴征兵标语，加大宣传力度。把高品质，高素质，高学历的兵员，送到部队。</w:t>
      </w:r>
    </w:p>
    <w:p>
      <w:pPr>
        <w:autoSpaceDE w:val="0"/>
        <w:autoSpaceDN w:val="0"/>
        <w:adjustRightInd w:val="0"/>
        <w:jc w:val="left"/>
        <w:rPr>
          <w:rFonts w:ascii="Times New Roman" w:hAnsi="Times New Roman" w:eastAsia="仿宋" w:cs="Times New Roman"/>
          <w:b/>
          <w:bCs/>
          <w:color w:val="auto"/>
          <w:sz w:val="32"/>
          <w:szCs w:val="32"/>
        </w:rPr>
      </w:pPr>
      <w:r>
        <w:rPr>
          <w:rFonts w:hint="eastAsia" w:ascii="Times New Roman" w:hAnsi="Times New Roman" w:eastAsia="仿宋" w:cs="仿宋"/>
          <w:b/>
          <w:bCs/>
          <w:color w:val="auto"/>
          <w:sz w:val="32"/>
          <w:szCs w:val="32"/>
          <w:lang w:val="en-US" w:eastAsia="zh-CN"/>
        </w:rPr>
        <w:t xml:space="preserve">    </w:t>
      </w:r>
      <w:r>
        <w:rPr>
          <w:rFonts w:hint="eastAsia" w:ascii="Times New Roman" w:hAnsi="Times New Roman" w:eastAsia="仿宋" w:cs="仿宋"/>
          <w:b/>
          <w:bCs/>
          <w:color w:val="auto"/>
          <w:sz w:val="32"/>
          <w:szCs w:val="32"/>
        </w:rPr>
        <w:t>职责分类绩效目标：</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2019</w:t>
      </w:r>
      <w:r>
        <w:rPr>
          <w:rFonts w:hint="eastAsia" w:ascii="方正仿宋_GBK" w:eastAsia="方正仿宋_GBK" w:cs="方正仿宋_GBK"/>
          <w:color w:val="auto"/>
          <w:sz w:val="28"/>
          <w:szCs w:val="28"/>
        </w:rPr>
        <w:t>年，</w:t>
      </w:r>
      <w:r>
        <w:rPr>
          <w:rFonts w:hint="eastAsia" w:ascii="方正仿宋_GBK" w:eastAsia="方正仿宋_GBK" w:cs="方正仿宋_GBK"/>
          <w:color w:val="auto"/>
          <w:sz w:val="28"/>
          <w:szCs w:val="28"/>
          <w:lang w:eastAsia="zh-CN"/>
        </w:rPr>
        <w:t>党城乡</w:t>
      </w:r>
      <w:r>
        <w:rPr>
          <w:rFonts w:hint="eastAsia" w:ascii="方正仿宋_GBK" w:eastAsia="方正仿宋_GBK" w:cs="方正仿宋_GBK"/>
          <w:color w:val="auto"/>
          <w:sz w:val="28"/>
          <w:szCs w:val="28"/>
        </w:rPr>
        <w:t>将加强队伍建设，实施农村面貌改造提升行动，推进新农村建设，进一步建立健全农村基层干部的激励保障机制。</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1、</w:t>
      </w:r>
      <w:r>
        <w:rPr>
          <w:rFonts w:hint="eastAsia" w:ascii="方正仿宋_GBK" w:eastAsia="方正仿宋_GBK" w:cs="方正仿宋_GBK"/>
          <w:color w:val="auto"/>
          <w:sz w:val="28"/>
          <w:szCs w:val="28"/>
        </w:rPr>
        <w:t>推进新农村建设</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通过实施农村面貌改造提升行动和开展新民居中心村示范点建设，加快建设社会主义新农村。改善农村环境面貌，提升农民生产生活条件。其中在选聘</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工资及各项保障机遇，发放率达</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解除</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的后顾之忧，进一步调动</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的工作积极性。同时按时发放</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工资，补贴发放率达到</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足额缴纳各项保险。从而，使得</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的待遇得到保障。</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2、</w:t>
      </w:r>
      <w:r>
        <w:rPr>
          <w:rFonts w:hint="eastAsia" w:ascii="方正仿宋_GBK" w:eastAsia="方正仿宋_GBK" w:cs="方正仿宋_GBK"/>
          <w:color w:val="auto"/>
          <w:sz w:val="28"/>
          <w:szCs w:val="28"/>
        </w:rPr>
        <w:t>加强农村农业事务管理</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w:t>
      </w:r>
      <w:r>
        <w:rPr>
          <w:rFonts w:ascii="方正仿宋_GBK" w:eastAsia="方正仿宋_GBK"/>
          <w:color w:val="auto"/>
          <w:sz w:val="28"/>
          <w:szCs w:val="28"/>
        </w:rPr>
        <w:t>“</w:t>
      </w:r>
      <w:r>
        <w:rPr>
          <w:rFonts w:hint="eastAsia" w:ascii="方正仿宋_GBK" w:eastAsia="方正仿宋_GBK" w:cs="方正仿宋_GBK"/>
          <w:color w:val="auto"/>
          <w:sz w:val="28"/>
          <w:szCs w:val="28"/>
        </w:rPr>
        <w:t>村财乡管</w:t>
      </w:r>
      <w:r>
        <w:rPr>
          <w:rFonts w:ascii="方正仿宋_GBK" w:eastAsia="方正仿宋_GBK"/>
          <w:color w:val="auto"/>
          <w:sz w:val="28"/>
          <w:szCs w:val="28"/>
        </w:rPr>
        <w:t>”</w:t>
      </w:r>
      <w:r>
        <w:rPr>
          <w:rFonts w:hint="eastAsia" w:ascii="方正仿宋_GBK" w:eastAsia="方正仿宋_GBK" w:cs="方正仿宋_GBK"/>
          <w:color w:val="auto"/>
          <w:sz w:val="28"/>
          <w:szCs w:val="28"/>
        </w:rPr>
        <w:t>规范村级财务管理，重视</w:t>
      </w:r>
      <w:r>
        <w:rPr>
          <w:rFonts w:ascii="方正仿宋_GBK" w:eastAsia="方正仿宋_GBK"/>
          <w:color w:val="auto"/>
          <w:sz w:val="28"/>
          <w:szCs w:val="28"/>
        </w:rPr>
        <w:t>“</w:t>
      </w:r>
      <w:r>
        <w:rPr>
          <w:rFonts w:hint="eastAsia" w:ascii="方正仿宋_GBK" w:eastAsia="方正仿宋_GBK" w:cs="方正仿宋_GBK"/>
          <w:color w:val="auto"/>
          <w:sz w:val="28"/>
          <w:szCs w:val="28"/>
        </w:rPr>
        <w:t>村财乡管</w:t>
      </w:r>
      <w:r>
        <w:rPr>
          <w:rFonts w:ascii="方正仿宋_GBK" w:eastAsia="方正仿宋_GBK"/>
          <w:color w:val="auto"/>
          <w:sz w:val="28"/>
          <w:szCs w:val="28"/>
        </w:rPr>
        <w:t>”</w:t>
      </w:r>
      <w:r>
        <w:rPr>
          <w:rFonts w:hint="eastAsia" w:ascii="方正仿宋_GBK" w:eastAsia="方正仿宋_GBK" w:cs="方正仿宋_GBK"/>
          <w:color w:val="auto"/>
          <w:sz w:val="28"/>
          <w:szCs w:val="28"/>
        </w:rPr>
        <w:t>的完成率，扶贫工作完成率大于</w:t>
      </w:r>
      <w:r>
        <w:rPr>
          <w:rFonts w:ascii="方正仿宋_GBK" w:eastAsia="方正仿宋_GBK" w:cs="方正仿宋_GBK"/>
          <w:color w:val="auto"/>
          <w:sz w:val="28"/>
          <w:szCs w:val="28"/>
        </w:rPr>
        <w:t>90%</w:t>
      </w:r>
      <w:r>
        <w:rPr>
          <w:rFonts w:hint="eastAsia" w:ascii="方正仿宋_GBK" w:eastAsia="方正仿宋_GBK" w:cs="方正仿宋_GBK"/>
          <w:color w:val="auto"/>
          <w:sz w:val="28"/>
          <w:szCs w:val="28"/>
        </w:rPr>
        <w:t>，突发农民农村事务矛盾应急处置率大于</w:t>
      </w:r>
      <w:r>
        <w:rPr>
          <w:rFonts w:ascii="方正仿宋_GBK" w:eastAsia="方正仿宋_GBK" w:cs="方正仿宋_GBK"/>
          <w:color w:val="auto"/>
          <w:sz w:val="28"/>
          <w:szCs w:val="28"/>
        </w:rPr>
        <w:t>90%</w:t>
      </w:r>
      <w:r>
        <w:rPr>
          <w:rFonts w:hint="eastAsia" w:ascii="方正仿宋_GBK" w:eastAsia="方正仿宋_GBK" w:cs="方正仿宋_GBK"/>
          <w:color w:val="auto"/>
          <w:sz w:val="28"/>
          <w:szCs w:val="28"/>
        </w:rPr>
        <w:t>，受益对象满意度大于</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。建立和完善在职村干部工资待遇，补贴发放待遇达到</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。进一步调动村干部的工资积极性。建立和完善离任村干部的补贴待遇，做到对离任干部的关怀机制。</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3、</w:t>
      </w:r>
      <w:r>
        <w:rPr>
          <w:rFonts w:hint="eastAsia" w:ascii="方正仿宋_GBK" w:eastAsia="方正仿宋_GBK" w:cs="方正仿宋_GBK"/>
          <w:color w:val="auto"/>
          <w:sz w:val="28"/>
          <w:szCs w:val="28"/>
        </w:rPr>
        <w:t>规范政务管理</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val="en-US" w:eastAsia="zh-CN"/>
        </w:rPr>
        <w:t>4、</w:t>
      </w:r>
      <w:r>
        <w:rPr>
          <w:rFonts w:hint="eastAsia" w:ascii="方正仿宋_GBK" w:eastAsia="方正仿宋_GBK" w:cs="方正仿宋_GBK"/>
          <w:color w:val="auto"/>
          <w:sz w:val="28"/>
          <w:szCs w:val="28"/>
        </w:rPr>
        <w:t>环境污染综合防治</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防止空气污染是一个庞大的系统工程，需要全民齐抓共管，上下一心，才能事半功倍。其中最主要是减轻污染物的排放，而大型锅炉排放物严重影响空气质量，</w:t>
      </w:r>
      <w:r>
        <w:rPr>
          <w:rFonts w:ascii="方正仿宋_GBK" w:eastAsia="方正仿宋_GBK" w:cs="方正仿宋_GBK"/>
          <w:color w:val="auto"/>
          <w:sz w:val="28"/>
          <w:szCs w:val="28"/>
        </w:rPr>
        <w:t>2018</w:t>
      </w:r>
      <w:r>
        <w:rPr>
          <w:rFonts w:hint="eastAsia" w:ascii="方正仿宋_GBK" w:eastAsia="方正仿宋_GBK" w:cs="方正仿宋_GBK"/>
          <w:color w:val="auto"/>
          <w:sz w:val="28"/>
          <w:szCs w:val="28"/>
        </w:rPr>
        <w:t>年</w:t>
      </w:r>
      <w:r>
        <w:rPr>
          <w:rFonts w:hint="eastAsia" w:ascii="方正仿宋_GBK" w:eastAsia="方正仿宋_GBK" w:cs="方正仿宋_GBK"/>
          <w:color w:val="auto"/>
          <w:sz w:val="28"/>
          <w:szCs w:val="28"/>
          <w:lang w:eastAsia="zh-CN"/>
        </w:rPr>
        <w:t>党城乡</w:t>
      </w:r>
      <w:r>
        <w:rPr>
          <w:rFonts w:hint="eastAsia" w:ascii="方正仿宋_GBK" w:eastAsia="方正仿宋_GBK" w:cs="方正仿宋_GBK"/>
          <w:color w:val="auto"/>
          <w:sz w:val="28"/>
          <w:szCs w:val="28"/>
        </w:rPr>
        <w:t>在县委</w:t>
      </w:r>
      <w:r>
        <w:rPr>
          <w:rFonts w:ascii="方正仿宋_GBK" w:eastAsia="方正仿宋_GBK" w:cs="方正仿宋_GBK"/>
          <w:color w:val="auto"/>
          <w:sz w:val="28"/>
          <w:szCs w:val="28"/>
        </w:rPr>
        <w:t>.</w:t>
      </w:r>
      <w:r>
        <w:rPr>
          <w:rFonts w:hint="eastAsia" w:ascii="方正仿宋_GBK" w:eastAsia="方正仿宋_GBK" w:cs="方正仿宋_GBK"/>
          <w:color w:val="auto"/>
          <w:sz w:val="28"/>
          <w:szCs w:val="28"/>
        </w:rPr>
        <w:t>县政府的领导下，狠抓环保治理，取缔散乱污企业。</w:t>
      </w:r>
      <w:r>
        <w:rPr>
          <w:rFonts w:ascii="方正仿宋_GBK" w:eastAsia="方正仿宋_GBK" w:cs="方正仿宋_GBK"/>
          <w:color w:val="auto"/>
          <w:sz w:val="28"/>
          <w:szCs w:val="28"/>
        </w:rPr>
        <w:t>2019</w:t>
      </w:r>
      <w:r>
        <w:rPr>
          <w:rFonts w:hint="eastAsia" w:ascii="方正仿宋_GBK" w:eastAsia="方正仿宋_GBK" w:cs="方正仿宋_GBK"/>
          <w:color w:val="auto"/>
          <w:sz w:val="28"/>
          <w:szCs w:val="28"/>
        </w:rPr>
        <w:t>年将进一步加大燃煤锅炉拆除力度</w:t>
      </w: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w:t>
      </w:r>
      <w:r>
        <w:rPr>
          <w:rFonts w:hint="eastAsia" w:ascii="方正仿宋_GBK" w:eastAsia="方正仿宋_GBK" w:cs="方正仿宋_GBK"/>
          <w:color w:val="auto"/>
          <w:sz w:val="28"/>
          <w:szCs w:val="28"/>
          <w:lang w:eastAsia="zh-CN"/>
        </w:rPr>
        <w:t>全乡</w:t>
      </w:r>
      <w:r>
        <w:rPr>
          <w:rFonts w:ascii="方正仿宋_GBK" w:eastAsia="方正仿宋_GBK" w:cs="方正仿宋_GBK"/>
          <w:color w:val="auto"/>
          <w:sz w:val="28"/>
          <w:szCs w:val="28"/>
        </w:rPr>
        <w:t>3</w:t>
      </w:r>
      <w:r>
        <w:rPr>
          <w:rFonts w:hint="eastAsia" w:ascii="方正仿宋_GBK" w:eastAsia="方正仿宋_GBK" w:cs="方正仿宋_GBK"/>
          <w:color w:val="auto"/>
          <w:sz w:val="28"/>
          <w:szCs w:val="28"/>
          <w:lang w:val="en-US" w:eastAsia="zh-CN"/>
        </w:rPr>
        <w:t>0</w:t>
      </w:r>
      <w:r>
        <w:rPr>
          <w:rFonts w:hint="eastAsia" w:ascii="方正仿宋_GBK" w:eastAsia="方正仿宋_GBK" w:cs="方正仿宋_GBK"/>
          <w:color w:val="auto"/>
          <w:sz w:val="28"/>
          <w:szCs w:val="28"/>
        </w:rPr>
        <w:t>名环保网格员工资得到面落实，使受益群体满意度达到</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。大气污染防治率达到</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。还百姓一个蓝天绿水。</w:t>
      </w:r>
    </w:p>
    <w:p>
      <w:pPr>
        <w:jc w:val="left"/>
        <w:rPr>
          <w:rFonts w:ascii="方正黑体_GBK" w:eastAsia="方正黑体_GBK" w:cs="Times New Roman"/>
          <w:color w:val="auto"/>
          <w:sz w:val="28"/>
          <w:szCs w:val="28"/>
        </w:rPr>
      </w:pPr>
      <w:r>
        <w:rPr>
          <w:rFonts w:ascii="方正黑体_GBK" w:eastAsia="方正黑体_GBK" w:cs="方正黑体_GBK"/>
          <w:color w:val="auto"/>
          <w:sz w:val="28"/>
          <w:szCs w:val="28"/>
        </w:rPr>
        <w:t xml:space="preserve">    </w:t>
      </w:r>
      <w:r>
        <w:rPr>
          <w:rFonts w:hint="eastAsia" w:ascii="方正黑体_GBK" w:eastAsia="方正黑体_GBK" w:cs="方正黑体_GBK"/>
          <w:color w:val="auto"/>
          <w:sz w:val="28"/>
          <w:szCs w:val="28"/>
        </w:rPr>
        <w:t>实现年度发展规划目标的保障措施</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lang w:eastAsia="zh-CN"/>
        </w:rPr>
        <w:t>我乡</w:t>
      </w:r>
      <w:r>
        <w:rPr>
          <w:rFonts w:hint="eastAsia" w:ascii="方正仿宋_GBK" w:eastAsia="方正仿宋_GBK" w:cs="方正仿宋_GBK"/>
          <w:color w:val="auto"/>
          <w:sz w:val="28"/>
          <w:szCs w:val="28"/>
        </w:rPr>
        <w:t>为实现</w:t>
      </w:r>
      <w:r>
        <w:rPr>
          <w:rFonts w:ascii="方正仿宋_GBK" w:eastAsia="方正仿宋_GBK" w:cs="方正仿宋_GBK"/>
          <w:color w:val="auto"/>
          <w:sz w:val="28"/>
          <w:szCs w:val="28"/>
        </w:rPr>
        <w:t>2019</w:t>
      </w:r>
      <w:r>
        <w:rPr>
          <w:rFonts w:hint="eastAsia" w:ascii="方正仿宋_GBK" w:eastAsia="方正仿宋_GBK" w:cs="方正仿宋_GBK"/>
          <w:color w:val="auto"/>
          <w:sz w:val="28"/>
          <w:szCs w:val="28"/>
        </w:rPr>
        <w:t>年发展规划目标，推进</w:t>
      </w:r>
      <w:r>
        <w:rPr>
          <w:rFonts w:hint="eastAsia" w:ascii="方正仿宋_GBK" w:eastAsia="方正仿宋_GBK" w:cs="方正仿宋_GBK"/>
          <w:color w:val="auto"/>
          <w:sz w:val="28"/>
          <w:szCs w:val="28"/>
          <w:lang w:eastAsia="zh-CN"/>
        </w:rPr>
        <w:t>我乡</w:t>
      </w:r>
      <w:r>
        <w:rPr>
          <w:rFonts w:hint="eastAsia" w:ascii="方正仿宋_GBK" w:eastAsia="方正仿宋_GBK" w:cs="方正仿宋_GBK"/>
          <w:color w:val="auto"/>
          <w:sz w:val="28"/>
          <w:szCs w:val="28"/>
        </w:rPr>
        <w:t>的发展，</w:t>
      </w:r>
      <w:r>
        <w:rPr>
          <w:rFonts w:hint="eastAsia" w:ascii="方正仿宋_GBK" w:eastAsia="方正仿宋_GBK" w:cs="方正仿宋_GBK"/>
          <w:color w:val="auto"/>
          <w:sz w:val="28"/>
          <w:szCs w:val="28"/>
          <w:lang w:eastAsia="zh-CN"/>
        </w:rPr>
        <w:t>制订</w:t>
      </w:r>
      <w:r>
        <w:rPr>
          <w:rFonts w:hint="eastAsia" w:ascii="方正仿宋_GBK" w:eastAsia="方正仿宋_GBK" w:cs="方正仿宋_GBK"/>
          <w:color w:val="auto"/>
          <w:sz w:val="28"/>
          <w:szCs w:val="28"/>
        </w:rPr>
        <w:t>如下措施：</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一是在抓班子带队伍上下功夫，在抓好农村</w:t>
      </w:r>
      <w:r>
        <w:rPr>
          <w:rFonts w:ascii="方正仿宋_GBK" w:eastAsia="方正仿宋_GBK"/>
          <w:color w:val="auto"/>
          <w:sz w:val="28"/>
          <w:szCs w:val="28"/>
        </w:rPr>
        <w:t>“</w:t>
      </w:r>
      <w:r>
        <w:rPr>
          <w:rFonts w:hint="eastAsia" w:ascii="方正仿宋_GBK" w:eastAsia="方正仿宋_GBK" w:cs="方正仿宋_GBK"/>
          <w:color w:val="auto"/>
          <w:sz w:val="28"/>
          <w:szCs w:val="28"/>
        </w:rPr>
        <w:t>两委</w:t>
      </w:r>
      <w:r>
        <w:rPr>
          <w:rFonts w:ascii="方正仿宋_GBK" w:eastAsia="方正仿宋_GBK"/>
          <w:color w:val="auto"/>
          <w:sz w:val="28"/>
          <w:szCs w:val="28"/>
        </w:rPr>
        <w:t>”</w:t>
      </w:r>
      <w:r>
        <w:rPr>
          <w:rFonts w:hint="eastAsia" w:ascii="方正仿宋_GBK" w:eastAsia="方正仿宋_GBK" w:cs="方正仿宋_GBK"/>
          <w:color w:val="auto"/>
          <w:sz w:val="28"/>
          <w:szCs w:val="28"/>
        </w:rPr>
        <w:t>换届工作基础上，健全村</w:t>
      </w:r>
      <w:r>
        <w:rPr>
          <w:rFonts w:ascii="方正仿宋_GBK" w:eastAsia="方正仿宋_GBK"/>
          <w:color w:val="auto"/>
          <w:sz w:val="28"/>
          <w:szCs w:val="28"/>
        </w:rPr>
        <w:t>“</w:t>
      </w:r>
      <w:r>
        <w:rPr>
          <w:rFonts w:hint="eastAsia" w:ascii="方正仿宋_GBK" w:eastAsia="方正仿宋_GBK" w:cs="方正仿宋_GBK"/>
          <w:color w:val="auto"/>
          <w:sz w:val="28"/>
          <w:szCs w:val="28"/>
        </w:rPr>
        <w:t>两委</w:t>
      </w:r>
      <w:r>
        <w:rPr>
          <w:rFonts w:ascii="方正仿宋_GBK" w:eastAsia="方正仿宋_GBK"/>
          <w:color w:val="auto"/>
          <w:sz w:val="28"/>
          <w:szCs w:val="28"/>
        </w:rPr>
        <w:t>”</w:t>
      </w:r>
      <w:r>
        <w:rPr>
          <w:rFonts w:hint="eastAsia" w:ascii="方正仿宋_GBK" w:eastAsia="方正仿宋_GBK" w:cs="方正仿宋_GBK"/>
          <w:color w:val="auto"/>
          <w:sz w:val="28"/>
          <w:szCs w:val="28"/>
        </w:rPr>
        <w:t>班子及各种组织，加强新任村干部的培训教育，建立健全各项规章制度，全面提升农村</w:t>
      </w:r>
      <w:r>
        <w:rPr>
          <w:rFonts w:ascii="方正仿宋_GBK" w:eastAsia="方正仿宋_GBK"/>
          <w:color w:val="auto"/>
          <w:sz w:val="28"/>
          <w:szCs w:val="28"/>
        </w:rPr>
        <w:t>“</w:t>
      </w:r>
      <w:r>
        <w:rPr>
          <w:rFonts w:hint="eastAsia" w:ascii="方正仿宋_GBK" w:eastAsia="方正仿宋_GBK" w:cs="方正仿宋_GBK"/>
          <w:color w:val="auto"/>
          <w:sz w:val="28"/>
          <w:szCs w:val="28"/>
        </w:rPr>
        <w:t>两委</w:t>
      </w:r>
      <w:r>
        <w:rPr>
          <w:rFonts w:ascii="方正仿宋_GBK" w:eastAsia="方正仿宋_GBK"/>
          <w:color w:val="auto"/>
          <w:sz w:val="28"/>
          <w:szCs w:val="28"/>
        </w:rPr>
        <w:t>”</w:t>
      </w:r>
      <w:r>
        <w:rPr>
          <w:rFonts w:hint="eastAsia" w:ascii="方正仿宋_GBK" w:eastAsia="方正仿宋_GBK" w:cs="方正仿宋_GBK"/>
          <w:color w:val="auto"/>
          <w:sz w:val="28"/>
          <w:szCs w:val="28"/>
        </w:rPr>
        <w:t>班子工作水平，增强基层堡垒战斗力。</w:t>
      </w:r>
    </w:p>
    <w:p>
      <w:pPr>
        <w:spacing w:line="500" w:lineRule="exact"/>
        <w:ind w:firstLine="560"/>
        <w:rPr>
          <w:rFonts w:ascii="方正仿宋_GBK" w:eastAsia="方正仿宋_GBK" w:cs="方正仿宋_GBK"/>
          <w:color w:val="auto"/>
          <w:sz w:val="28"/>
          <w:szCs w:val="28"/>
        </w:rPr>
      </w:pPr>
      <w:r>
        <w:rPr>
          <w:rFonts w:hint="eastAsia" w:ascii="方正仿宋_GBK" w:eastAsia="方正仿宋_GBK" w:cs="方正仿宋_GBK"/>
          <w:color w:val="auto"/>
          <w:sz w:val="28"/>
          <w:szCs w:val="28"/>
        </w:rPr>
        <w:t>二是在生态环境治理上见实效。坚定</w:t>
      </w:r>
      <w:r>
        <w:rPr>
          <w:rFonts w:hint="eastAsia" w:ascii="方正仿宋_GBK" w:eastAsia="方正仿宋_GBK" w:cs="方正仿宋_GBK"/>
          <w:color w:val="auto"/>
          <w:sz w:val="28"/>
          <w:szCs w:val="28"/>
          <w:lang w:eastAsia="zh-CN"/>
        </w:rPr>
        <w:t>绿水青山就是金山银山</w:t>
      </w:r>
      <w:r>
        <w:rPr>
          <w:rFonts w:hint="eastAsia" w:ascii="方正仿宋_GBK" w:eastAsia="方正仿宋_GBK" w:cs="方正仿宋_GBK"/>
          <w:color w:val="auto"/>
          <w:sz w:val="28"/>
          <w:szCs w:val="28"/>
        </w:rPr>
        <w:t>的执政理念，坚持</w:t>
      </w:r>
      <w:r>
        <w:rPr>
          <w:rFonts w:hint="eastAsia" w:ascii="方正仿宋_GBK" w:eastAsia="方正仿宋_GBK" w:cs="方正仿宋_GBK"/>
          <w:color w:val="auto"/>
          <w:sz w:val="28"/>
          <w:szCs w:val="28"/>
          <w:lang w:eastAsia="zh-CN"/>
        </w:rPr>
        <w:t>环保督察</w:t>
      </w:r>
      <w:r>
        <w:rPr>
          <w:rFonts w:hint="eastAsia" w:ascii="方正仿宋_GBK" w:eastAsia="方正仿宋_GBK" w:cs="方正仿宋_GBK"/>
          <w:color w:val="auto"/>
          <w:sz w:val="28"/>
          <w:szCs w:val="28"/>
        </w:rPr>
        <w:t>工作常态化，充分发挥乡村网格化管理作用，加大问题企业整改工作，继续开展好白洋淀上游河道治理工作，砸实大气污染整治和防火禁烧等工作责任，还百姓一片蓝天白云、绿水青山。</w:t>
      </w:r>
      <w:r>
        <w:rPr>
          <w:rFonts w:ascii="方正仿宋_GBK" w:eastAsia="方正仿宋_GBK" w:cs="方正仿宋_GBK"/>
          <w:color w:val="auto"/>
          <w:sz w:val="28"/>
          <w:szCs w:val="28"/>
        </w:rPr>
        <w:t xml:space="preserve"> </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三是在经济社会发展上求创新。加大招商引资力度，结合乡村实际，将有实力、讲诚信，可持续发展的良好企业吸引到</w:t>
      </w:r>
      <w:r>
        <w:rPr>
          <w:rFonts w:hint="eastAsia" w:ascii="方正仿宋_GBK" w:eastAsia="方正仿宋_GBK" w:cs="方正仿宋_GBK"/>
          <w:color w:val="auto"/>
          <w:sz w:val="28"/>
          <w:szCs w:val="28"/>
          <w:lang w:eastAsia="zh-CN"/>
        </w:rPr>
        <w:t>我乡</w:t>
      </w:r>
      <w:r>
        <w:rPr>
          <w:rFonts w:hint="eastAsia" w:ascii="方正仿宋_GBK" w:eastAsia="方正仿宋_GBK" w:cs="方正仿宋_GBK"/>
          <w:color w:val="auto"/>
          <w:sz w:val="28"/>
          <w:szCs w:val="28"/>
        </w:rPr>
        <w:t>来，鼓励创新创业，利用扶贫、大学生创业等优惠政策，吸引年轻人返乡创业，为</w:t>
      </w:r>
      <w:r>
        <w:rPr>
          <w:rFonts w:hint="eastAsia" w:ascii="方正仿宋_GBK" w:eastAsia="方正仿宋_GBK" w:cs="方正仿宋_GBK"/>
          <w:color w:val="auto"/>
          <w:sz w:val="28"/>
          <w:szCs w:val="28"/>
          <w:lang w:eastAsia="zh-CN"/>
        </w:rPr>
        <w:t>我乡</w:t>
      </w:r>
      <w:r>
        <w:rPr>
          <w:rFonts w:hint="eastAsia" w:ascii="方正仿宋_GBK" w:eastAsia="方正仿宋_GBK" w:cs="方正仿宋_GBK"/>
          <w:color w:val="auto"/>
          <w:sz w:val="28"/>
          <w:szCs w:val="28"/>
        </w:rPr>
        <w:t>经济建设增添活力。</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四是在保障和改善民生上出成绩，深化为民服务工作，落实好</w:t>
      </w:r>
      <w:r>
        <w:rPr>
          <w:rFonts w:ascii="方正仿宋_GBK" w:eastAsia="方正仿宋_GBK"/>
          <w:color w:val="auto"/>
          <w:sz w:val="28"/>
          <w:szCs w:val="28"/>
        </w:rPr>
        <w:t>“</w:t>
      </w:r>
      <w:r>
        <w:rPr>
          <w:rFonts w:hint="eastAsia" w:ascii="方正仿宋_GBK" w:eastAsia="方正仿宋_GBK" w:cs="方正仿宋_GBK"/>
          <w:color w:val="auto"/>
          <w:sz w:val="28"/>
          <w:szCs w:val="28"/>
        </w:rPr>
        <w:t>四心连心</w:t>
      </w:r>
      <w:r>
        <w:rPr>
          <w:rFonts w:ascii="方正仿宋_GBK" w:eastAsia="方正仿宋_GBK"/>
          <w:color w:val="auto"/>
          <w:sz w:val="28"/>
          <w:szCs w:val="28"/>
        </w:rPr>
        <w:t>”</w:t>
      </w:r>
      <w:r>
        <w:rPr>
          <w:rFonts w:hint="eastAsia" w:ascii="方正仿宋_GBK" w:eastAsia="方正仿宋_GBK" w:cs="方正仿宋_GBK"/>
          <w:color w:val="auto"/>
          <w:sz w:val="28"/>
          <w:szCs w:val="28"/>
        </w:rPr>
        <w:t>要求，不断提升服务水平，让群众得到更多的实惠。扎实开展好精准扶贫工作，确保完成脱贫攻坚任务，加强农村水、电、路建设，筹备谋划村内道路硬化，优化道路建设，切实改善村民人居环境。</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五是在维护社会稳定上寻突破。坚持</w:t>
      </w:r>
      <w:r>
        <w:rPr>
          <w:rFonts w:ascii="方正仿宋_GBK" w:eastAsia="方正仿宋_GBK"/>
          <w:color w:val="auto"/>
          <w:sz w:val="28"/>
          <w:szCs w:val="28"/>
        </w:rPr>
        <w:t>“</w:t>
      </w:r>
      <w:r>
        <w:rPr>
          <w:rFonts w:hint="eastAsia" w:ascii="方正仿宋_GBK" w:eastAsia="方正仿宋_GBK" w:cs="方正仿宋_GBK"/>
          <w:color w:val="auto"/>
          <w:sz w:val="28"/>
          <w:szCs w:val="28"/>
        </w:rPr>
        <w:t>一图两书三卡四表</w:t>
      </w:r>
      <w:r>
        <w:rPr>
          <w:rFonts w:ascii="方正仿宋_GBK" w:eastAsia="方正仿宋_GBK"/>
          <w:color w:val="auto"/>
          <w:sz w:val="28"/>
          <w:szCs w:val="28"/>
        </w:rPr>
        <w:t>”</w:t>
      </w:r>
      <w:r>
        <w:rPr>
          <w:rFonts w:hint="eastAsia" w:ascii="方正仿宋_GBK" w:eastAsia="方正仿宋_GBK" w:cs="方正仿宋_GBK"/>
          <w:color w:val="auto"/>
          <w:sz w:val="28"/>
          <w:szCs w:val="28"/>
        </w:rPr>
        <w:t>工作机制要求，坚持</w:t>
      </w:r>
      <w:r>
        <w:rPr>
          <w:rFonts w:ascii="方正仿宋_GBK" w:eastAsia="方正仿宋_GBK"/>
          <w:color w:val="auto"/>
          <w:sz w:val="28"/>
          <w:szCs w:val="28"/>
        </w:rPr>
        <w:t>“</w:t>
      </w:r>
      <w:r>
        <w:rPr>
          <w:rFonts w:hint="eastAsia" w:ascii="方正仿宋_GBK" w:eastAsia="方正仿宋_GBK" w:cs="方正仿宋_GBK"/>
          <w:color w:val="auto"/>
          <w:sz w:val="28"/>
          <w:szCs w:val="28"/>
        </w:rPr>
        <w:t>大排查、大调处、大接访</w:t>
      </w:r>
      <w:r>
        <w:rPr>
          <w:rFonts w:ascii="方正仿宋_GBK" w:eastAsia="方正仿宋_GBK"/>
          <w:color w:val="auto"/>
          <w:sz w:val="28"/>
          <w:szCs w:val="28"/>
        </w:rPr>
        <w:t>”</w:t>
      </w:r>
      <w:r>
        <w:rPr>
          <w:rFonts w:hint="eastAsia" w:ascii="方正仿宋_GBK" w:eastAsia="方正仿宋_GBK" w:cs="方正仿宋_GBK"/>
          <w:color w:val="auto"/>
          <w:sz w:val="28"/>
          <w:szCs w:val="28"/>
        </w:rPr>
        <w:t>制度，扎实开展好结对解难工作，以解决实际问题为抓手，以确保社会稳定为重点，坚持群众工作统揽信访工作，不断探索工作新机制，为实现我县社会长期和谐稳定提供坚强保障。</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六是在基层党建精品创建上上水平，狠抓基层党建精品示范村建设，以点连线，以线带面，提高基层党建科学化水平，加强农村</w:t>
      </w:r>
      <w:r>
        <w:rPr>
          <w:rFonts w:ascii="方正仿宋_GBK" w:eastAsia="方正仿宋_GBK"/>
          <w:color w:val="auto"/>
          <w:sz w:val="28"/>
          <w:szCs w:val="28"/>
        </w:rPr>
        <w:t>“</w:t>
      </w:r>
      <w:r>
        <w:rPr>
          <w:rFonts w:hint="eastAsia" w:ascii="方正仿宋_GBK" w:eastAsia="方正仿宋_GBK" w:cs="方正仿宋_GBK"/>
          <w:color w:val="auto"/>
          <w:sz w:val="28"/>
          <w:szCs w:val="28"/>
        </w:rPr>
        <w:t>两室</w:t>
      </w:r>
      <w:r>
        <w:rPr>
          <w:rFonts w:ascii="方正仿宋_GBK" w:eastAsia="方正仿宋_GBK"/>
          <w:color w:val="auto"/>
          <w:sz w:val="28"/>
          <w:szCs w:val="28"/>
        </w:rPr>
        <w:t>”</w:t>
      </w:r>
      <w:r>
        <w:rPr>
          <w:rFonts w:hint="eastAsia" w:ascii="方正仿宋_GBK" w:eastAsia="方正仿宋_GBK" w:cs="方正仿宋_GBK"/>
          <w:color w:val="auto"/>
          <w:sz w:val="28"/>
          <w:szCs w:val="28"/>
        </w:rPr>
        <w:t>建设，推进重难点村转化、规范、提升，加强农村制度建设，力求基层党建整体再上水平，为农村发展奠定坚实的基层组织基础。</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r>
        <w:rPr>
          <w:rFonts w:hint="eastAsia" w:ascii="Times New Roman" w:hAnsi="Times New Roman" w:eastAsia="仿宋" w:cs="仿宋"/>
          <w:b/>
          <w:bCs/>
          <w:color w:val="auto"/>
          <w:sz w:val="32"/>
          <w:szCs w:val="32"/>
        </w:rPr>
        <w:t>部门职责及工作活动绩效目标指标：</w:t>
      </w:r>
      <w:bookmarkEnd w:id="0"/>
    </w:p>
    <w:p>
      <w:pPr>
        <w:jc w:val="center"/>
        <w:outlineLvl w:val="0"/>
        <w:rPr>
          <w:rFonts w:ascii="方正小标宋_GBK" w:eastAsia="方正小标宋_GBK" w:cs="Times New Roman"/>
          <w:color w:val="auto"/>
          <w:sz w:val="32"/>
          <w:szCs w:val="32"/>
        </w:rPr>
      </w:pPr>
      <w:bookmarkStart w:id="1" w:name="_Toc514316"/>
    </w:p>
    <w:p>
      <w:pPr>
        <w:jc w:val="center"/>
        <w:outlineLvl w:val="0"/>
        <w:rPr>
          <w:rFonts w:ascii="方正小标宋_GBK" w:eastAsia="方正小标宋_GBK" w:cs="Times New Roman"/>
          <w:color w:val="auto"/>
          <w:sz w:val="32"/>
          <w:szCs w:val="32"/>
        </w:rPr>
      </w:pPr>
      <w:r>
        <w:rPr>
          <w:rFonts w:hint="eastAsia" w:ascii="方正小标宋_GBK" w:eastAsia="方正小标宋_GBK" w:cs="方正小标宋_GBK"/>
          <w:color w:val="auto"/>
          <w:sz w:val="32"/>
          <w:szCs w:val="32"/>
        </w:rPr>
        <w:t>部门职责</w:t>
      </w:r>
      <w:r>
        <w:rPr>
          <w:rFonts w:ascii="方正小标宋_GBK" w:eastAsia="方正小标宋_GBK" w:cs="方正小标宋_GBK"/>
          <w:color w:val="auto"/>
          <w:sz w:val="32"/>
          <w:szCs w:val="32"/>
        </w:rPr>
        <w:t>-</w:t>
      </w:r>
      <w:r>
        <w:rPr>
          <w:rFonts w:hint="eastAsia" w:ascii="方正小标宋_GBK" w:eastAsia="方正小标宋_GBK" w:cs="方正小标宋_GBK"/>
          <w:color w:val="auto"/>
          <w:sz w:val="32"/>
          <w:szCs w:val="32"/>
        </w:rPr>
        <w:t>工作活动绩效目标</w:t>
      </w:r>
      <w:r>
        <w:rPr>
          <w:rStyle w:val="11"/>
          <w:rFonts w:hint="eastAsia" w:ascii="方正小标宋_GBK" w:hAnsi="Symbol" w:eastAsia="方正小标宋_GBK" w:cs="Times New Roman"/>
          <w:color w:val="auto"/>
          <w:sz w:val="32"/>
          <w:szCs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2339"/>
        <w:gridCol w:w="1276"/>
        <w:gridCol w:w="2975"/>
        <w:gridCol w:w="2975"/>
        <w:gridCol w:w="1416"/>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cs="Times New Roman"/>
                <w:color w:val="auto"/>
                <w:sz w:val="24"/>
                <w:szCs w:val="24"/>
                <w:lang w:eastAsia="zh-CN"/>
              </w:rPr>
            </w:pPr>
            <w:r>
              <w:rPr>
                <w:rFonts w:hint="eastAsia" w:ascii="方正小标宋_GBK" w:eastAsia="方正小标宋_GBK" w:cs="方正小标宋_GBK"/>
                <w:color w:val="auto"/>
                <w:sz w:val="24"/>
                <w:szCs w:val="24"/>
                <w:lang w:val="en-US" w:eastAsia="zh-CN"/>
              </w:rPr>
              <w:t>995</w:t>
            </w:r>
            <w:r>
              <w:rPr>
                <w:rFonts w:hint="eastAsia" w:ascii="方正小标宋_GBK" w:eastAsia="方正小标宋_GBK" w:cs="方正小标宋_GBK"/>
                <w:color w:val="auto"/>
                <w:sz w:val="24"/>
                <w:szCs w:val="24"/>
              </w:rPr>
              <w:t>曲阳县</w:t>
            </w:r>
            <w:r>
              <w:rPr>
                <w:rFonts w:hint="eastAsia" w:ascii="方正小标宋_GBK" w:eastAsia="方正小标宋_GBK" w:cs="方正小标宋_GBK"/>
                <w:color w:val="auto"/>
                <w:sz w:val="24"/>
                <w:szCs w:val="24"/>
                <w:lang w:eastAsia="zh-CN"/>
              </w:rPr>
              <w:t>党城乡</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4" w:type="dxa"/>
            <w:gridSpan w:val="2"/>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职责活动</w:t>
            </w:r>
          </w:p>
        </w:tc>
        <w:tc>
          <w:tcPr>
            <w:tcW w:w="12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年度预算数</w:t>
            </w:r>
          </w:p>
        </w:tc>
        <w:tc>
          <w:tcPr>
            <w:tcW w:w="2975"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内容描述</w:t>
            </w:r>
          </w:p>
        </w:tc>
        <w:tc>
          <w:tcPr>
            <w:tcW w:w="2975"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绩效目标</w:t>
            </w:r>
          </w:p>
        </w:tc>
        <w:tc>
          <w:tcPr>
            <w:tcW w:w="141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绩效指标</w:t>
            </w:r>
          </w:p>
        </w:tc>
        <w:tc>
          <w:tcPr>
            <w:tcW w:w="2948" w:type="dxa"/>
            <w:gridSpan w:val="4"/>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4" w:type="dxa"/>
            <w:gridSpan w:val="2"/>
            <w:vMerge w:val="continue"/>
            <w:vAlign w:val="center"/>
          </w:tcPr>
          <w:p>
            <w:pPr>
              <w:spacing w:line="300" w:lineRule="exact"/>
              <w:jc w:val="left"/>
              <w:outlineLvl w:val="0"/>
              <w:rPr>
                <w:rFonts w:cs="Times New Roman"/>
                <w:color w:val="auto"/>
              </w:rPr>
            </w:pPr>
          </w:p>
        </w:tc>
        <w:tc>
          <w:tcPr>
            <w:tcW w:w="1276" w:type="dxa"/>
            <w:vMerge w:val="continue"/>
            <w:vAlign w:val="center"/>
          </w:tcPr>
          <w:p>
            <w:pPr>
              <w:spacing w:line="300" w:lineRule="exact"/>
              <w:jc w:val="left"/>
              <w:outlineLvl w:val="0"/>
              <w:rPr>
                <w:rFonts w:cs="Times New Roman"/>
                <w:color w:val="auto"/>
              </w:rPr>
            </w:pPr>
          </w:p>
        </w:tc>
        <w:tc>
          <w:tcPr>
            <w:tcW w:w="2975" w:type="dxa"/>
            <w:vMerge w:val="continue"/>
            <w:vAlign w:val="center"/>
          </w:tcPr>
          <w:p>
            <w:pPr>
              <w:spacing w:line="300" w:lineRule="exact"/>
              <w:jc w:val="left"/>
              <w:outlineLvl w:val="0"/>
              <w:rPr>
                <w:rFonts w:cs="Times New Roman"/>
                <w:color w:val="auto"/>
              </w:rPr>
            </w:pPr>
          </w:p>
        </w:tc>
        <w:tc>
          <w:tcPr>
            <w:tcW w:w="2975" w:type="dxa"/>
            <w:vMerge w:val="continue"/>
            <w:vAlign w:val="center"/>
          </w:tcPr>
          <w:p>
            <w:pPr>
              <w:spacing w:line="300" w:lineRule="exact"/>
              <w:jc w:val="left"/>
              <w:outlineLvl w:val="0"/>
              <w:rPr>
                <w:rFonts w:cs="Times New Roman"/>
                <w:color w:val="auto"/>
              </w:rPr>
            </w:pPr>
          </w:p>
        </w:tc>
        <w:tc>
          <w:tcPr>
            <w:tcW w:w="1416" w:type="dxa"/>
            <w:vMerge w:val="continue"/>
            <w:vAlign w:val="center"/>
          </w:tcPr>
          <w:p>
            <w:pPr>
              <w:spacing w:line="300" w:lineRule="exact"/>
              <w:jc w:val="left"/>
              <w:outlineLvl w:val="0"/>
              <w:rPr>
                <w:rFonts w:cs="Times New Roman"/>
                <w:color w:val="auto"/>
              </w:rPr>
            </w:pP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优</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良</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中</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、人大会议</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承担乡人民代表大会和常务委员会各种会议的筹备工作。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保障会议顺利召开，完成会议议程。</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会议活动完成率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、人大代表活动</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组织人大代表进行执法检查和集中视察；开展代表建议督办。</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确保乡人大换届选举工作顺利完成，提高组织换届选举工作水平；高质量完成机关领导人选举和常委会人事任免服务工作。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调研计划完成率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、党政务公开</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承担乡党政务公开日常工作，指导和协调全乡党政务公开及政务服务中心建设、推进党政服务体系标准化建设工作。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党政务公开率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、会议管理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乡党委、政府、人大会议的准备和服务工作，协助乡领导组织会议决定事项的落实。</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做好乡党政会议保障；严格各部门的会议审批，控制会议费开支规模。</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会议控制率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、信访稳定</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负责乡镇来信来访工作。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做好来信来访接待和解释工作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处理信访案件完成率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4</w:t>
            </w:r>
            <w:r>
              <w:rPr>
                <w:rFonts w:hint="eastAsia" w:ascii="方正书宋_GBK" w:eastAsia="方正书宋_GBK" w:cs="方正书宋_GBK"/>
                <w:b/>
                <w:bCs/>
                <w:color w:val="auto"/>
              </w:rPr>
              <w:t>、应急管理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政府值班工作，及时报告重要情况，传达和督促落实政府领导指示。协助政府领导做好突发事件应急处置工作。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维护好乡政府应急平台，确保全乡应急工作顺利完成；各类突发事件得到及时妥善处置</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突发事件处理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非常满意</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满意</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一般</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5</w:t>
            </w:r>
            <w:r>
              <w:rPr>
                <w:rFonts w:hint="eastAsia" w:ascii="方正书宋_GBK" w:eastAsia="方正书宋_GBK" w:cs="方正书宋_GBK"/>
                <w:b/>
                <w:bCs/>
                <w:color w:val="auto"/>
              </w:rPr>
              <w:t>、综合事务管理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综合事务保障率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、乡镇党组织建设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负责全乡党组织建设，提出党内生活制度建设的意见；指导全乡党员教育工作。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加强党组织建设和党员管理</w:t>
            </w:r>
            <w:r>
              <w:rPr>
                <w:rFonts w:ascii="方正书宋_GBK" w:eastAsia="方正书宋_GBK" w:cs="方正书宋_GBK"/>
                <w:color w:val="auto"/>
              </w:rPr>
              <w:t>,</w:t>
            </w:r>
            <w:r>
              <w:rPr>
                <w:rFonts w:hint="eastAsia" w:ascii="方正书宋_GBK" w:eastAsia="方正书宋_GBK" w:cs="方正书宋_GBK"/>
                <w:color w:val="auto"/>
              </w:rPr>
              <w:t>不断提高执政能力和领导水平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组织、协调、指导完成率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、村级组织建设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负责基层组织建设</w:t>
            </w:r>
            <w:r>
              <w:rPr>
                <w:rFonts w:hint="eastAsia" w:ascii="方正书宋_GBK" w:eastAsia="方正书宋_GBK" w:cs="方正书宋_GBK"/>
                <w:color w:val="auto"/>
                <w:lang w:eastAsia="zh-CN"/>
              </w:rPr>
              <w:t>联席会议</w:t>
            </w:r>
            <w:r>
              <w:rPr>
                <w:rFonts w:hint="eastAsia" w:ascii="方正书宋_GBK" w:eastAsia="方正书宋_GBK" w:cs="方正书宋_GBK"/>
                <w:color w:val="auto"/>
              </w:rPr>
              <w:t>党的牵头抓总工作；提出党内生活制度建设的意见；指导村级党员教育工作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加强村级组织建设和党员管理</w:t>
            </w:r>
            <w:r>
              <w:rPr>
                <w:rFonts w:ascii="方正书宋_GBK" w:eastAsia="方正书宋_GBK" w:cs="方正书宋_GBK"/>
                <w:color w:val="auto"/>
              </w:rPr>
              <w:t>,</w:t>
            </w:r>
            <w:r>
              <w:rPr>
                <w:rFonts w:hint="eastAsia" w:ascii="方正书宋_GBK" w:eastAsia="方正书宋_GBK" w:cs="方正书宋_GBK"/>
                <w:color w:val="auto"/>
              </w:rPr>
              <w:t>不断提高村级执政能力和领导水平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村级组织换届选举完成情况</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、财政所建设与管理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按县财政的要求，乡镇所有业务纳入一体化系统。按会计制度要求规范设置账户及会计核算等工作；专项资金发放；会计档案管理。将按</w:t>
            </w: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r>
              <w:rPr>
                <w:rFonts w:hint="eastAsia" w:ascii="方正书宋_GBK" w:eastAsia="方正书宋_GBK" w:cs="方正书宋_GBK"/>
                <w:color w:val="auto"/>
              </w:rPr>
              <w:t>的要求，规范乡镇财务。</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所有乡镇全部纳入一体化系统；按标准化财政所的要求规范账目</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标准财政所完成率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、村级管理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不改变村级资金管理方式，农村财务实行</w:t>
            </w: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规范村级财务管理</w:t>
            </w:r>
          </w:p>
        </w:tc>
        <w:tc>
          <w:tcPr>
            <w:tcW w:w="1416" w:type="dxa"/>
            <w:vAlign w:val="center"/>
          </w:tcPr>
          <w:p>
            <w:pPr>
              <w:spacing w:line="300" w:lineRule="exact"/>
              <w:jc w:val="left"/>
              <w:rPr>
                <w:rFonts w:ascii="方正书宋_GBK" w:eastAsia="方正书宋_GBK" w:cs="Times New Roman"/>
                <w:color w:val="auto"/>
              </w:rPr>
            </w:pP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r>
              <w:rPr>
                <w:rFonts w:hint="eastAsia" w:ascii="方正书宋_GBK" w:eastAsia="方正书宋_GBK" w:cs="方正书宋_GBK"/>
                <w:color w:val="auto"/>
              </w:rPr>
              <w:t>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、农林事务管理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对农民进行统筹指导农业及林业发展。按照统筹城乡发展要求，组织实施农村面貌改造提升行动。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改善产业结构，提高农民收入水平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完成农、林业生产指标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、计划生育服务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免费为农村计划怀孕夫妇实行孕前优生健康检查；免费为公民提供计划生育避孕节育基本技术服务；免费为农村已婚育龄妇女提供生殖健康检查服务。</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改善我县农村计划怀孕夫妇健康状况，有效降低出生缺陷发生风险；为各类育龄人群提供安全、有效避孕节育技术服务；健全完善流动人口管理机制。</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免费孕前优生健康检查目标人群覆盖率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、计划生育奖励扶持政策</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采取奖励、扶助、社会保障等机制，引导家庭和个人计划生育措施，提高计划生育家庭发展能力。</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增强群众自觉实行计划生育的积极性，稳定适度的低生育水平，提高计划生育家庭发展能力，增强计划生育家庭的凝聚力及成员幸福感。</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农村部分计划生育家庭奖励扶助政策落实率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农村部分计划生育家庭奖励扶助政策落实率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一、选举和任免</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5"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1</w:t>
            </w:r>
            <w:r>
              <w:rPr>
                <w:rFonts w:hint="eastAsia" w:ascii="方正书宋_GBK" w:eastAsia="方正书宋_GBK" w:cs="方正书宋_GBK"/>
                <w:color w:val="auto"/>
              </w:rPr>
              <w:t>、确保有关选举的法律法规符合实际，在充分考察调研的基础上，实施对其进行修改。</w:t>
            </w:r>
            <w:r>
              <w:rPr>
                <w:rFonts w:ascii="方正书宋_GBK" w:eastAsia="方正书宋_GBK" w:cs="方正书宋_GBK"/>
                <w:color w:val="auto"/>
              </w:rPr>
              <w:t>2</w:t>
            </w:r>
            <w:r>
              <w:rPr>
                <w:rFonts w:hint="eastAsia" w:ascii="方正书宋_GBK" w:eastAsia="方正书宋_GBK" w:cs="方正书宋_GBK"/>
                <w:color w:val="auto"/>
              </w:rPr>
              <w:t>、对乡镇政府组成人员和乡镇人民法院主要负责人进行目标责任监督，确保依法履行职责，完成目标任务。</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、换届选举及人事任免</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政治任务实现率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换届选举工作完成率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二、民族宗教事务管理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加强宗教事务管理工作，加强其他民族宗教综合性事务管理工作。</w:t>
            </w:r>
          </w:p>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加强宗教事务管理工作，加强其他民族宗教综合性事务管理工作。</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、民族宗教综合治理</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加大补助力度，增强反渗透能力。不断提高民族宗教法律政策宣传覆盖率</w:t>
            </w:r>
            <w:r>
              <w:rPr>
                <w:rFonts w:ascii="方正书宋_GBK" w:eastAsia="方正书宋_GBK" w:cs="方正书宋_GBK"/>
                <w:color w:val="auto"/>
              </w:rPr>
              <w:t>,</w:t>
            </w:r>
            <w:r>
              <w:rPr>
                <w:rFonts w:hint="eastAsia" w:ascii="方正书宋_GBK" w:eastAsia="方正书宋_GBK" w:cs="方正书宋_GBK"/>
                <w:color w:val="auto"/>
              </w:rPr>
              <w:t>加大宣传教育力度</w:t>
            </w:r>
            <w:r>
              <w:rPr>
                <w:rFonts w:ascii="方正书宋_GBK" w:eastAsia="方正书宋_GBK" w:cs="方正书宋_GBK"/>
                <w:color w:val="auto"/>
              </w:rPr>
              <w:t>;</w:t>
            </w:r>
            <w:r>
              <w:rPr>
                <w:rFonts w:hint="eastAsia" w:ascii="方正书宋_GBK" w:eastAsia="方正书宋_GBK" w:cs="方正书宋_GBK"/>
                <w:color w:val="auto"/>
              </w:rPr>
              <w:t>妥善协助解决突发事件</w:t>
            </w:r>
            <w:r>
              <w:rPr>
                <w:rFonts w:ascii="方正书宋_GBK" w:eastAsia="方正书宋_GBK" w:cs="方正书宋_GBK"/>
                <w:color w:val="auto"/>
              </w:rPr>
              <w:t>;</w:t>
            </w:r>
            <w:r>
              <w:rPr>
                <w:rFonts w:hint="eastAsia" w:ascii="方正书宋_GBK" w:eastAsia="方正书宋_GBK" w:cs="方正书宋_GBK"/>
                <w:color w:val="auto"/>
              </w:rPr>
              <w:t>提高清真食品检查效率</w:t>
            </w:r>
            <w:r>
              <w:rPr>
                <w:rFonts w:ascii="方正书宋_GBK" w:eastAsia="方正书宋_GBK" w:cs="方正书宋_GBK"/>
                <w:color w:val="auto"/>
              </w:rPr>
              <w:t>,</w:t>
            </w:r>
            <w:r>
              <w:rPr>
                <w:rFonts w:hint="eastAsia" w:ascii="方正书宋_GBK" w:eastAsia="方正书宋_GBK" w:cs="方正书宋_GBK"/>
                <w:color w:val="auto"/>
              </w:rPr>
              <w:t>及时解决其他民族宗教问题。</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天主教神职人员补助覆盖率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维稳突出问题解决率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三、政法综治稳定和国家安全</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1</w:t>
            </w:r>
            <w:r>
              <w:rPr>
                <w:rFonts w:hint="eastAsia" w:ascii="方正书宋_GBK" w:eastAsia="方正书宋_GBK" w:cs="方正书宋_GBK"/>
                <w:color w:val="auto"/>
              </w:rPr>
              <w:t>、贯彻实施国家安全战略，推进国家安全法制建设，贯彻落实国家安全工作方针，研究解决涉及国家安全工作的重大问题。</w:t>
            </w:r>
            <w:r>
              <w:rPr>
                <w:rFonts w:ascii="方正书宋_GBK" w:eastAsia="方正书宋_GBK" w:cs="方正书宋_GBK"/>
                <w:color w:val="auto"/>
              </w:rPr>
              <w:t>2</w:t>
            </w:r>
            <w:r>
              <w:rPr>
                <w:rFonts w:hint="eastAsia" w:ascii="方正书宋_GBK" w:eastAsia="方正书宋_GBK" w:cs="方正书宋_GBK"/>
                <w:color w:val="auto"/>
              </w:rPr>
              <w:t>、推进社会治安综合治理，维护社会稳定，有效地维护本乡镇的可持续稳定。同时抓好全民普法工作，推进依法治理。</w:t>
            </w:r>
            <w:r>
              <w:rPr>
                <w:rFonts w:ascii="方正书宋_GBK" w:eastAsia="方正书宋_GBK" w:cs="方正书宋_GBK"/>
                <w:color w:val="auto"/>
              </w:rPr>
              <w:t>3</w:t>
            </w:r>
            <w:r>
              <w:rPr>
                <w:rFonts w:hint="eastAsia" w:ascii="方正书宋_GBK" w:eastAsia="方正书宋_GBK" w:cs="方正书宋_GBK"/>
                <w:color w:val="auto"/>
              </w:rPr>
              <w:t>、加强政法队伍建设和领导班子建设。</w:t>
            </w:r>
            <w:r>
              <w:rPr>
                <w:rFonts w:ascii="方正书宋_GBK" w:eastAsia="方正书宋_GBK" w:cs="方正书宋_GBK"/>
                <w:color w:val="auto"/>
              </w:rPr>
              <w:t>4</w:t>
            </w:r>
            <w:r>
              <w:rPr>
                <w:rFonts w:hint="eastAsia" w:ascii="方正书宋_GBK" w:eastAsia="方正书宋_GBK" w:cs="方正书宋_GBK"/>
                <w:color w:val="auto"/>
              </w:rPr>
              <w:t>、受理并查处涉法信访案件工作，促进司法公正。</w:t>
            </w:r>
            <w:r>
              <w:rPr>
                <w:rFonts w:ascii="方正书宋_GBK" w:eastAsia="方正书宋_GBK" w:cs="方正书宋_GBK"/>
                <w:color w:val="auto"/>
              </w:rPr>
              <w:t>5</w:t>
            </w:r>
            <w:r>
              <w:rPr>
                <w:rFonts w:hint="eastAsia" w:ascii="方正书宋_GBK" w:eastAsia="方正书宋_GBK" w:cs="方正书宋_GBK"/>
                <w:color w:val="auto"/>
              </w:rPr>
              <w:t>、坚持社会治安综合治理属地管理原则，抓好目标管理责任制、领导责任制、责任追究和一票否决权等</w:t>
            </w:r>
            <w:r>
              <w:rPr>
                <w:rFonts w:ascii="方正书宋_GBK" w:eastAsia="方正书宋_GBK" w:cs="方正书宋_GBK"/>
                <w:color w:val="auto"/>
              </w:rPr>
              <w:t xml:space="preserve"> </w:t>
            </w:r>
            <w:r>
              <w:rPr>
                <w:rFonts w:hint="eastAsia" w:ascii="方正书宋_GBK" w:eastAsia="方正书宋_GBK" w:cs="方正书宋_GBK"/>
                <w:color w:val="auto"/>
              </w:rPr>
              <w:t>制度的落实，抓好中小学校的社会治安综合治理和所辖乡镇铁路治安联防护路等工作。</w:t>
            </w:r>
            <w:r>
              <w:rPr>
                <w:rFonts w:ascii="方正书宋_GBK" w:eastAsia="方正书宋_GBK" w:cs="方正书宋_GBK"/>
                <w:color w:val="auto"/>
              </w:rPr>
              <w:t>6</w:t>
            </w:r>
            <w:r>
              <w:rPr>
                <w:rFonts w:hint="eastAsia" w:ascii="方正书宋_GBK" w:eastAsia="方正书宋_GBK" w:cs="方正书宋_GBK"/>
                <w:color w:val="auto"/>
              </w:rPr>
              <w:t>、依法打击并取缔各种非法宗教活动。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抓好乡镇政法综治稳定工作，预防减少不稳定因素的发生，有效化解不稳定隐患、群体性事件和突发事件，维护国家安全工作。</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、协调维护社会稳定和国家安全</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排查、化解影响社会稳定的重大不稳定隐患、群体性事件和突发事件及影响国家安全的事件。</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预防减少不稳定因素的发生，有效化解不稳定隐患、群体性事件和突发事件，维护国家安全工作。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协调督导事项化解率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安保活动圆满完成情况</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、涉法涉诉信访工作</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强化接访中心建设，切实提高接访中心吸附力。积极推进涉法涉诉信访工作改革，把涉法涉诉信访问题的解决导入法治轨道。</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办结率</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完成较好</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基本完成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、矛盾纠纷排查化解</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完善矛盾纠纷排查机制，对乡镇内矛盾纠纷随时排查及时化解，做到小事不出村，大事不出镇，把矛盾化解在基层、化解在萌芽状态。</w:t>
            </w:r>
          </w:p>
        </w:tc>
        <w:tc>
          <w:tcPr>
            <w:tcW w:w="2975" w:type="dxa"/>
            <w:vAlign w:val="center"/>
          </w:tcPr>
          <w:p>
            <w:pPr>
              <w:spacing w:line="300" w:lineRule="exact"/>
              <w:jc w:val="left"/>
              <w:rPr>
                <w:rFonts w:ascii="方正书宋_GBK" w:eastAsia="方正书宋_GBK" w:cs="方正书宋_GBK"/>
                <w:color w:val="auto"/>
              </w:rPr>
            </w:pPr>
            <w:r>
              <w:rPr>
                <w:rFonts w:hint="eastAsia" w:ascii="方正书宋_GBK" w:eastAsia="方正书宋_GBK" w:cs="方正书宋_GBK"/>
                <w:color w:val="auto"/>
              </w:rPr>
              <w:t>矛盾纠纷排查率</w:t>
            </w:r>
            <w:r>
              <w:rPr>
                <w:rFonts w:ascii="方正书宋_GBK" w:eastAsia="方正书宋_GBK" w:cs="方正书宋_GBK"/>
                <w:color w:val="auto"/>
              </w:rPr>
              <w:t>100%</w:t>
            </w:r>
            <w:r>
              <w:rPr>
                <w:rFonts w:hint="eastAsia" w:ascii="方正书宋_GBK" w:eastAsia="方正书宋_GBK" w:cs="方正书宋_GBK"/>
                <w:color w:val="auto"/>
              </w:rPr>
              <w:t>，化解率</w:t>
            </w:r>
            <w:r>
              <w:rPr>
                <w:rFonts w:ascii="方正书宋_GBK" w:eastAsia="方正书宋_GBK" w:cs="方正书宋_GBK"/>
                <w:color w:val="auto"/>
              </w:rPr>
              <w:t>98%</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排查率、化解率</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完成较好</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基本完成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4</w:t>
            </w:r>
            <w:r>
              <w:rPr>
                <w:rFonts w:hint="eastAsia" w:ascii="方正书宋_GBK" w:eastAsia="方正书宋_GBK" w:cs="方正书宋_GBK"/>
                <w:b/>
                <w:bCs/>
                <w:color w:val="auto"/>
              </w:rPr>
              <w:t>、铁路护路联防工作</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组织开展好全国两会及其他重要时期铁路护路联防工作，维护好铁路的安全运行，保障铁路运输安全。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保障铁路运输安全</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保障安全畅通</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完成较好</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基本完成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四、社会管理与服务</w:t>
            </w:r>
          </w:p>
        </w:tc>
        <w:tc>
          <w:tcPr>
            <w:tcW w:w="1276"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18.00</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组织指导基层政权和社区建设；推进社会工作人员队伍建设</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推进乡镇社会组织健康发展，优化行政区划空间布局，建立健全城乡基层群众自治组织，逐步实现社会工作者专业化、职业化。</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、基层政权和社区建设</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18.00</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建立健全城乡基层群众自治组织，在村（居）民委员会实行</w:t>
            </w:r>
            <w:r>
              <w:rPr>
                <w:rFonts w:ascii="方正书宋_GBK" w:eastAsia="方正书宋_GBK"/>
                <w:color w:val="auto"/>
              </w:rPr>
              <w:t>“</w:t>
            </w:r>
            <w:r>
              <w:rPr>
                <w:rFonts w:hint="eastAsia" w:ascii="方正书宋_GBK" w:eastAsia="方正书宋_GBK" w:cs="方正书宋_GBK"/>
                <w:color w:val="auto"/>
              </w:rPr>
              <w:t>四个民主</w:t>
            </w:r>
            <w:r>
              <w:rPr>
                <w:rFonts w:ascii="方正书宋_GBK" w:eastAsia="方正书宋_GBK"/>
                <w:color w:val="auto"/>
              </w:rPr>
              <w:t>”</w:t>
            </w:r>
            <w:r>
              <w:rPr>
                <w:rFonts w:hint="eastAsia" w:ascii="方正书宋_GBK" w:eastAsia="方正书宋_GBK" w:cs="方正书宋_GBK"/>
                <w:color w:val="auto"/>
              </w:rPr>
              <w:t>；按照</w:t>
            </w:r>
            <w:r>
              <w:rPr>
                <w:rFonts w:ascii="方正书宋_GBK" w:eastAsia="方正书宋_GBK"/>
                <w:color w:val="auto"/>
              </w:rPr>
              <w:t>“</w:t>
            </w:r>
            <w:r>
              <w:rPr>
                <w:rFonts w:hint="eastAsia" w:ascii="方正书宋_GBK" w:eastAsia="方正书宋_GBK" w:cs="方正书宋_GBK"/>
                <w:color w:val="auto"/>
              </w:rPr>
              <w:t>四有一创</w:t>
            </w:r>
            <w:r>
              <w:rPr>
                <w:rFonts w:ascii="方正书宋_GBK" w:eastAsia="方正书宋_GBK"/>
                <w:color w:val="auto"/>
              </w:rPr>
              <w:t>”</w:t>
            </w:r>
            <w:r>
              <w:rPr>
                <w:rFonts w:hint="eastAsia" w:ascii="方正书宋_GBK" w:eastAsia="方正书宋_GBK" w:cs="方正书宋_GBK"/>
                <w:color w:val="auto"/>
              </w:rPr>
              <w:t>标准开展城市社区建设，按照农村社区建设实验全覆盖创建标准开展农村社区建设。</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村民委员会换届选举率达到或超过上届水平。</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99.8%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99.6%</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99.4%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社区综合设施覆盖率达到全国平均水平</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77.4%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76.4%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开展农村社区建设的建制村到达全国平均水平</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41.53%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40.53%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39.53%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五、政府专项工作服务与管理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政府采购、农村综合改革、政府债务、综合治税、政府购买服务、规范津补贴等政府专项工作的服务与管理。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各专项工作依法规范管理，政策制度健全，执行程序规范，管控有力有效，各项政策落实，各项服务到位，业务风险有效控制，资金分配规范合理，经费使用节约。</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、政府债务管理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加强政府债券管理和土储融资审核；编制月季年报并上报分析材料；实施风险预警及专项检查与监督。</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有效发挥政府规范举债的积极作用，规范政府债务管理，防范政府债务风险</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乡镇债务风险警戒值</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全部低于财政部风险警戒标准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总体风险低于警戒标准，单项指标被风险预警</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总体风险低于警戒标准，两个单项指标被风险预警</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六、水利水电项目建设与管理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水利水电项目的建设与维护管理。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按期完成水利水电项目建设和维修管护任务，对社会稳定和经济发展起到积极作用</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、水利工程运行与维护</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开展河道堤防、水库、水闸、排灌泵站、水文等水利工程运行管理和加强对乡镇水利行业的安全生产监督、检查。对水利工程进行维修养护，确保工程安全运行。</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年度维修养护工程质量全部合格，工程正常运行。</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工程质量验收合格率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工程运行故障率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、农田水利建设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建设小型农田水利设施，实施节水灌溉、灌区续建配套与节水改造等，推广综合节水技术，农业水价综合改革，开展乡镇水利站建设</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提高农业用水效率、改善农业生产条件</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项目完工率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、水库移民安置及后期管理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落实水库移民政策，扶持移民发展生产，保持移民稳定。</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增加移民收入，改善移民生产生活条件，促进移民稳定</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移民政策落实率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4</w:t>
            </w:r>
            <w:r>
              <w:rPr>
                <w:rFonts w:hint="eastAsia" w:ascii="方正书宋_GBK" w:eastAsia="方正书宋_GBK" w:cs="方正书宋_GBK"/>
                <w:b/>
                <w:bCs/>
                <w:color w:val="auto"/>
              </w:rPr>
              <w:t>、保障农村饮水安全</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在全县范围内通过实施农村饮水安全项目，解决农村居民饮水不安全问题。</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保障农村供水安全</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任务完成率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七、水利科技支撑和公共服务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组织开展乡镇水利事业建设的科技创新和技术示范推广，为水利事业科学发展提供公共支撑。</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示范推广水利工程和管理技术，提高水利事业管理水平。</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、防汛抗旱</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发挥防汛抗旱减灾体系作用，最大限度地减少水旱灾害造成的人员伤亡和财产损失。</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工程完成率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八、城乡建设管理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乡镇公用设施建设、安全和应急管理；落实村庄和小城镇建设政策；指导农村住房建设、住房安全和危房改造；改善小城镇和村庄人居环境。</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加强村镇建设，改善农村人居环境，实现城乡统筹发展。协调和指导推进城镇化工作，加快城镇化进程。</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、公用设施建设与管理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加强乡镇基础设施建设</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基础设施建设工作目标完成率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、推进城镇化建设</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结合本年乡镇建设工作重点，结合上级对乡镇建设工作考核评价指标体系，对乡镇建设工作进行评价，结果纳入乡镇领导综合考核评价</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乡镇建设工作考核完成率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垃圾处理率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危房改造完成率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九、交通运输基础设施建设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完成交通基础设施投资；管理乡镇重点工程建设、工程质量和安全生产，对项目招投标活动进行监督管理。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投资建设普通公路及农村公路；进行场站建设；建设物流园区</w:t>
            </w:r>
            <w:r>
              <w:rPr>
                <w:rFonts w:ascii="方正书宋_GBK" w:eastAsia="方正书宋_GBK" w:cs="方正书宋_GBK"/>
                <w:color w:val="auto"/>
              </w:rPr>
              <w:t>(</w:t>
            </w:r>
            <w:r>
              <w:rPr>
                <w:rFonts w:hint="eastAsia" w:ascii="方正书宋_GBK" w:eastAsia="方正书宋_GBK" w:cs="方正书宋_GBK"/>
                <w:color w:val="auto"/>
              </w:rPr>
              <w:t>中心</w:t>
            </w:r>
            <w:r>
              <w:rPr>
                <w:rFonts w:ascii="方正书宋_GBK" w:eastAsia="方正书宋_GBK" w:cs="方正书宋_GBK"/>
                <w:color w:val="auto"/>
              </w:rPr>
              <w:t>)</w:t>
            </w:r>
            <w:r>
              <w:rPr>
                <w:rFonts w:hint="eastAsia" w:ascii="方正书宋_GBK" w:eastAsia="方正书宋_GBK" w:cs="方正书宋_GBK"/>
                <w:color w:val="auto"/>
              </w:rPr>
              <w:t>项目；扩大农村客运站点、候车亭、招呼牌建设；保障交通基础设施建设项目质量。</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、开展交通基础设施建设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公路、水路建设市场运转有序，各项业务顺利开展，工作按时完成。</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交通基础设施建设重点项目完成率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十、交通运输基础设施养护、维护</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开展交通运输基础设施养护、维护，对项目招投标活动进行监督管理。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完成路基路面大中型维修，加固桥梁，治理隐患；开展高速绿色廊道建设；农村公路养护实施</w:t>
            </w:r>
            <w:r>
              <w:rPr>
                <w:rFonts w:ascii="方正书宋_GBK" w:eastAsia="方正书宋_GBK"/>
                <w:color w:val="auto"/>
              </w:rPr>
              <w:t>“</w:t>
            </w:r>
            <w:r>
              <w:rPr>
                <w:rFonts w:hint="eastAsia" w:ascii="方正书宋_GBK" w:eastAsia="方正书宋_GBK" w:cs="方正书宋_GBK"/>
                <w:color w:val="auto"/>
              </w:rPr>
              <w:t>以奖代补</w:t>
            </w:r>
            <w:r>
              <w:rPr>
                <w:rFonts w:ascii="方正书宋_GBK" w:eastAsia="方正书宋_GBK"/>
                <w:color w:val="auto"/>
              </w:rPr>
              <w:t>”</w:t>
            </w:r>
            <w:r>
              <w:rPr>
                <w:rFonts w:hint="eastAsia" w:ascii="方正书宋_GBK" w:eastAsia="方正书宋_GBK" w:cs="方正书宋_GBK"/>
                <w:color w:val="auto"/>
              </w:rPr>
              <w:t>。</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、公路建设管理养护基础数据采集</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通过公路各项指标地理信息、数据采集及桥梁隧道检测、交通量调查等方式，适时采集相关数据并及时更新；管理维护设备及数据采集信息系统。</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按时、保质、保量完成数据采集分析，为公路管理提供依据和支持。</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公路基础信息数据更新率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公路基础信息数据使用率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、公路、水运工程养护监督和管理</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对公路、水运工程及其设施养护工程质量安全及招投标活动进行监督和管理。</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各项业务顺利开展，按时完成工作。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工作质量</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按时完成工作，质量高</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按时完成工作，质量一般</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基本完成工作</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项目质量</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合格</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十一、农村文化建设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、公共服务工程推广</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农家书屋建设、群众文化体育活动、全民阅读活动、老放映员生活补助以及应急广播体系建设等任务目标。</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农村公益电影放映完成率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民间交流次数</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15</w:t>
            </w:r>
            <w:r>
              <w:rPr>
                <w:rFonts w:hint="eastAsia" w:ascii="方正书宋_GBK" w:eastAsia="方正书宋_GBK" w:cs="方正书宋_GBK"/>
                <w:color w:val="auto"/>
              </w:rPr>
              <w:t>次</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10</w:t>
            </w:r>
            <w:r>
              <w:rPr>
                <w:rFonts w:hint="eastAsia" w:ascii="方正书宋_GBK" w:eastAsia="方正书宋_GBK" w:cs="方正书宋_GBK"/>
                <w:color w:val="auto"/>
              </w:rPr>
              <w:t>次</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6</w:t>
            </w:r>
            <w:r>
              <w:rPr>
                <w:rFonts w:hint="eastAsia" w:ascii="方正书宋_GBK" w:eastAsia="方正书宋_GBK" w:cs="方正书宋_GBK"/>
                <w:color w:val="auto"/>
              </w:rPr>
              <w:t>次</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6</w:t>
            </w:r>
            <w:r>
              <w:rPr>
                <w:rFonts w:hint="eastAsia" w:ascii="方正书宋_GBK" w:eastAsia="方正书宋_GBK" w:cs="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对外交流次数</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全民阅读活动任务完成率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农家书屋更新完成率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老放映员补助到位率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户户通工程任务完成率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应急广播体系建设任务完成率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群众文化体育活动组织覆盖率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十二、医疗保障</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通过贯彻实施新型农村合作医疗、疾病应急救助、城乡居民大病保险以及公费医疗等制度，保障人民群众公平享有所需医疗服务权益。</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扩大各项保险的覆盖面，及时足额落实社会保险待遇。</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、新型农村合作医疗及城乡居民大病保险</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组织、引导、支持，农民自愿参加新型农村合作医疗，提高农村居民的医疗保障水平；建立大病保险制度；对城乡居民因患大病发生的高额医疗费用给予报销。</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有效降低城乡居民看病就医的经济负担。</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新农合参合率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十三、计划生育</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提供各类计划生育技术服务，开展出生人口性别比治理以及流动人口计划生育管理等各项工作。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稳定适度的低生育水平，有效保障计划生育家庭生活水平，提高妇女生殖健康水平，降低出生缺陷的发生，有效遏制出生人口性别比偏高问题。</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、计划生育服务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免费为农村计划怀孕夫妇实行孕前优生健康检查；免费为公民提供计划生育避孕节育基本技术服务；免费为农村已婚育龄妇女提供生殖健康检查服务。</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改善乡镇农村计划怀孕夫妇健康状况，有效降低出生缺陷发生风险；为各类育龄人群提供安全、有效避孕节育技术服务；健全完善流动人口管理机制。</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免费孕前优生健康检查目标人群覆盖率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十四、政务管理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60.35</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承担系统综合业务管理和部门综合事务管理。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促进乡镇机关事务管理工作科学发展。</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、综合事务管理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60.35</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搞好服务保障，为广大干部职工提供安全、快捷、细致、周到的工作环境；加强财务管理，确保资金安全，提高财政资金使用效益。</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综合事务保障完成率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十五、环境污染综合防治</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贯彻落实大气、水体、固体废物、化学品、机动车等污染防治管理制度，开展饮用水水源地环境保护。</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加强大气、水体、机动车污染防治，加强固体废弃物、重金属等重点污染治理工程的防治工作。</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、大气污染防治</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重点对</w:t>
            </w:r>
            <w:r>
              <w:rPr>
                <w:rFonts w:ascii="方正书宋_GBK" w:eastAsia="方正书宋_GBK" w:cs="方正书宋_GBK"/>
                <w:color w:val="auto"/>
              </w:rPr>
              <w:t>PM</w:t>
            </w:r>
            <w:r>
              <w:rPr>
                <w:rFonts w:hint="eastAsia" w:ascii="方正书宋_GBK" w:eastAsia="方正书宋_GBK" w:cs="方正书宋_GBK"/>
                <w:color w:val="auto"/>
              </w:rPr>
              <w:t>、</w:t>
            </w:r>
            <w:r>
              <w:rPr>
                <w:rFonts w:ascii="方正书宋_GBK" w:eastAsia="方正书宋_GBK" w:cs="方正书宋_GBK"/>
                <w:color w:val="auto"/>
              </w:rPr>
              <w:t>VOC</w:t>
            </w:r>
            <w:r>
              <w:rPr>
                <w:rFonts w:hint="eastAsia" w:ascii="方正书宋_GBK" w:eastAsia="方正书宋_GBK" w:cs="方正书宋_GBK"/>
                <w:color w:val="auto"/>
              </w:rPr>
              <w:t>、二氧化硫等大气污染物进行综合防治，推动城镇环境空气质量改善。</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加强大气污染防治，推动城市环境空气质量改善。</w:t>
            </w:r>
          </w:p>
        </w:tc>
        <w:tc>
          <w:tcPr>
            <w:tcW w:w="1416"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VOC</w:t>
            </w:r>
            <w:r>
              <w:rPr>
                <w:rFonts w:hint="eastAsia" w:ascii="方正书宋_GBK" w:eastAsia="方正书宋_GBK" w:cs="方正书宋_GBK"/>
                <w:color w:val="auto"/>
              </w:rPr>
              <w:t>排放消减率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十六、自然生态保护</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21.60</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强化生态保护和监察监管，提高自然保护区建设水平，加强生物多样性保护力度，提升农村生态环境质量。</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加强自然生态保护。</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、农村环境综合整治</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21.60</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解决农村区域性突出环境问题</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试点、示范区域村庄污水处理率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十七、信访问题处理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负责正常信访、非访、突发性及群体性事件的办理；提供相关服务保障；协助区信访局处理群众进京上访；信访事项督查、复查复核、听证。</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及时办理正常信访业务，妥善处置非访、突发性及群体性事件，对信访事项督查、复查复核、听证。</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、办理正常信访业务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办理人民群众来信、来访、网上信访；处理乡镇群众进京上访。</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涉密</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十八、民兵训练和专武干部培训</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加强后备力量建设，培养</w:t>
            </w:r>
            <w:r>
              <w:rPr>
                <w:rFonts w:ascii="方正书宋_GBK" w:eastAsia="方正书宋_GBK"/>
                <w:color w:val="auto"/>
              </w:rPr>
              <w:t>“</w:t>
            </w:r>
            <w:r>
              <w:rPr>
                <w:rFonts w:hint="eastAsia" w:ascii="方正书宋_GBK" w:eastAsia="方正书宋_GBK" w:cs="方正书宋_GBK"/>
                <w:color w:val="auto"/>
              </w:rPr>
              <w:t>劳武</w:t>
            </w:r>
            <w:r>
              <w:rPr>
                <w:rFonts w:ascii="方正书宋_GBK" w:eastAsia="方正书宋_GBK"/>
                <w:color w:val="auto"/>
              </w:rPr>
              <w:t>”</w:t>
            </w:r>
            <w:r>
              <w:rPr>
                <w:rFonts w:hint="eastAsia" w:ascii="方正书宋_GBK" w:eastAsia="方正书宋_GBK" w:cs="方正书宋_GBK"/>
                <w:color w:val="auto"/>
              </w:rPr>
              <w:t>两用人才的人民武装建设的基地。</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w:t>
            </w:r>
            <w:r>
              <w:rPr>
                <w:rFonts w:ascii="方正书宋_GBK" w:eastAsia="方正书宋_GBK"/>
                <w:color w:val="auto"/>
              </w:rPr>
              <w:t>“</w:t>
            </w:r>
            <w:r>
              <w:rPr>
                <w:rFonts w:hint="eastAsia" w:ascii="方正书宋_GBK" w:eastAsia="方正书宋_GBK" w:cs="方正书宋_GBK"/>
                <w:color w:val="auto"/>
              </w:rPr>
              <w:t>严格训练、严格要求</w:t>
            </w:r>
            <w:r>
              <w:rPr>
                <w:rFonts w:ascii="方正书宋_GBK" w:eastAsia="方正书宋_GBK"/>
                <w:color w:val="auto"/>
              </w:rPr>
              <w:t>”</w:t>
            </w:r>
            <w:r>
              <w:rPr>
                <w:rFonts w:hint="eastAsia" w:ascii="方正书宋_GBK" w:eastAsia="方正书宋_GBK" w:cs="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、民兵训练和专武干部培训</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根据上级要求，认真</w:t>
            </w:r>
            <w:r>
              <w:rPr>
                <w:rFonts w:hint="eastAsia" w:ascii="方正书宋_GBK" w:eastAsia="方正书宋_GBK" w:cs="方正书宋_GBK"/>
                <w:color w:val="auto"/>
                <w:lang w:eastAsia="zh-CN"/>
              </w:rPr>
              <w:t>制订</w:t>
            </w:r>
            <w:r>
              <w:rPr>
                <w:rFonts w:hint="eastAsia" w:ascii="方正书宋_GBK" w:eastAsia="方正书宋_GBK" w:cs="方正书宋_GBK"/>
                <w:color w:val="auto"/>
              </w:rPr>
              <w:t>基干民兵和专武干部培训计划和方案，严格组织人员按质按量完成训练任务。保证装备器材的良好状态，随时执行紧急拉动和应急任务。</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涉密</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十九、义务教育</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以农村教育为重点，推进义务教育均衡发展，建立中小学校舍安全保障机制，改善薄弱学校办学条件，促进公共教育资源向农村和经济欠发达地区倾斜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提高义务教育公用经费保障水平，改善办学条件，均衡配置基础教育资源，缩小城乡、区域、校际之间办学差距，落实学生资助政策。</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、改善薄弱学校办学条件</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保障义务教育阶段薄弱学校基本教学条件，改善学校生活设施，办好必要的教学点，解决乡镇学校大班额问题，推进农村学校教育信息化。</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从</w:t>
            </w:r>
            <w:r>
              <w:rPr>
                <w:rFonts w:ascii="方正书宋_GBK" w:eastAsia="方正书宋_GBK" w:cs="方正书宋_GBK"/>
                <w:color w:val="auto"/>
              </w:rPr>
              <w:t>2014</w:t>
            </w:r>
            <w:r>
              <w:rPr>
                <w:rFonts w:hint="eastAsia" w:ascii="方正书宋_GBK" w:eastAsia="方正书宋_GBK" w:cs="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中小学生均校舍面积</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二十、食品药品安全管理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对食品制作流通各环节进行监管，及时发现和排除食品安全问题，确保大型活动期间的餐饮安全。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、食品（含保健品）安全监管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通过对食品生产、流通、餐饮消费、保健食品的各个环节抽验和强力监管，及时发现和排除食品安全问题</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确保食品安全，重大活动和暑期食品不出现重大事故，保证人民群众饮食安全。不出现重大食品安全事故</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重大食品事故案件（个）</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、重大活动餐饮服务食品安全保障</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规范重大活动餐饮服务单位食品安全监管，确保大型政治、经济、文化、体育活动及举办各类大型会议、展览会和赛事等活动期间的餐饮服务食品安全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提升重大活动餐饮服务食品安全监管水平；规范重大活动餐饮服务单位食品安全监管；</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重大活动餐饮服务接待单位预监督率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、综合业务管理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强化监管手段，组织开展食品药品科研项目、监督、检查、检测、案件处置、统计分析、信息公开、宣传教育等各项综合业务工作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食品药品检验能力进一步提升，监管能力全面提升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检验监测能力与检测需求比率相适应</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二十一、安全生产综合监督管理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承担全县安全生产综合监督管理责任，依法行使综合监督管理职权；根据</w:t>
            </w:r>
            <w:r>
              <w:rPr>
                <w:rFonts w:hint="eastAsia" w:ascii="方正书宋_GBK" w:eastAsia="方正书宋_GBK" w:cs="方正书宋_GBK"/>
                <w:color w:val="auto"/>
                <w:lang w:eastAsia="zh-CN"/>
              </w:rPr>
              <w:t>《中华人民共和国安全生产法》</w:t>
            </w:r>
            <w:r>
              <w:rPr>
                <w:rFonts w:hint="eastAsia" w:ascii="方正书宋_GBK" w:eastAsia="方正书宋_GBK" w:cs="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、加强安全生产综合监督管理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检查覆盖率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、加强重大危险源安全管理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加强重大危险源的监测、监控、辨识与评估及登记建档、备案与核销等安全管理；开展重大危险源执法检查工作。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科学准确进行重大危险源等级界定；有效开展监测数据的综合分析、数据发布工作；督促企业切实加强危险源监控，有效治理隐患，落实监管责任</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专项检查次数</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二十二、防灾减灾救灾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组织开展乡镇防灾减灾救灾工作；组织救灾捐赠工作，负责救灾捐赠款物的接收和分配。</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实施分类救助，保障受灾群众基本生活。</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、防灾减灾及救灾准备</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组织乡级防灾减灾及救灾活动；提高专业队伍业务素质。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提高公民避灾自救能力和防灾减灾意识，提升重大自然灾害防御能力；提高专业队伍业务素质；保障上级救灾物资及时组织发放，提高抗灾水平。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组织防灾减灾及救灾准备活动次数（次）</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、灾民救助</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突发灾害报灾时效性和准确性</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12</w:t>
            </w:r>
            <w:r>
              <w:rPr>
                <w:rFonts w:hint="eastAsia" w:ascii="方正书宋_GBK" w:eastAsia="方正书宋_GBK" w:cs="方正书宋_GBK"/>
                <w:color w:val="auto"/>
              </w:rPr>
              <w:t>小时内，准确度</w:t>
            </w:r>
            <w:r>
              <w:rPr>
                <w:rFonts w:ascii="方正书宋_GBK" w:eastAsia="方正书宋_GBK" w:cs="方正书宋_GBK"/>
                <w:color w:val="auto"/>
              </w:rPr>
              <w:t>98%</w:t>
            </w:r>
            <w:r>
              <w:rPr>
                <w:rFonts w:hint="eastAsia" w:ascii="方正书宋_GBK" w:eastAsia="方正书宋_GBK" w:cs="方正书宋_GBK"/>
                <w:color w:val="auto"/>
              </w:rPr>
              <w:t>及以上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24</w:t>
            </w:r>
            <w:r>
              <w:rPr>
                <w:rFonts w:hint="eastAsia" w:ascii="方正书宋_GBK" w:eastAsia="方正书宋_GBK" w:cs="方正书宋_GBK"/>
                <w:color w:val="auto"/>
              </w:rPr>
              <w:t>小时内，准确度</w:t>
            </w:r>
            <w:r>
              <w:rPr>
                <w:rFonts w:ascii="方正书宋_GBK" w:eastAsia="方正书宋_GBK" w:cs="方正书宋_GBK"/>
                <w:color w:val="auto"/>
              </w:rPr>
              <w:t>95%</w:t>
            </w:r>
            <w:r>
              <w:rPr>
                <w:rFonts w:hint="eastAsia" w:ascii="方正书宋_GBK" w:eastAsia="方正书宋_GBK" w:cs="方正书宋_GBK"/>
                <w:color w:val="auto"/>
              </w:rPr>
              <w:t>及以上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24</w:t>
            </w:r>
            <w:r>
              <w:rPr>
                <w:rFonts w:hint="eastAsia" w:ascii="方正书宋_GBK" w:eastAsia="方正书宋_GBK" w:cs="方正书宋_GBK"/>
                <w:color w:val="auto"/>
              </w:rPr>
              <w:t>小时内，准确度</w:t>
            </w:r>
            <w:r>
              <w:rPr>
                <w:rFonts w:ascii="方正书宋_GBK" w:eastAsia="方正书宋_GBK" w:cs="方正书宋_GBK"/>
                <w:color w:val="auto"/>
              </w:rPr>
              <w:t>90%</w:t>
            </w:r>
            <w:r>
              <w:rPr>
                <w:rFonts w:hint="eastAsia" w:ascii="方正书宋_GBK" w:eastAsia="方正书宋_GBK" w:cs="方正书宋_GBK"/>
                <w:color w:val="auto"/>
              </w:rPr>
              <w:t>及以上</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超出</w:t>
            </w:r>
            <w:r>
              <w:rPr>
                <w:rFonts w:ascii="方正书宋_GBK" w:eastAsia="方正书宋_GBK" w:cs="方正书宋_GBK"/>
                <w:color w:val="auto"/>
              </w:rPr>
              <w:t>24</w:t>
            </w:r>
            <w:r>
              <w:rPr>
                <w:rFonts w:hint="eastAsia" w:ascii="方正书宋_GBK" w:eastAsia="方正书宋_GBK" w:cs="方正书宋_GBK"/>
                <w:color w:val="auto"/>
              </w:rPr>
              <w:t>小时，准确度低于</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救灾措施到位率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二十三、扶持农产品生产</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对生产者采取直接补贴的办法，支持推广优良品种、先进适用种养技术，实施科学管理</w:t>
            </w:r>
            <w:r>
              <w:rPr>
                <w:rFonts w:ascii="方正书宋_GBK" w:eastAsia="方正书宋_GBK" w:cs="方正书宋_GBK"/>
                <w:color w:val="auto"/>
              </w:rPr>
              <w:t>,</w:t>
            </w:r>
            <w:r>
              <w:rPr>
                <w:rFonts w:hint="eastAsia" w:ascii="方正书宋_GBK" w:eastAsia="方正书宋_GBK" w:cs="方正书宋_GBK"/>
                <w:color w:val="auto"/>
              </w:rPr>
              <w:t>提高农产品产量、质量，提高生产经营效益。</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提高农产品产量和产量，优化农业产业结构，提高经济效益，增加农民收入。</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、实施良种补贴</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按照国家、省部署，对全乡主要粮食作物和猪、牛、羊、鸡等畜产品生产实施良种补贴</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小麦、玉米、水稻、棉花良种补贴全覆盖。畜牧、水产品种优良化率持续提高</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良种补贴覆盖率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、实施菜篮子工程</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促进</w:t>
            </w:r>
            <w:r>
              <w:rPr>
                <w:rFonts w:ascii="方正书宋_GBK" w:eastAsia="方正书宋_GBK"/>
                <w:color w:val="auto"/>
              </w:rPr>
              <w:t>“</w:t>
            </w:r>
            <w:r>
              <w:rPr>
                <w:rFonts w:hint="eastAsia" w:ascii="方正书宋_GBK" w:eastAsia="方正书宋_GBK" w:cs="方正书宋_GBK"/>
                <w:color w:val="auto"/>
              </w:rPr>
              <w:t>菜篮子</w:t>
            </w:r>
            <w:r>
              <w:rPr>
                <w:rFonts w:ascii="方正书宋_GBK" w:eastAsia="方正书宋_GBK"/>
                <w:color w:val="auto"/>
              </w:rPr>
              <w:t>”</w:t>
            </w:r>
            <w:r>
              <w:rPr>
                <w:rFonts w:hint="eastAsia" w:ascii="方正书宋_GBK" w:eastAsia="方正书宋_GBK" w:cs="方正书宋_GBK"/>
                <w:color w:val="auto"/>
              </w:rPr>
              <w:t>产品生产向规模化、园区化、设施化、标准化和产销一体化发展</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蔬菜标准园创建完成率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按要求完成畜禽标准化健康养殖规模场改造任务</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二十四、完善农村经营管理体制</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推进农村集体产权制度改革，完善农村土地承包制度，引导农村土地合理流转。创新农业经营主体。</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规范流转行为，优化资源配置，促进农民专业合作经济组织健康发展，加快新农村建设和城镇化进程</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、促进土地流转</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建设土地流转有形市场。</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指导全乡建立运转顺畅、便捷高效的农村土地承包经营权流转服务平台，带动土地流转依法、有序开展</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土地流转提高率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、土地确权登记</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根据国家要求开展农村土地承包经营确权登记试点，并逐步向全县全面推开。</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完成全乡耕地面积</w:t>
            </w:r>
            <w:r>
              <w:rPr>
                <w:rFonts w:ascii="方正书宋_GBK" w:eastAsia="方正书宋_GBK" w:cs="方正书宋_GBK"/>
                <w:color w:val="auto"/>
              </w:rPr>
              <w:t>50%</w:t>
            </w:r>
            <w:r>
              <w:rPr>
                <w:rFonts w:hint="eastAsia" w:ascii="方正书宋_GBK" w:eastAsia="方正书宋_GBK" w:cs="方正书宋_GBK"/>
                <w:color w:val="auto"/>
              </w:rPr>
              <w:t>的确权登记颁证目标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农村土地承包土地确权登记颁证率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50%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、农村经营管理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支持农民专业合作组织规范、健康发展。建立健全农村集体</w:t>
            </w:r>
            <w:r>
              <w:rPr>
                <w:rFonts w:ascii="方正书宋_GBK" w:eastAsia="方正书宋_GBK"/>
                <w:color w:val="auto"/>
              </w:rPr>
              <w:t>“</w:t>
            </w:r>
            <w:r>
              <w:rPr>
                <w:rFonts w:hint="eastAsia" w:ascii="方正书宋_GBK" w:eastAsia="方正书宋_GBK" w:cs="方正书宋_GBK"/>
                <w:color w:val="auto"/>
              </w:rPr>
              <w:t>三资</w:t>
            </w:r>
            <w:r>
              <w:rPr>
                <w:rFonts w:ascii="方正书宋_GBK" w:eastAsia="方正书宋_GBK"/>
                <w:color w:val="auto"/>
              </w:rPr>
              <w:t>”</w:t>
            </w:r>
            <w:r>
              <w:rPr>
                <w:rFonts w:hint="eastAsia" w:ascii="方正书宋_GBK" w:eastAsia="方正书宋_GBK" w:cs="方正书宋_GBK"/>
                <w:color w:val="auto"/>
              </w:rPr>
              <w:t>管理制度，盘活集体存量资产资源，拓宽集体增收渠道，促进农村集体资产保值增值。</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健全农村集体</w:t>
            </w:r>
            <w:r>
              <w:rPr>
                <w:rFonts w:ascii="方正书宋_GBK" w:eastAsia="方正书宋_GBK"/>
                <w:color w:val="auto"/>
              </w:rPr>
              <w:t>“</w:t>
            </w:r>
            <w:r>
              <w:rPr>
                <w:rFonts w:hint="eastAsia" w:ascii="方正书宋_GBK" w:eastAsia="方正书宋_GBK" w:cs="方正书宋_GBK"/>
                <w:color w:val="auto"/>
              </w:rPr>
              <w:t>三资</w:t>
            </w:r>
            <w:r>
              <w:rPr>
                <w:rFonts w:ascii="方正书宋_GBK" w:eastAsia="方正书宋_GBK"/>
                <w:color w:val="auto"/>
              </w:rPr>
              <w:t>”</w:t>
            </w:r>
            <w:r>
              <w:rPr>
                <w:rFonts w:hint="eastAsia" w:ascii="方正书宋_GBK" w:eastAsia="方正书宋_GBK" w:cs="方正书宋_GBK"/>
                <w:color w:val="auto"/>
              </w:rPr>
              <w:t>管理制度，指导农村经济组织健康、规范发展</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村集体经济业务规范率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二十五、林业生态建设</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11.88</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完成国家下达和省委省政府</w:t>
            </w:r>
            <w:r>
              <w:rPr>
                <w:rFonts w:hint="eastAsia" w:ascii="方正书宋_GBK" w:eastAsia="方正书宋_GBK" w:cs="方正书宋_GBK"/>
                <w:color w:val="auto"/>
                <w:lang w:eastAsia="zh-CN"/>
              </w:rPr>
              <w:t>制订</w:t>
            </w:r>
            <w:r>
              <w:rPr>
                <w:rFonts w:hint="eastAsia" w:ascii="方正书宋_GBK" w:eastAsia="方正书宋_GBK" w:cs="方正书宋_GBK"/>
                <w:color w:val="auto"/>
              </w:rPr>
              <w:t>的造林任务及全区森林覆盖率考核目标。有效改善生态环境。</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、造林绿化</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11.88</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增加有林地面积，提高乡镇绿化水平和森林覆盖率，改善生态环境。</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森林覆盖率提高</w:t>
            </w:r>
            <w:r>
              <w:rPr>
                <w:rFonts w:ascii="方正书宋_GBK" w:eastAsia="方正书宋_GBK" w:cs="方正书宋_GBK"/>
                <w:color w:val="auto"/>
              </w:rPr>
              <w:t>1</w:t>
            </w:r>
            <w:r>
              <w:rPr>
                <w:rFonts w:hint="eastAsia" w:ascii="方正书宋_GBK" w:eastAsia="方正书宋_GBK" w:cs="方正书宋_GBK"/>
                <w:color w:val="auto"/>
              </w:rPr>
              <w:t>个百分点。</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0.8%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0.6%</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全乡镇完成年初造林绿化任务。</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二十六、推进新农村建设</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4.23</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通过实施农村面貌改造提升行动，加快建设社会主义新农村。</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通过实施农村面貌改造提升行动和开展新民居中心村示范点建设，加快建设社会主义新农村。改善农村环境面貌，提升农民生产生活条件。</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、农村面貌改造提升</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按照统筹城乡发展要求，以</w:t>
            </w:r>
            <w:r>
              <w:rPr>
                <w:rFonts w:ascii="方正书宋_GBK" w:eastAsia="方正书宋_GBK"/>
                <w:color w:val="auto"/>
              </w:rPr>
              <w:t>“</w:t>
            </w:r>
            <w:r>
              <w:rPr>
                <w:rFonts w:hint="eastAsia" w:ascii="方正书宋_GBK" w:eastAsia="方正书宋_GBK" w:cs="方正书宋_GBK"/>
                <w:color w:val="auto"/>
              </w:rPr>
              <w:t>保持田园风光、增加现代设施、绿化村落庭院、传承优秀文化</w:t>
            </w:r>
            <w:r>
              <w:rPr>
                <w:rFonts w:ascii="方正书宋_GBK" w:eastAsia="方正书宋_GBK"/>
                <w:color w:val="auto"/>
              </w:rPr>
              <w:t>”</w:t>
            </w:r>
            <w:r>
              <w:rPr>
                <w:rFonts w:hint="eastAsia" w:ascii="方正书宋_GBK" w:eastAsia="方正书宋_GBK" w:cs="方正书宋_GBK"/>
                <w:color w:val="auto"/>
              </w:rPr>
              <w:t>为重点，组织实施农村面貌改造提升行动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围绕农村改造</w:t>
            </w:r>
            <w:r>
              <w:rPr>
                <w:rFonts w:ascii="方正书宋_GBK" w:eastAsia="方正书宋_GBK" w:cs="方正书宋_GBK"/>
                <w:color w:val="auto"/>
              </w:rPr>
              <w:t>15</w:t>
            </w:r>
            <w:r>
              <w:rPr>
                <w:rFonts w:hint="eastAsia" w:ascii="方正书宋_GBK" w:eastAsia="方正书宋_GBK" w:cs="方正书宋_GBK"/>
                <w:color w:val="auto"/>
              </w:rPr>
              <w:t>件实事，突出重点，因地制宜，开展农村面貌改造提升。按照分期分批推进的要求，每年选定一批重点村实施改造提升。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重点村改造提升完成率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、美丽乡村建设</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按照市、县统筹城乡发展的要求，以</w:t>
            </w:r>
            <w:r>
              <w:rPr>
                <w:rFonts w:ascii="方正书宋_GBK" w:eastAsia="方正书宋_GBK"/>
                <w:color w:val="auto"/>
              </w:rPr>
              <w:t>“</w:t>
            </w:r>
            <w:r>
              <w:rPr>
                <w:rFonts w:hint="eastAsia" w:ascii="方正书宋_GBK" w:eastAsia="方正书宋_GBK" w:cs="方正书宋_GBK"/>
                <w:color w:val="auto"/>
              </w:rPr>
              <w:t>环境美、产业美、精神美、生态美</w:t>
            </w:r>
            <w:r>
              <w:rPr>
                <w:rFonts w:ascii="方正书宋_GBK" w:eastAsia="方正书宋_GBK"/>
                <w:color w:val="auto"/>
              </w:rPr>
              <w:t>”</w:t>
            </w:r>
            <w:r>
              <w:rPr>
                <w:rFonts w:hint="eastAsia" w:ascii="方正书宋_GBK" w:eastAsia="方正书宋_GBK" w:cs="方正书宋_GBK"/>
                <w:color w:val="auto"/>
              </w:rPr>
              <w:t>为重点，大力推进美丽乡村建设。</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突出重点，因地制宜，按照分期分批推进的要求，每年选定一批重点村实施改造提升。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美丽乡村建设重点村任务完成率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村民满意度</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、选聘</w:t>
            </w:r>
            <w:r>
              <w:rPr>
                <w:rFonts w:hint="eastAsia" w:ascii="方正书宋_GBK" w:eastAsia="方正书宋_GBK" w:cs="方正书宋_GBK"/>
                <w:b/>
                <w:bCs/>
                <w:color w:val="auto"/>
                <w:lang w:eastAsia="zh-CN"/>
              </w:rPr>
              <w:t>村干部</w:t>
            </w:r>
            <w:r>
              <w:rPr>
                <w:rFonts w:hint="eastAsia" w:ascii="方正书宋_GBK" w:eastAsia="方正书宋_GBK" w:cs="方正书宋_GBK"/>
                <w:b/>
                <w:bCs/>
                <w:color w:val="auto"/>
              </w:rPr>
              <w:t>任职管理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4.23</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引导大学生到农村锻炼任职，形成来自基层和生产一线的党政干部培养链，巩固党在农村的执政基础，加快推进社会主义新农村建设。</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加强对农村人才的培养和使用，进一步建立健全农村基层干部的激励保障机制，建立和完善</w:t>
            </w:r>
            <w:r>
              <w:rPr>
                <w:rFonts w:hint="eastAsia" w:ascii="方正书宋_GBK" w:eastAsia="方正书宋_GBK" w:cs="方正书宋_GBK"/>
                <w:color w:val="auto"/>
                <w:lang w:eastAsia="zh-CN"/>
              </w:rPr>
              <w:t>村干部</w:t>
            </w:r>
            <w:r>
              <w:rPr>
                <w:rFonts w:hint="eastAsia" w:ascii="方正书宋_GBK" w:eastAsia="方正书宋_GBK" w:cs="方正书宋_GBK"/>
                <w:color w:val="auto"/>
              </w:rPr>
              <w:t>工资及各项保障待遇，解除</w:t>
            </w:r>
            <w:r>
              <w:rPr>
                <w:rFonts w:hint="eastAsia" w:ascii="方正书宋_GBK" w:eastAsia="方正书宋_GBK" w:cs="方正书宋_GBK"/>
                <w:color w:val="auto"/>
                <w:lang w:eastAsia="zh-CN"/>
              </w:rPr>
              <w:t>村干部</w:t>
            </w:r>
            <w:r>
              <w:rPr>
                <w:rFonts w:hint="eastAsia" w:ascii="方正书宋_GBK" w:eastAsia="方正书宋_GBK" w:cs="方正书宋_GBK"/>
                <w:color w:val="auto"/>
              </w:rPr>
              <w:t>的后顾之忧，进一步调动</w:t>
            </w:r>
            <w:r>
              <w:rPr>
                <w:rFonts w:hint="eastAsia" w:ascii="方正书宋_GBK" w:eastAsia="方正书宋_GBK" w:cs="方正书宋_GBK"/>
                <w:color w:val="auto"/>
                <w:lang w:eastAsia="zh-CN"/>
              </w:rPr>
              <w:t>村干部</w:t>
            </w:r>
            <w:r>
              <w:rPr>
                <w:rFonts w:hint="eastAsia" w:ascii="方正书宋_GBK" w:eastAsia="方正书宋_GBK" w:cs="方正书宋_GBK"/>
                <w:color w:val="auto"/>
              </w:rPr>
              <w:t>的工作积极性。</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lang w:eastAsia="zh-CN"/>
              </w:rPr>
              <w:t>村干部</w:t>
            </w:r>
            <w:r>
              <w:rPr>
                <w:rFonts w:hint="eastAsia" w:ascii="方正书宋_GBK" w:eastAsia="方正书宋_GBK" w:cs="方正书宋_GBK"/>
                <w:color w:val="auto"/>
              </w:rPr>
              <w:t>待遇保障程度</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二十七、农村农业事务管理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351.02</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提高农村管理水平，贯彻执行农、林现代化管理水平，推动实施农村面貌提升，组织实施扶贫开发、农业开发、整村推进小康建设</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、村级管理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343.02</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不改变村级资金管理方式，农村财务实行</w:t>
            </w: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规范村级财务管理</w:t>
            </w:r>
          </w:p>
        </w:tc>
        <w:tc>
          <w:tcPr>
            <w:tcW w:w="1416" w:type="dxa"/>
            <w:vAlign w:val="center"/>
          </w:tcPr>
          <w:p>
            <w:pPr>
              <w:spacing w:line="300" w:lineRule="exact"/>
              <w:jc w:val="left"/>
              <w:rPr>
                <w:rFonts w:ascii="方正书宋_GBK" w:eastAsia="方正书宋_GBK" w:cs="Times New Roman"/>
                <w:color w:val="auto"/>
              </w:rPr>
            </w:pP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r>
              <w:rPr>
                <w:rFonts w:hint="eastAsia" w:ascii="方正书宋_GBK" w:eastAsia="方正书宋_GBK" w:cs="方正书宋_GBK"/>
                <w:color w:val="auto"/>
              </w:rPr>
              <w:t>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、农林事务管理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8.00</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对农民进行统筹指导农业及林业发展。按照统筹城乡发展要求，组织实施农村面貌改造提升行动。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改善产业结构，提高农民收入水平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完成农、林业生产指标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60%</w:t>
            </w:r>
          </w:p>
        </w:tc>
      </w:tr>
    </w:tbl>
    <w:p>
      <w:pPr>
        <w:spacing w:line="300" w:lineRule="exact"/>
        <w:jc w:val="left"/>
        <w:outlineLvl w:val="0"/>
        <w:rPr>
          <w:rFonts w:cs="Times New Roman"/>
          <w:color w:val="auto"/>
        </w:rPr>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hAnsi="Times New Roman" w:eastAsia="方正小标宋_GBK" w:cs="Times New Roman"/>
          <w:color w:val="auto"/>
          <w:sz w:val="32"/>
          <w:szCs w:val="32"/>
        </w:r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六、政府采购预算情况</w:t>
      </w:r>
    </w:p>
    <w:p>
      <w:pPr>
        <w:ind w:firstLine="640" w:firstLineChars="200"/>
        <w:outlineLvl w:val="0"/>
        <w:rPr>
          <w:rFonts w:ascii="Times New Roman" w:hAnsi="Times New Roman" w:eastAsia="仿宋" w:cs="Times New Roman"/>
          <w:color w:val="auto"/>
          <w:sz w:val="32"/>
          <w:szCs w:val="32"/>
        </w:rPr>
      </w:pPr>
      <w:bookmarkStart w:id="2" w:name="_Toc471398468"/>
      <w:r>
        <w:rPr>
          <w:rFonts w:ascii="Times New Roman" w:hAnsi="Times New Roman" w:eastAsia="仿宋" w:cs="Times New Roman"/>
          <w:color w:val="auto"/>
          <w:sz w:val="32"/>
          <w:szCs w:val="32"/>
        </w:rPr>
        <w:t xml:space="preserve"> 2019</w:t>
      </w:r>
      <w:r>
        <w:rPr>
          <w:rFonts w:hint="eastAsia" w:ascii="Times New Roman" w:hAnsi="Times New Roman" w:eastAsia="仿宋" w:cs="仿宋"/>
          <w:color w:val="auto"/>
          <w:sz w:val="32"/>
          <w:szCs w:val="32"/>
        </w:rPr>
        <w:t>年，</w:t>
      </w:r>
      <w:r>
        <w:rPr>
          <w:rFonts w:hint="eastAsia" w:ascii="Times New Roman" w:hAnsi="Times New Roman" w:eastAsia="仿宋" w:cs="仿宋"/>
          <w:color w:val="auto"/>
          <w:sz w:val="32"/>
          <w:szCs w:val="32"/>
          <w:lang w:eastAsia="zh-CN"/>
        </w:rPr>
        <w:t>我乡</w:t>
      </w:r>
      <w:r>
        <w:rPr>
          <w:rFonts w:hint="eastAsia" w:ascii="Times New Roman" w:hAnsi="Times New Roman" w:eastAsia="仿宋" w:cs="仿宋"/>
          <w:color w:val="auto"/>
          <w:sz w:val="32"/>
          <w:szCs w:val="32"/>
        </w:rPr>
        <w:t>安排政府采购预算</w:t>
      </w:r>
      <w:r>
        <w:rPr>
          <w:rFonts w:hint="eastAsia" w:ascii="Times New Roman" w:hAnsi="Times New Roman" w:eastAsia="仿宋" w:cs="Times New Roman"/>
          <w:color w:val="auto"/>
          <w:sz w:val="32"/>
          <w:szCs w:val="32"/>
          <w:lang w:val="en-US" w:eastAsia="zh-CN"/>
        </w:rPr>
        <w:t>6.5</w:t>
      </w:r>
      <w:r>
        <w:rPr>
          <w:rFonts w:hint="eastAsia" w:ascii="Times New Roman" w:hAnsi="Times New Roman" w:eastAsia="仿宋" w:cs="仿宋"/>
          <w:color w:val="auto"/>
          <w:sz w:val="32"/>
          <w:szCs w:val="32"/>
        </w:rPr>
        <w:t>万元。具体内容见下表。</w:t>
      </w:r>
      <w:bookmarkEnd w:id="2"/>
    </w:p>
    <w:p>
      <w:pPr>
        <w:jc w:val="center"/>
        <w:outlineLvl w:val="0"/>
        <w:rPr>
          <w:rFonts w:ascii="方正小标宋_GBK" w:eastAsia="方正小标宋_GBK" w:cs="Times New Roman"/>
          <w:color w:val="auto"/>
          <w:sz w:val="32"/>
          <w:szCs w:val="32"/>
        </w:rPr>
      </w:pPr>
      <w:bookmarkStart w:id="3" w:name="_Toc514322"/>
      <w:r>
        <w:rPr>
          <w:rFonts w:hint="eastAsia" w:ascii="方正小标宋_GBK" w:eastAsia="方正小标宋_GBK" w:cs="方正小标宋_GBK"/>
          <w:color w:val="auto"/>
          <w:sz w:val="32"/>
          <w:szCs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cs="Times New Roman"/>
                <w:color w:val="auto"/>
                <w:sz w:val="24"/>
                <w:szCs w:val="24"/>
                <w:lang w:eastAsia="zh-CN"/>
              </w:rPr>
            </w:pPr>
            <w:r>
              <w:rPr>
                <w:rFonts w:ascii="方正小标宋_GBK" w:eastAsia="方正小标宋_GBK" w:cs="方正小标宋_GBK"/>
                <w:color w:val="auto"/>
                <w:sz w:val="24"/>
                <w:szCs w:val="24"/>
              </w:rPr>
              <w:t>986</w:t>
            </w:r>
            <w:r>
              <w:rPr>
                <w:rFonts w:hint="eastAsia" w:ascii="方正小标宋_GBK" w:eastAsia="方正小标宋_GBK" w:cs="方正小标宋_GBK"/>
                <w:color w:val="auto"/>
                <w:sz w:val="24"/>
                <w:szCs w:val="24"/>
              </w:rPr>
              <w:t>曲阳县</w:t>
            </w:r>
            <w:r>
              <w:rPr>
                <w:rFonts w:hint="eastAsia" w:ascii="方正小标宋_GBK" w:eastAsia="方正小标宋_GBK" w:cs="方正小标宋_GBK"/>
                <w:color w:val="auto"/>
                <w:sz w:val="24"/>
                <w:szCs w:val="24"/>
                <w:lang w:eastAsia="zh-CN"/>
              </w:rPr>
              <w:t>党城乡</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政府采购项目来源</w:t>
            </w:r>
          </w:p>
        </w:tc>
        <w:tc>
          <w:tcPr>
            <w:tcW w:w="974"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采购物品名称</w:t>
            </w:r>
          </w:p>
        </w:tc>
        <w:tc>
          <w:tcPr>
            <w:tcW w:w="98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政府采购目录序号</w:t>
            </w:r>
          </w:p>
        </w:tc>
        <w:tc>
          <w:tcPr>
            <w:tcW w:w="760"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r>
              <w:rPr>
                <w:rFonts w:ascii="方正书宋_GBK" w:eastAsia="方正书宋_GBK" w:cs="方正书宋_GBK"/>
                <w:b/>
                <w:bCs/>
                <w:color w:val="auto"/>
              </w:rPr>
              <w:t xml:space="preserve">  </w:t>
            </w:r>
            <w:r>
              <w:rPr>
                <w:rFonts w:hint="eastAsia" w:ascii="方正书宋_GBK" w:eastAsia="方正书宋_GBK" w:cs="方正书宋_GBK"/>
                <w:b/>
                <w:bCs/>
                <w:color w:val="auto"/>
              </w:rPr>
              <w:t>单位</w:t>
            </w:r>
          </w:p>
        </w:tc>
        <w:tc>
          <w:tcPr>
            <w:tcW w:w="760"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p>
        </w:tc>
        <w:tc>
          <w:tcPr>
            <w:tcW w:w="848"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单价</w:t>
            </w:r>
          </w:p>
        </w:tc>
        <w:tc>
          <w:tcPr>
            <w:tcW w:w="6693" w:type="dxa"/>
            <w:gridSpan w:val="7"/>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项目名称</w:t>
            </w:r>
          </w:p>
        </w:tc>
        <w:tc>
          <w:tcPr>
            <w:tcW w:w="1099"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预算资金</w:t>
            </w:r>
          </w:p>
        </w:tc>
        <w:tc>
          <w:tcPr>
            <w:tcW w:w="974" w:type="dxa"/>
            <w:vMerge w:val="continue"/>
            <w:vAlign w:val="center"/>
          </w:tcPr>
          <w:p>
            <w:pPr>
              <w:spacing w:line="300" w:lineRule="exact"/>
              <w:jc w:val="left"/>
              <w:outlineLvl w:val="0"/>
              <w:rPr>
                <w:rFonts w:cs="Times New Roman"/>
                <w:color w:val="auto"/>
              </w:rPr>
            </w:pPr>
          </w:p>
        </w:tc>
        <w:tc>
          <w:tcPr>
            <w:tcW w:w="986" w:type="dxa"/>
            <w:vMerge w:val="continue"/>
            <w:vAlign w:val="center"/>
          </w:tcPr>
          <w:p>
            <w:pPr>
              <w:spacing w:line="300" w:lineRule="exact"/>
              <w:jc w:val="left"/>
              <w:outlineLvl w:val="0"/>
              <w:rPr>
                <w:rFonts w:cs="Times New Roman"/>
                <w:color w:val="auto"/>
              </w:rPr>
            </w:pPr>
          </w:p>
        </w:tc>
        <w:tc>
          <w:tcPr>
            <w:tcW w:w="760" w:type="dxa"/>
            <w:vMerge w:val="continue"/>
            <w:vAlign w:val="center"/>
          </w:tcPr>
          <w:p>
            <w:pPr>
              <w:spacing w:line="300" w:lineRule="exact"/>
              <w:jc w:val="left"/>
              <w:outlineLvl w:val="0"/>
              <w:rPr>
                <w:rFonts w:cs="Times New Roman"/>
                <w:color w:val="auto"/>
              </w:rPr>
            </w:pPr>
          </w:p>
        </w:tc>
        <w:tc>
          <w:tcPr>
            <w:tcW w:w="760" w:type="dxa"/>
            <w:vMerge w:val="continue"/>
            <w:vAlign w:val="center"/>
          </w:tcPr>
          <w:p>
            <w:pPr>
              <w:spacing w:line="300" w:lineRule="exact"/>
              <w:jc w:val="left"/>
              <w:outlineLvl w:val="0"/>
              <w:rPr>
                <w:rFonts w:cs="Times New Roman"/>
                <w:color w:val="auto"/>
              </w:rPr>
            </w:pPr>
          </w:p>
        </w:tc>
        <w:tc>
          <w:tcPr>
            <w:tcW w:w="848" w:type="dxa"/>
            <w:vMerge w:val="continue"/>
            <w:vAlign w:val="center"/>
          </w:tcPr>
          <w:p>
            <w:pPr>
              <w:spacing w:line="300" w:lineRule="exact"/>
              <w:jc w:val="left"/>
              <w:outlineLvl w:val="0"/>
              <w:rPr>
                <w:rFonts w:cs="Times New Roman"/>
                <w:color w:val="auto"/>
              </w:rPr>
            </w:pPr>
          </w:p>
        </w:tc>
        <w:tc>
          <w:tcPr>
            <w:tcW w:w="961"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总计</w:t>
            </w:r>
          </w:p>
        </w:tc>
        <w:tc>
          <w:tcPr>
            <w:tcW w:w="4811" w:type="dxa"/>
            <w:gridSpan w:val="5"/>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当年部门预算安排资金</w:t>
            </w:r>
          </w:p>
        </w:tc>
        <w:tc>
          <w:tcPr>
            <w:tcW w:w="921"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rFonts w:cs="Times New Roman"/>
                <w:color w:val="auto"/>
              </w:rPr>
            </w:pPr>
          </w:p>
        </w:tc>
        <w:tc>
          <w:tcPr>
            <w:tcW w:w="1099" w:type="dxa"/>
            <w:vMerge w:val="continue"/>
            <w:vAlign w:val="center"/>
          </w:tcPr>
          <w:p>
            <w:pPr>
              <w:spacing w:line="300" w:lineRule="exact"/>
              <w:jc w:val="left"/>
              <w:outlineLvl w:val="0"/>
              <w:rPr>
                <w:rFonts w:cs="Times New Roman"/>
                <w:color w:val="auto"/>
              </w:rPr>
            </w:pPr>
          </w:p>
        </w:tc>
        <w:tc>
          <w:tcPr>
            <w:tcW w:w="974" w:type="dxa"/>
            <w:vMerge w:val="continue"/>
            <w:vAlign w:val="center"/>
          </w:tcPr>
          <w:p>
            <w:pPr>
              <w:spacing w:line="300" w:lineRule="exact"/>
              <w:jc w:val="left"/>
              <w:outlineLvl w:val="0"/>
              <w:rPr>
                <w:rFonts w:cs="Times New Roman"/>
                <w:color w:val="auto"/>
              </w:rPr>
            </w:pPr>
          </w:p>
        </w:tc>
        <w:tc>
          <w:tcPr>
            <w:tcW w:w="986" w:type="dxa"/>
            <w:vMerge w:val="continue"/>
            <w:vAlign w:val="center"/>
          </w:tcPr>
          <w:p>
            <w:pPr>
              <w:spacing w:line="300" w:lineRule="exact"/>
              <w:jc w:val="left"/>
              <w:outlineLvl w:val="0"/>
              <w:rPr>
                <w:rFonts w:cs="Times New Roman"/>
                <w:color w:val="auto"/>
              </w:rPr>
            </w:pPr>
          </w:p>
        </w:tc>
        <w:tc>
          <w:tcPr>
            <w:tcW w:w="760" w:type="dxa"/>
            <w:vMerge w:val="continue"/>
            <w:vAlign w:val="center"/>
          </w:tcPr>
          <w:p>
            <w:pPr>
              <w:spacing w:line="300" w:lineRule="exact"/>
              <w:jc w:val="left"/>
              <w:outlineLvl w:val="0"/>
              <w:rPr>
                <w:rFonts w:cs="Times New Roman"/>
                <w:color w:val="auto"/>
              </w:rPr>
            </w:pPr>
          </w:p>
        </w:tc>
        <w:tc>
          <w:tcPr>
            <w:tcW w:w="760" w:type="dxa"/>
            <w:vMerge w:val="continue"/>
            <w:vAlign w:val="center"/>
          </w:tcPr>
          <w:p>
            <w:pPr>
              <w:spacing w:line="300" w:lineRule="exact"/>
              <w:jc w:val="left"/>
              <w:outlineLvl w:val="0"/>
              <w:rPr>
                <w:rFonts w:cs="Times New Roman"/>
                <w:color w:val="auto"/>
              </w:rPr>
            </w:pPr>
          </w:p>
        </w:tc>
        <w:tc>
          <w:tcPr>
            <w:tcW w:w="848" w:type="dxa"/>
            <w:vMerge w:val="continue"/>
            <w:vAlign w:val="center"/>
          </w:tcPr>
          <w:p>
            <w:pPr>
              <w:spacing w:line="300" w:lineRule="exact"/>
              <w:jc w:val="left"/>
              <w:outlineLvl w:val="0"/>
              <w:rPr>
                <w:rFonts w:cs="Times New Roman"/>
                <w:color w:val="auto"/>
              </w:rPr>
            </w:pPr>
          </w:p>
        </w:tc>
        <w:tc>
          <w:tcPr>
            <w:tcW w:w="961" w:type="dxa"/>
            <w:vMerge w:val="continue"/>
            <w:vAlign w:val="center"/>
          </w:tcPr>
          <w:p>
            <w:pPr>
              <w:spacing w:line="300" w:lineRule="exact"/>
              <w:jc w:val="left"/>
              <w:outlineLvl w:val="0"/>
              <w:rPr>
                <w:rFonts w:cs="Times New Roman"/>
                <w:color w:val="auto"/>
              </w:rPr>
            </w:pPr>
          </w:p>
        </w:tc>
        <w:tc>
          <w:tcPr>
            <w:tcW w:w="961"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合计</w:t>
            </w:r>
          </w:p>
        </w:tc>
        <w:tc>
          <w:tcPr>
            <w:tcW w:w="961"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一般公共预算拨款</w:t>
            </w:r>
          </w:p>
        </w:tc>
        <w:tc>
          <w:tcPr>
            <w:tcW w:w="961"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基金预算拨款</w:t>
            </w:r>
          </w:p>
        </w:tc>
        <w:tc>
          <w:tcPr>
            <w:tcW w:w="964"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财政专户核拨</w:t>
            </w:r>
          </w:p>
        </w:tc>
        <w:tc>
          <w:tcPr>
            <w:tcW w:w="964"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其他来源收入</w:t>
            </w:r>
          </w:p>
        </w:tc>
        <w:tc>
          <w:tcPr>
            <w:tcW w:w="921" w:type="dxa"/>
            <w:vMerge w:val="continue"/>
            <w:vAlign w:val="center"/>
          </w:tcPr>
          <w:p>
            <w:pPr>
              <w:spacing w:line="300" w:lineRule="exact"/>
              <w:jc w:val="left"/>
              <w:outlineLvl w:val="0"/>
              <w:rPr>
                <w:rFonts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　计</w:t>
            </w:r>
          </w:p>
        </w:tc>
        <w:tc>
          <w:tcPr>
            <w:tcW w:w="1099" w:type="dxa"/>
            <w:vAlign w:val="center"/>
          </w:tcPr>
          <w:p>
            <w:pPr>
              <w:spacing w:line="300" w:lineRule="exact"/>
              <w:jc w:val="right"/>
              <w:rPr>
                <w:rFonts w:ascii="方正书宋_GBK" w:eastAsia="方正书宋_GBK" w:cs="Times New Roman"/>
                <w:b/>
                <w:bCs/>
                <w:color w:val="auto"/>
              </w:rPr>
            </w:pPr>
          </w:p>
        </w:tc>
        <w:tc>
          <w:tcPr>
            <w:tcW w:w="974" w:type="dxa"/>
            <w:vAlign w:val="center"/>
          </w:tcPr>
          <w:p>
            <w:pPr>
              <w:spacing w:line="300" w:lineRule="exact"/>
              <w:jc w:val="left"/>
              <w:rPr>
                <w:rFonts w:ascii="方正书宋_GBK" w:eastAsia="方正书宋_GBK" w:cs="Times New Roman"/>
                <w:b/>
                <w:bCs/>
                <w:color w:val="auto"/>
              </w:rPr>
            </w:pPr>
          </w:p>
        </w:tc>
        <w:tc>
          <w:tcPr>
            <w:tcW w:w="986" w:type="dxa"/>
            <w:vAlign w:val="center"/>
          </w:tcPr>
          <w:p>
            <w:pPr>
              <w:spacing w:line="300" w:lineRule="exact"/>
              <w:jc w:val="left"/>
              <w:rPr>
                <w:rFonts w:ascii="方正书宋_GBK" w:eastAsia="方正书宋_GBK" w:cs="Times New Roman"/>
                <w:b/>
                <w:bCs/>
                <w:color w:val="auto"/>
              </w:rPr>
            </w:pPr>
          </w:p>
        </w:tc>
        <w:tc>
          <w:tcPr>
            <w:tcW w:w="760" w:type="dxa"/>
            <w:vAlign w:val="center"/>
          </w:tcPr>
          <w:p>
            <w:pPr>
              <w:spacing w:line="300" w:lineRule="exact"/>
              <w:jc w:val="left"/>
              <w:rPr>
                <w:rFonts w:ascii="方正书宋_GBK" w:eastAsia="方正书宋_GBK" w:cs="Times New Roman"/>
                <w:b/>
                <w:bCs/>
                <w:color w:val="auto"/>
              </w:rPr>
            </w:pPr>
          </w:p>
        </w:tc>
        <w:tc>
          <w:tcPr>
            <w:tcW w:w="760" w:type="dxa"/>
            <w:vAlign w:val="center"/>
          </w:tcPr>
          <w:p>
            <w:pPr>
              <w:spacing w:line="300" w:lineRule="exact"/>
              <w:jc w:val="right"/>
              <w:rPr>
                <w:rFonts w:ascii="方正书宋_GBK" w:eastAsia="方正书宋_GBK" w:cs="Times New Roman"/>
                <w:b/>
                <w:bCs/>
                <w:color w:val="auto"/>
              </w:rPr>
            </w:pPr>
          </w:p>
        </w:tc>
        <w:tc>
          <w:tcPr>
            <w:tcW w:w="848" w:type="dxa"/>
            <w:vAlign w:val="center"/>
          </w:tcPr>
          <w:p>
            <w:pPr>
              <w:spacing w:line="300" w:lineRule="exact"/>
              <w:jc w:val="right"/>
              <w:rPr>
                <w:rFonts w:ascii="方正书宋_GBK" w:eastAsia="方正书宋_GBK" w:cs="Times New Roman"/>
                <w:b/>
                <w:bCs/>
                <w:color w:val="auto"/>
              </w:rPr>
            </w:pPr>
          </w:p>
        </w:tc>
        <w:tc>
          <w:tcPr>
            <w:tcW w:w="961" w:type="dxa"/>
            <w:vAlign w:val="center"/>
          </w:tcPr>
          <w:p>
            <w:pPr>
              <w:spacing w:line="300" w:lineRule="exact"/>
              <w:jc w:val="right"/>
              <w:rPr>
                <w:rFonts w:hint="eastAsia" w:ascii="方正书宋_GBK" w:eastAsia="方正书宋_GBK" w:cs="方正书宋_GBK"/>
                <w:b/>
                <w:bCs/>
                <w:color w:val="auto"/>
                <w:lang w:val="en-US" w:eastAsia="zh-CN"/>
              </w:rPr>
            </w:pPr>
            <w:r>
              <w:rPr>
                <w:rFonts w:hint="eastAsia" w:ascii="方正书宋_GBK" w:eastAsia="方正书宋_GBK" w:cs="方正书宋_GBK"/>
                <w:b/>
                <w:bCs/>
                <w:color w:val="auto"/>
                <w:lang w:val="en-US" w:eastAsia="zh-CN"/>
              </w:rPr>
              <w:t>6.50</w:t>
            </w:r>
          </w:p>
        </w:tc>
        <w:tc>
          <w:tcPr>
            <w:tcW w:w="961" w:type="dxa"/>
            <w:vAlign w:val="center"/>
          </w:tcPr>
          <w:p>
            <w:pPr>
              <w:spacing w:line="300" w:lineRule="exact"/>
              <w:jc w:val="right"/>
              <w:rPr>
                <w:rFonts w:ascii="方正书宋_GBK" w:eastAsia="方正书宋_GBK" w:cs="方正书宋_GBK"/>
                <w:b/>
                <w:bCs/>
                <w:color w:val="auto"/>
              </w:rPr>
            </w:pPr>
            <w:r>
              <w:rPr>
                <w:rFonts w:hint="eastAsia" w:ascii="方正书宋_GBK" w:eastAsia="方正书宋_GBK" w:cs="方正书宋_GBK"/>
                <w:b/>
                <w:bCs/>
                <w:color w:val="auto"/>
                <w:lang w:val="en-US" w:eastAsia="zh-CN"/>
              </w:rPr>
              <w:t>6.50</w:t>
            </w:r>
          </w:p>
        </w:tc>
        <w:tc>
          <w:tcPr>
            <w:tcW w:w="961" w:type="dxa"/>
            <w:vAlign w:val="center"/>
          </w:tcPr>
          <w:p>
            <w:pPr>
              <w:spacing w:line="300" w:lineRule="exact"/>
              <w:jc w:val="right"/>
              <w:rPr>
                <w:rFonts w:ascii="方正书宋_GBK" w:eastAsia="方正书宋_GBK" w:cs="方正书宋_GBK"/>
                <w:b/>
                <w:bCs/>
                <w:color w:val="auto"/>
              </w:rPr>
            </w:pPr>
            <w:r>
              <w:rPr>
                <w:rFonts w:hint="eastAsia" w:ascii="方正书宋_GBK" w:eastAsia="方正书宋_GBK" w:cs="方正书宋_GBK"/>
                <w:b/>
                <w:bCs/>
                <w:color w:val="auto"/>
                <w:lang w:val="en-US" w:eastAsia="zh-CN"/>
              </w:rPr>
              <w:t>6.50</w:t>
            </w:r>
          </w:p>
        </w:tc>
        <w:tc>
          <w:tcPr>
            <w:tcW w:w="961" w:type="dxa"/>
            <w:vAlign w:val="center"/>
          </w:tcPr>
          <w:p>
            <w:pPr>
              <w:spacing w:line="300" w:lineRule="exact"/>
              <w:jc w:val="right"/>
              <w:rPr>
                <w:rFonts w:ascii="方正书宋_GBK" w:eastAsia="方正书宋_GBK" w:cs="方正书宋_GBK"/>
                <w:b/>
                <w:bCs/>
                <w:color w:val="auto"/>
              </w:rPr>
            </w:pPr>
          </w:p>
        </w:tc>
        <w:tc>
          <w:tcPr>
            <w:tcW w:w="964" w:type="dxa"/>
            <w:vAlign w:val="center"/>
          </w:tcPr>
          <w:p>
            <w:pPr>
              <w:spacing w:line="300" w:lineRule="exact"/>
              <w:jc w:val="right"/>
              <w:rPr>
                <w:rFonts w:ascii="方正书宋_GBK" w:eastAsia="方正书宋_GBK" w:cs="方正书宋_GBK"/>
                <w:b/>
                <w:bCs/>
                <w:color w:val="auto"/>
              </w:rPr>
            </w:pPr>
          </w:p>
        </w:tc>
        <w:tc>
          <w:tcPr>
            <w:tcW w:w="964" w:type="dxa"/>
            <w:vAlign w:val="center"/>
          </w:tcPr>
          <w:p>
            <w:pPr>
              <w:spacing w:line="300" w:lineRule="exact"/>
              <w:jc w:val="right"/>
              <w:rPr>
                <w:rFonts w:ascii="方正书宋_GBK" w:eastAsia="方正书宋_GBK" w:cs="方正书宋_GBK"/>
                <w:b/>
                <w:bCs/>
                <w:color w:val="auto"/>
              </w:rPr>
            </w:pPr>
          </w:p>
        </w:tc>
        <w:tc>
          <w:tcPr>
            <w:tcW w:w="921" w:type="dxa"/>
            <w:vAlign w:val="center"/>
          </w:tcPr>
          <w:p>
            <w:pPr>
              <w:spacing w:line="300" w:lineRule="exact"/>
              <w:jc w:val="right"/>
              <w:rPr>
                <w:rFonts w:ascii="方正书宋_GBK" w:eastAsia="方正书宋_GBK" w:cs="方正书宋_GBK"/>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曲阳县</w:t>
            </w:r>
            <w:r>
              <w:rPr>
                <w:rFonts w:hint="eastAsia" w:ascii="方正书宋_GBK" w:eastAsia="方正书宋_GBK" w:cs="方正书宋_GBK"/>
                <w:b/>
                <w:bCs/>
                <w:color w:val="auto"/>
                <w:lang w:eastAsia="zh-CN"/>
              </w:rPr>
              <w:t>党城乡</w:t>
            </w:r>
            <w:r>
              <w:rPr>
                <w:rFonts w:hint="eastAsia" w:ascii="方正书宋_GBK" w:eastAsia="方正书宋_GBK" w:cs="方正书宋_GBK"/>
                <w:b/>
                <w:bCs/>
                <w:color w:val="auto"/>
              </w:rPr>
              <w:t>（政府）小计</w:t>
            </w:r>
          </w:p>
        </w:tc>
        <w:tc>
          <w:tcPr>
            <w:tcW w:w="1099" w:type="dxa"/>
            <w:vAlign w:val="center"/>
          </w:tcPr>
          <w:p>
            <w:pPr>
              <w:spacing w:line="300" w:lineRule="exact"/>
              <w:jc w:val="right"/>
              <w:rPr>
                <w:rFonts w:ascii="方正书宋_GBK" w:eastAsia="方正书宋_GBK" w:cs="Times New Roman"/>
                <w:b/>
                <w:bCs/>
                <w:color w:val="auto"/>
              </w:rPr>
            </w:pPr>
          </w:p>
        </w:tc>
        <w:tc>
          <w:tcPr>
            <w:tcW w:w="974" w:type="dxa"/>
            <w:vAlign w:val="center"/>
          </w:tcPr>
          <w:p>
            <w:pPr>
              <w:spacing w:line="300" w:lineRule="exact"/>
              <w:jc w:val="left"/>
              <w:rPr>
                <w:rFonts w:ascii="方正书宋_GBK" w:eastAsia="方正书宋_GBK" w:cs="Times New Roman"/>
                <w:b/>
                <w:bCs/>
                <w:color w:val="auto"/>
              </w:rPr>
            </w:pPr>
          </w:p>
        </w:tc>
        <w:tc>
          <w:tcPr>
            <w:tcW w:w="986" w:type="dxa"/>
            <w:vAlign w:val="center"/>
          </w:tcPr>
          <w:p>
            <w:pPr>
              <w:spacing w:line="300" w:lineRule="exact"/>
              <w:jc w:val="left"/>
              <w:rPr>
                <w:rFonts w:ascii="方正书宋_GBK" w:eastAsia="方正书宋_GBK" w:cs="Times New Roman"/>
                <w:b/>
                <w:bCs/>
                <w:color w:val="auto"/>
              </w:rPr>
            </w:pPr>
          </w:p>
        </w:tc>
        <w:tc>
          <w:tcPr>
            <w:tcW w:w="760" w:type="dxa"/>
            <w:vAlign w:val="center"/>
          </w:tcPr>
          <w:p>
            <w:pPr>
              <w:spacing w:line="300" w:lineRule="exact"/>
              <w:jc w:val="left"/>
              <w:rPr>
                <w:rFonts w:ascii="方正书宋_GBK" w:eastAsia="方正书宋_GBK" w:cs="Times New Roman"/>
                <w:b/>
                <w:bCs/>
                <w:color w:val="auto"/>
              </w:rPr>
            </w:pPr>
          </w:p>
        </w:tc>
        <w:tc>
          <w:tcPr>
            <w:tcW w:w="760" w:type="dxa"/>
            <w:vAlign w:val="center"/>
          </w:tcPr>
          <w:p>
            <w:pPr>
              <w:spacing w:line="300" w:lineRule="exact"/>
              <w:jc w:val="right"/>
              <w:rPr>
                <w:rFonts w:ascii="方正书宋_GBK" w:eastAsia="方正书宋_GBK" w:cs="Times New Roman"/>
                <w:b/>
                <w:bCs/>
                <w:color w:val="auto"/>
              </w:rPr>
            </w:pPr>
          </w:p>
        </w:tc>
        <w:tc>
          <w:tcPr>
            <w:tcW w:w="848" w:type="dxa"/>
            <w:vAlign w:val="center"/>
          </w:tcPr>
          <w:p>
            <w:pPr>
              <w:spacing w:line="300" w:lineRule="exact"/>
              <w:jc w:val="right"/>
              <w:rPr>
                <w:rFonts w:ascii="方正书宋_GBK" w:eastAsia="方正书宋_GBK" w:cs="Times New Roman"/>
                <w:b/>
                <w:bCs/>
                <w:color w:val="auto"/>
              </w:rPr>
            </w:pPr>
          </w:p>
        </w:tc>
        <w:tc>
          <w:tcPr>
            <w:tcW w:w="961" w:type="dxa"/>
            <w:vAlign w:val="center"/>
          </w:tcPr>
          <w:p>
            <w:pPr>
              <w:spacing w:line="300" w:lineRule="exact"/>
              <w:jc w:val="right"/>
              <w:rPr>
                <w:rFonts w:ascii="方正书宋_GBK" w:eastAsia="方正书宋_GBK" w:cs="方正书宋_GBK"/>
                <w:b/>
                <w:bCs/>
                <w:color w:val="auto"/>
              </w:rPr>
            </w:pPr>
            <w:r>
              <w:rPr>
                <w:rFonts w:hint="eastAsia" w:ascii="方正书宋_GBK" w:eastAsia="方正书宋_GBK" w:cs="方正书宋_GBK"/>
                <w:b/>
                <w:bCs/>
                <w:color w:val="auto"/>
                <w:lang w:val="en-US" w:eastAsia="zh-CN"/>
              </w:rPr>
              <w:t>6.50</w:t>
            </w:r>
          </w:p>
        </w:tc>
        <w:tc>
          <w:tcPr>
            <w:tcW w:w="961" w:type="dxa"/>
            <w:vAlign w:val="center"/>
          </w:tcPr>
          <w:p>
            <w:pPr>
              <w:spacing w:line="300" w:lineRule="exact"/>
              <w:jc w:val="right"/>
              <w:rPr>
                <w:rFonts w:ascii="方正书宋_GBK" w:eastAsia="方正书宋_GBK" w:cs="方正书宋_GBK"/>
                <w:b/>
                <w:bCs/>
                <w:color w:val="auto"/>
              </w:rPr>
            </w:pPr>
            <w:r>
              <w:rPr>
                <w:rFonts w:hint="eastAsia" w:ascii="方正书宋_GBK" w:eastAsia="方正书宋_GBK" w:cs="方正书宋_GBK"/>
                <w:b/>
                <w:bCs/>
                <w:color w:val="auto"/>
                <w:lang w:val="en-US" w:eastAsia="zh-CN"/>
              </w:rPr>
              <w:t>6.50</w:t>
            </w:r>
          </w:p>
        </w:tc>
        <w:tc>
          <w:tcPr>
            <w:tcW w:w="961" w:type="dxa"/>
            <w:vAlign w:val="center"/>
          </w:tcPr>
          <w:p>
            <w:pPr>
              <w:spacing w:line="300" w:lineRule="exact"/>
              <w:jc w:val="right"/>
              <w:rPr>
                <w:rFonts w:ascii="方正书宋_GBK" w:eastAsia="方正书宋_GBK" w:cs="方正书宋_GBK"/>
                <w:b/>
                <w:bCs/>
                <w:color w:val="auto"/>
              </w:rPr>
            </w:pPr>
            <w:r>
              <w:rPr>
                <w:rFonts w:hint="eastAsia" w:ascii="方正书宋_GBK" w:eastAsia="方正书宋_GBK" w:cs="方正书宋_GBK"/>
                <w:b/>
                <w:bCs/>
                <w:color w:val="auto"/>
                <w:lang w:val="en-US" w:eastAsia="zh-CN"/>
              </w:rPr>
              <w:t>6.50</w:t>
            </w:r>
          </w:p>
        </w:tc>
        <w:tc>
          <w:tcPr>
            <w:tcW w:w="961" w:type="dxa"/>
            <w:vAlign w:val="center"/>
          </w:tcPr>
          <w:p>
            <w:pPr>
              <w:spacing w:line="300" w:lineRule="exact"/>
              <w:jc w:val="right"/>
              <w:rPr>
                <w:rFonts w:ascii="方正书宋_GBK" w:eastAsia="方正书宋_GBK" w:cs="方正书宋_GBK"/>
                <w:b/>
                <w:bCs/>
                <w:color w:val="auto"/>
              </w:rPr>
            </w:pPr>
          </w:p>
        </w:tc>
        <w:tc>
          <w:tcPr>
            <w:tcW w:w="964" w:type="dxa"/>
            <w:vAlign w:val="center"/>
          </w:tcPr>
          <w:p>
            <w:pPr>
              <w:spacing w:line="300" w:lineRule="exact"/>
              <w:jc w:val="right"/>
              <w:rPr>
                <w:rFonts w:ascii="方正书宋_GBK" w:eastAsia="方正书宋_GBK" w:cs="方正书宋_GBK"/>
                <w:b/>
                <w:bCs/>
                <w:color w:val="auto"/>
              </w:rPr>
            </w:pPr>
          </w:p>
        </w:tc>
        <w:tc>
          <w:tcPr>
            <w:tcW w:w="964" w:type="dxa"/>
            <w:vAlign w:val="center"/>
          </w:tcPr>
          <w:p>
            <w:pPr>
              <w:spacing w:line="300" w:lineRule="exact"/>
              <w:jc w:val="right"/>
              <w:rPr>
                <w:rFonts w:ascii="方正书宋_GBK" w:eastAsia="方正书宋_GBK" w:cs="方正书宋_GBK"/>
                <w:b/>
                <w:bCs/>
                <w:color w:val="auto"/>
              </w:rPr>
            </w:pPr>
          </w:p>
        </w:tc>
        <w:tc>
          <w:tcPr>
            <w:tcW w:w="921" w:type="dxa"/>
            <w:vAlign w:val="center"/>
          </w:tcPr>
          <w:p>
            <w:pPr>
              <w:spacing w:line="300" w:lineRule="exact"/>
              <w:jc w:val="right"/>
              <w:rPr>
                <w:rFonts w:ascii="方正书宋_GBK" w:eastAsia="方正书宋_GBK" w:cs="方正书宋_GBK"/>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乡镇专项经费</w:t>
            </w:r>
          </w:p>
        </w:tc>
        <w:tc>
          <w:tcPr>
            <w:tcW w:w="1099" w:type="dxa"/>
            <w:vAlign w:val="center"/>
          </w:tcPr>
          <w:p>
            <w:pPr>
              <w:spacing w:line="300" w:lineRule="exact"/>
              <w:jc w:val="right"/>
              <w:rPr>
                <w:rFonts w:ascii="方正书宋_GBK" w:eastAsia="方正书宋_GBK" w:cs="Times New Roman"/>
                <w:color w:val="auto"/>
              </w:rPr>
            </w:pPr>
            <w:r>
              <w:rPr>
                <w:rFonts w:ascii="方正书宋_GBK" w:eastAsia="方正书宋_GBK" w:cs="方正书宋_GBK"/>
                <w:color w:val="auto"/>
              </w:rPr>
              <w:t>1</w:t>
            </w:r>
            <w:r>
              <w:rPr>
                <w:rFonts w:hint="eastAsia" w:ascii="方正书宋_GBK" w:eastAsia="方正书宋_GBK" w:cs="方正书宋_GBK"/>
                <w:color w:val="auto"/>
                <w:lang w:val="en-US" w:eastAsia="zh-CN"/>
              </w:rPr>
              <w:t>6</w:t>
            </w:r>
            <w:r>
              <w:rPr>
                <w:rFonts w:ascii="方正书宋_GBK" w:eastAsia="方正书宋_GBK" w:cs="方正书宋_GBK"/>
                <w:color w:val="auto"/>
              </w:rPr>
              <w:t>.50</w:t>
            </w:r>
          </w:p>
        </w:tc>
        <w:tc>
          <w:tcPr>
            <w:tcW w:w="97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办公设备</w:t>
            </w:r>
          </w:p>
        </w:tc>
        <w:tc>
          <w:tcPr>
            <w:tcW w:w="986"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A0202</w:t>
            </w:r>
          </w:p>
        </w:tc>
        <w:tc>
          <w:tcPr>
            <w:tcW w:w="760" w:type="dxa"/>
            <w:vAlign w:val="center"/>
          </w:tcPr>
          <w:p>
            <w:pPr>
              <w:spacing w:line="300" w:lineRule="exact"/>
              <w:jc w:val="left"/>
              <w:rPr>
                <w:rFonts w:ascii="方正书宋_GBK" w:eastAsia="方正书宋_GBK" w:cs="Times New Roman"/>
                <w:color w:val="auto"/>
              </w:rPr>
            </w:pPr>
          </w:p>
        </w:tc>
        <w:tc>
          <w:tcPr>
            <w:tcW w:w="760" w:type="dxa"/>
            <w:vAlign w:val="center"/>
          </w:tcPr>
          <w:p>
            <w:pPr>
              <w:spacing w:line="300" w:lineRule="exact"/>
              <w:jc w:val="right"/>
              <w:rPr>
                <w:rFonts w:ascii="方正书宋_GBK" w:eastAsia="方正书宋_GBK" w:cs="Times New Roman"/>
                <w:color w:val="auto"/>
              </w:rPr>
            </w:pPr>
            <w:r>
              <w:rPr>
                <w:rFonts w:ascii="方正书宋_GBK" w:eastAsia="方正书宋_GBK" w:cs="方正书宋_GBK"/>
                <w:color w:val="auto"/>
              </w:rPr>
              <w:t>1.00</w:t>
            </w:r>
          </w:p>
        </w:tc>
        <w:tc>
          <w:tcPr>
            <w:tcW w:w="848" w:type="dxa"/>
            <w:vAlign w:val="center"/>
          </w:tcPr>
          <w:p>
            <w:pPr>
              <w:spacing w:line="300" w:lineRule="exact"/>
              <w:jc w:val="right"/>
              <w:rPr>
                <w:rFonts w:ascii="方正书宋_GBK" w:eastAsia="方正书宋_GBK" w:cs="Times New Roman"/>
                <w:color w:val="auto"/>
                <w:lang w:val="en-US"/>
              </w:rPr>
            </w:pPr>
            <w:r>
              <w:rPr>
                <w:rFonts w:hint="eastAsia" w:ascii="方正书宋_GBK" w:eastAsia="方正书宋_GBK" w:cs="方正书宋_GBK"/>
                <w:color w:val="auto"/>
                <w:lang w:val="en-US" w:eastAsia="zh-CN"/>
              </w:rPr>
              <w:t>6.00</w:t>
            </w:r>
          </w:p>
        </w:tc>
        <w:tc>
          <w:tcPr>
            <w:tcW w:w="961" w:type="dxa"/>
            <w:vAlign w:val="center"/>
          </w:tcPr>
          <w:p>
            <w:pPr>
              <w:spacing w:line="300" w:lineRule="exact"/>
              <w:jc w:val="right"/>
              <w:rPr>
                <w:rFonts w:ascii="方正书宋_GBK" w:eastAsia="方正书宋_GBK" w:cs="方正书宋_GBK"/>
                <w:color w:val="auto"/>
              </w:rPr>
            </w:pPr>
            <w:r>
              <w:rPr>
                <w:rFonts w:hint="eastAsia" w:ascii="方正书宋_GBK" w:eastAsia="方正书宋_GBK" w:cs="方正书宋_GBK"/>
                <w:color w:val="auto"/>
                <w:lang w:val="en-US" w:eastAsia="zh-CN"/>
              </w:rPr>
              <w:t>6.00</w:t>
            </w:r>
          </w:p>
        </w:tc>
        <w:tc>
          <w:tcPr>
            <w:tcW w:w="961" w:type="dxa"/>
            <w:vAlign w:val="center"/>
          </w:tcPr>
          <w:p>
            <w:pPr>
              <w:spacing w:line="300" w:lineRule="exact"/>
              <w:jc w:val="right"/>
              <w:rPr>
                <w:rFonts w:ascii="方正书宋_GBK" w:eastAsia="方正书宋_GBK" w:cs="方正书宋_GBK"/>
                <w:color w:val="auto"/>
              </w:rPr>
            </w:pPr>
            <w:r>
              <w:rPr>
                <w:rFonts w:hint="eastAsia" w:ascii="方正书宋_GBK" w:eastAsia="方正书宋_GBK" w:cs="方正书宋_GBK"/>
                <w:color w:val="auto"/>
                <w:lang w:val="en-US" w:eastAsia="zh-CN"/>
              </w:rPr>
              <w:t>6.00</w:t>
            </w:r>
          </w:p>
        </w:tc>
        <w:tc>
          <w:tcPr>
            <w:tcW w:w="961" w:type="dxa"/>
            <w:vAlign w:val="center"/>
          </w:tcPr>
          <w:p>
            <w:pPr>
              <w:spacing w:line="300" w:lineRule="exact"/>
              <w:jc w:val="right"/>
              <w:rPr>
                <w:rFonts w:ascii="方正书宋_GBK" w:eastAsia="方正书宋_GBK" w:cs="方正书宋_GBK"/>
                <w:color w:val="auto"/>
              </w:rPr>
            </w:pPr>
            <w:r>
              <w:rPr>
                <w:rFonts w:hint="eastAsia" w:ascii="方正书宋_GBK" w:eastAsia="方正书宋_GBK" w:cs="方正书宋_GBK"/>
                <w:color w:val="auto"/>
                <w:lang w:val="en-US" w:eastAsia="zh-CN"/>
              </w:rPr>
              <w:t>6.00</w:t>
            </w:r>
          </w:p>
        </w:tc>
        <w:tc>
          <w:tcPr>
            <w:tcW w:w="961" w:type="dxa"/>
            <w:vAlign w:val="center"/>
          </w:tcPr>
          <w:p>
            <w:pPr>
              <w:spacing w:line="300" w:lineRule="exact"/>
              <w:jc w:val="right"/>
              <w:rPr>
                <w:rFonts w:ascii="方正书宋_GBK" w:eastAsia="方正书宋_GBK" w:cs="Times New Roman"/>
                <w:color w:val="auto"/>
              </w:rPr>
            </w:pPr>
          </w:p>
        </w:tc>
        <w:tc>
          <w:tcPr>
            <w:tcW w:w="964" w:type="dxa"/>
            <w:vAlign w:val="center"/>
          </w:tcPr>
          <w:p>
            <w:pPr>
              <w:spacing w:line="300" w:lineRule="exact"/>
              <w:jc w:val="right"/>
              <w:rPr>
                <w:rFonts w:ascii="方正书宋_GBK" w:eastAsia="方正书宋_GBK" w:cs="Times New Roman"/>
                <w:color w:val="auto"/>
              </w:rPr>
            </w:pPr>
          </w:p>
        </w:tc>
        <w:tc>
          <w:tcPr>
            <w:tcW w:w="964" w:type="dxa"/>
            <w:vAlign w:val="center"/>
          </w:tcPr>
          <w:p>
            <w:pPr>
              <w:spacing w:line="300" w:lineRule="exact"/>
              <w:jc w:val="right"/>
              <w:rPr>
                <w:rFonts w:ascii="方正书宋_GBK" w:eastAsia="方正书宋_GBK" w:cs="Times New Roman"/>
                <w:color w:val="auto"/>
              </w:rPr>
            </w:pPr>
          </w:p>
        </w:tc>
        <w:tc>
          <w:tcPr>
            <w:tcW w:w="921" w:type="dxa"/>
            <w:vAlign w:val="center"/>
          </w:tcPr>
          <w:p>
            <w:pPr>
              <w:spacing w:line="300" w:lineRule="exact"/>
              <w:jc w:val="right"/>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乡镇专项经费</w:t>
            </w:r>
          </w:p>
        </w:tc>
        <w:tc>
          <w:tcPr>
            <w:tcW w:w="1099"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w:t>
            </w:r>
            <w:r>
              <w:rPr>
                <w:rFonts w:hint="eastAsia" w:ascii="方正书宋_GBK" w:eastAsia="方正书宋_GBK" w:cs="方正书宋_GBK"/>
                <w:color w:val="auto"/>
                <w:lang w:val="en-US" w:eastAsia="zh-CN"/>
              </w:rPr>
              <w:t>6</w:t>
            </w:r>
            <w:r>
              <w:rPr>
                <w:rFonts w:ascii="方正书宋_GBK" w:eastAsia="方正书宋_GBK" w:cs="方正书宋_GBK"/>
                <w:color w:val="auto"/>
              </w:rPr>
              <w:t>.50</w:t>
            </w:r>
          </w:p>
        </w:tc>
        <w:tc>
          <w:tcPr>
            <w:tcW w:w="97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服务</w:t>
            </w:r>
          </w:p>
        </w:tc>
        <w:tc>
          <w:tcPr>
            <w:tcW w:w="98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w:t>
            </w:r>
          </w:p>
        </w:tc>
        <w:tc>
          <w:tcPr>
            <w:tcW w:w="760" w:type="dxa"/>
            <w:vAlign w:val="center"/>
          </w:tcPr>
          <w:p>
            <w:pPr>
              <w:spacing w:line="300" w:lineRule="exact"/>
              <w:jc w:val="left"/>
              <w:rPr>
                <w:rFonts w:ascii="方正书宋_GBK" w:eastAsia="方正书宋_GBK" w:cs="Times New Roman"/>
                <w:color w:val="auto"/>
              </w:rPr>
            </w:pPr>
          </w:p>
        </w:tc>
        <w:tc>
          <w:tcPr>
            <w:tcW w:w="76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8" w:type="dxa"/>
            <w:vAlign w:val="center"/>
          </w:tcPr>
          <w:p>
            <w:pPr>
              <w:spacing w:line="300" w:lineRule="exact"/>
              <w:jc w:val="right"/>
              <w:rPr>
                <w:rFonts w:hint="eastAsia" w:ascii="方正书宋_GBK" w:eastAsia="方正书宋_GBK" w:cs="方正书宋_GBK"/>
                <w:color w:val="auto"/>
                <w:lang w:val="en-US" w:eastAsia="zh-CN"/>
              </w:rPr>
            </w:pPr>
            <w:r>
              <w:rPr>
                <w:rFonts w:hint="eastAsia" w:ascii="方正书宋_GBK" w:eastAsia="方正书宋_GBK" w:cs="方正书宋_GBK"/>
                <w:color w:val="auto"/>
                <w:lang w:val="en-US" w:eastAsia="zh-CN"/>
              </w:rPr>
              <w:t>0.50</w:t>
            </w:r>
          </w:p>
        </w:tc>
        <w:tc>
          <w:tcPr>
            <w:tcW w:w="961" w:type="dxa"/>
            <w:vAlign w:val="center"/>
          </w:tcPr>
          <w:p>
            <w:pPr>
              <w:spacing w:line="300" w:lineRule="exact"/>
              <w:jc w:val="right"/>
              <w:rPr>
                <w:rFonts w:ascii="方正书宋_GBK" w:eastAsia="方正书宋_GBK" w:cs="方正书宋_GBK"/>
                <w:color w:val="auto"/>
              </w:rPr>
            </w:pPr>
            <w:r>
              <w:rPr>
                <w:rFonts w:hint="eastAsia" w:ascii="方正书宋_GBK" w:eastAsia="方正书宋_GBK" w:cs="方正书宋_GBK"/>
                <w:color w:val="auto"/>
                <w:lang w:val="en-US" w:eastAsia="zh-CN"/>
              </w:rPr>
              <w:t>0.50</w:t>
            </w:r>
          </w:p>
        </w:tc>
        <w:tc>
          <w:tcPr>
            <w:tcW w:w="961" w:type="dxa"/>
            <w:vAlign w:val="center"/>
          </w:tcPr>
          <w:p>
            <w:pPr>
              <w:spacing w:line="300" w:lineRule="exact"/>
              <w:jc w:val="right"/>
              <w:rPr>
                <w:rFonts w:ascii="方正书宋_GBK" w:eastAsia="方正书宋_GBK" w:cs="方正书宋_GBK"/>
                <w:color w:val="auto"/>
              </w:rPr>
            </w:pPr>
            <w:r>
              <w:rPr>
                <w:rFonts w:hint="eastAsia" w:ascii="方正书宋_GBK" w:eastAsia="方正书宋_GBK" w:cs="方正书宋_GBK"/>
                <w:color w:val="auto"/>
                <w:lang w:val="en-US" w:eastAsia="zh-CN"/>
              </w:rPr>
              <w:t>0.50</w:t>
            </w:r>
          </w:p>
        </w:tc>
        <w:tc>
          <w:tcPr>
            <w:tcW w:w="961" w:type="dxa"/>
            <w:vAlign w:val="center"/>
          </w:tcPr>
          <w:p>
            <w:pPr>
              <w:spacing w:line="300" w:lineRule="exact"/>
              <w:jc w:val="right"/>
              <w:rPr>
                <w:rFonts w:ascii="方正书宋_GBK" w:eastAsia="方正书宋_GBK" w:cs="方正书宋_GBK"/>
                <w:color w:val="auto"/>
              </w:rPr>
            </w:pPr>
            <w:r>
              <w:rPr>
                <w:rFonts w:hint="eastAsia" w:ascii="方正书宋_GBK" w:eastAsia="方正书宋_GBK" w:cs="方正书宋_GBK"/>
                <w:color w:val="auto"/>
                <w:lang w:val="en-US" w:eastAsia="zh-CN"/>
              </w:rPr>
              <w:t>0.50</w:t>
            </w:r>
          </w:p>
        </w:tc>
        <w:tc>
          <w:tcPr>
            <w:tcW w:w="961" w:type="dxa"/>
            <w:vAlign w:val="center"/>
          </w:tcPr>
          <w:p>
            <w:pPr>
              <w:spacing w:line="300" w:lineRule="exact"/>
              <w:jc w:val="right"/>
              <w:rPr>
                <w:rFonts w:ascii="方正书宋_GBK" w:eastAsia="方正书宋_GBK" w:cs="Times New Roman"/>
                <w:color w:val="auto"/>
              </w:rPr>
            </w:pPr>
          </w:p>
        </w:tc>
        <w:tc>
          <w:tcPr>
            <w:tcW w:w="964" w:type="dxa"/>
            <w:vAlign w:val="center"/>
          </w:tcPr>
          <w:p>
            <w:pPr>
              <w:spacing w:line="300" w:lineRule="exact"/>
              <w:jc w:val="right"/>
              <w:rPr>
                <w:rFonts w:ascii="方正书宋_GBK" w:eastAsia="方正书宋_GBK" w:cs="Times New Roman"/>
                <w:color w:val="auto"/>
              </w:rPr>
            </w:pPr>
          </w:p>
        </w:tc>
        <w:tc>
          <w:tcPr>
            <w:tcW w:w="964" w:type="dxa"/>
            <w:vAlign w:val="center"/>
          </w:tcPr>
          <w:p>
            <w:pPr>
              <w:spacing w:line="300" w:lineRule="exact"/>
              <w:jc w:val="right"/>
              <w:rPr>
                <w:rFonts w:ascii="方正书宋_GBK" w:eastAsia="方正书宋_GBK" w:cs="Times New Roman"/>
                <w:color w:val="auto"/>
              </w:rPr>
            </w:pPr>
          </w:p>
        </w:tc>
        <w:tc>
          <w:tcPr>
            <w:tcW w:w="921" w:type="dxa"/>
            <w:vAlign w:val="center"/>
          </w:tcPr>
          <w:p>
            <w:pPr>
              <w:spacing w:line="300" w:lineRule="exact"/>
              <w:jc w:val="right"/>
              <w:rPr>
                <w:rFonts w:ascii="方正书宋_GBK" w:eastAsia="方正书宋_GBK" w:cs="Times New Roman"/>
                <w:color w:val="auto"/>
              </w:rPr>
            </w:pPr>
          </w:p>
        </w:tc>
      </w:tr>
    </w:tbl>
    <w:p>
      <w:pPr>
        <w:spacing w:line="300" w:lineRule="exact"/>
        <w:jc w:val="left"/>
        <w:outlineLvl w:val="0"/>
        <w:rPr>
          <w:rFonts w:cs="Times New Roman"/>
          <w:color w:val="auto"/>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七、国有资产信息</w:t>
      </w:r>
    </w:p>
    <w:p>
      <w:pPr>
        <w:spacing w:line="52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曲阳县</w:t>
      </w:r>
      <w:r>
        <w:rPr>
          <w:rFonts w:hint="eastAsia" w:ascii="Times New Roman" w:hAnsi="Times New Roman" w:eastAsia="仿宋" w:cs="仿宋"/>
          <w:color w:val="auto"/>
          <w:sz w:val="32"/>
          <w:szCs w:val="32"/>
          <w:lang w:eastAsia="zh-CN"/>
        </w:rPr>
        <w:t>党城乡</w:t>
      </w:r>
      <w:r>
        <w:rPr>
          <w:rFonts w:hint="eastAsia" w:ascii="Times New Roman" w:hAnsi="Times New Roman" w:eastAsia="仿宋" w:cs="仿宋"/>
          <w:color w:val="auto"/>
          <w:sz w:val="32"/>
          <w:szCs w:val="32"/>
        </w:rPr>
        <w:t>人民政府上年末固定资产金额为</w:t>
      </w:r>
      <w:r>
        <w:rPr>
          <w:rFonts w:hint="eastAsia" w:ascii="Times New Roman" w:hAnsi="Times New Roman" w:eastAsia="仿宋" w:cs="Times New Roman"/>
          <w:color w:val="auto"/>
          <w:sz w:val="32"/>
          <w:szCs w:val="32"/>
          <w:lang w:val="en-US" w:eastAsia="zh-CN"/>
        </w:rPr>
        <w:t>214.59</w:t>
      </w:r>
      <w:r>
        <w:rPr>
          <w:rFonts w:hint="eastAsia" w:ascii="Times New Roman" w:hAnsi="Times New Roman" w:eastAsia="仿宋" w:cs="仿宋"/>
          <w:color w:val="auto"/>
          <w:sz w:val="32"/>
          <w:szCs w:val="32"/>
        </w:rPr>
        <w:t>万元（详见下表），</w:t>
      </w:r>
      <w:r>
        <w:rPr>
          <w:rFonts w:ascii="仿宋" w:hAnsi="仿宋" w:eastAsia="仿宋" w:cs="仿宋"/>
          <w:color w:val="auto"/>
          <w:sz w:val="32"/>
          <w:szCs w:val="32"/>
        </w:rPr>
        <w:t>2019</w:t>
      </w:r>
      <w:r>
        <w:rPr>
          <w:rFonts w:hint="eastAsia" w:ascii="仿宋" w:hAnsi="仿宋" w:eastAsia="仿宋" w:cs="仿宋"/>
          <w:color w:val="auto"/>
          <w:sz w:val="32"/>
          <w:szCs w:val="32"/>
        </w:rPr>
        <w:t>年我单位无国有资产购置计划。</w:t>
      </w:r>
      <w:r>
        <w:rPr>
          <w:rFonts w:ascii="仿宋" w:hAnsi="仿宋" w:eastAsia="仿宋" w:cs="仿宋"/>
          <w:color w:val="auto"/>
          <w:sz w:val="32"/>
          <w:szCs w:val="32"/>
        </w:rPr>
        <w:t xml:space="preserve"> </w:t>
      </w:r>
    </w:p>
    <w:tbl>
      <w:tblPr>
        <w:tblStyle w:val="7"/>
        <w:tblW w:w="13482" w:type="dxa"/>
        <w:tblInd w:w="2"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color w:val="auto"/>
                <w:kern w:val="0"/>
                <w:sz w:val="32"/>
                <w:szCs w:val="32"/>
              </w:rPr>
            </w:pPr>
            <w:r>
              <w:rPr>
                <w:rFonts w:hint="eastAsia" w:ascii="宋体" w:hAnsi="宋体" w:cs="宋体"/>
                <w:b/>
                <w:bCs/>
                <w:color w:val="auto"/>
                <w:kern w:val="0"/>
                <w:sz w:val="32"/>
                <w:szCs w:val="32"/>
              </w:rPr>
              <w:t>曲阳县</w:t>
            </w:r>
            <w:r>
              <w:rPr>
                <w:rFonts w:hint="eastAsia" w:ascii="宋体" w:hAnsi="宋体" w:cs="宋体"/>
                <w:b/>
                <w:bCs/>
                <w:color w:val="auto"/>
                <w:kern w:val="0"/>
                <w:sz w:val="32"/>
                <w:szCs w:val="32"/>
                <w:lang w:eastAsia="zh-CN"/>
              </w:rPr>
              <w:t>党城乡</w:t>
            </w:r>
            <w:r>
              <w:rPr>
                <w:rFonts w:hint="eastAsia" w:ascii="宋体" w:hAnsi="宋体" w:cs="宋体"/>
                <w:b/>
                <w:bCs/>
                <w:color w:val="auto"/>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编制部门：曲阳县</w:t>
            </w:r>
            <w:r>
              <w:rPr>
                <w:rFonts w:hint="eastAsia" w:ascii="Times New Roman" w:hAnsi="Times New Roman" w:eastAsia="仿宋" w:cs="仿宋"/>
                <w:color w:val="auto"/>
                <w:kern w:val="0"/>
                <w:sz w:val="22"/>
                <w:szCs w:val="22"/>
                <w:lang w:eastAsia="zh-CN"/>
              </w:rPr>
              <w:t>党城乡</w:t>
            </w:r>
            <w:r>
              <w:rPr>
                <w:rFonts w:hint="eastAsia" w:ascii="Times New Roman" w:hAnsi="Times New Roman" w:eastAsia="仿宋" w:cs="仿宋"/>
                <w:color w:val="auto"/>
                <w:kern w:val="0"/>
                <w:sz w:val="22"/>
                <w:szCs w:val="22"/>
              </w:rPr>
              <w:t>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截止时间：</w:t>
            </w:r>
            <w:r>
              <w:rPr>
                <w:rFonts w:ascii="Times New Roman" w:hAnsi="Times New Roman" w:eastAsia="仿宋" w:cs="Times New Roman"/>
                <w:color w:val="auto"/>
                <w:kern w:val="0"/>
                <w:sz w:val="22"/>
                <w:szCs w:val="22"/>
              </w:rPr>
              <w:t>2018</w:t>
            </w:r>
            <w:r>
              <w:rPr>
                <w:rFonts w:hint="eastAsia" w:ascii="Times New Roman" w:hAnsi="Times New Roman" w:eastAsia="仿宋" w:cs="仿宋"/>
                <w:color w:val="auto"/>
                <w:kern w:val="0"/>
                <w:sz w:val="22"/>
                <w:szCs w:val="22"/>
              </w:rPr>
              <w:t>年</w:t>
            </w:r>
            <w:r>
              <w:rPr>
                <w:rFonts w:ascii="Times New Roman" w:hAnsi="Times New Roman" w:eastAsia="仿宋" w:cs="Times New Roman"/>
                <w:color w:val="auto"/>
                <w:kern w:val="0"/>
                <w:sz w:val="22"/>
                <w:szCs w:val="22"/>
              </w:rPr>
              <w:t>12</w:t>
            </w:r>
            <w:r>
              <w:rPr>
                <w:rFonts w:hint="eastAsia" w:ascii="Times New Roman" w:hAnsi="Times New Roman" w:eastAsia="仿宋" w:cs="仿宋"/>
                <w:color w:val="auto"/>
                <w:kern w:val="0"/>
                <w:sz w:val="22"/>
                <w:szCs w:val="22"/>
              </w:rPr>
              <w:t>月</w:t>
            </w:r>
            <w:r>
              <w:rPr>
                <w:rFonts w:ascii="Times New Roman" w:hAnsi="Times New Roman" w:eastAsia="仿宋" w:cs="Times New Roman"/>
                <w:color w:val="auto"/>
                <w:kern w:val="0"/>
                <w:sz w:val="22"/>
                <w:szCs w:val="22"/>
              </w:rPr>
              <w:t>31</w:t>
            </w:r>
            <w:r>
              <w:rPr>
                <w:rFonts w:hint="eastAsia" w:ascii="Times New Roman" w:hAnsi="Times New Roman" w:eastAsia="仿宋" w:cs="仿宋"/>
                <w:color w:val="auto"/>
                <w:kern w:val="0"/>
                <w:sz w:val="22"/>
                <w:szCs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lang w:val="en-US" w:eastAsia="zh-CN"/>
              </w:rPr>
              <w:t>214.59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w:t>
            </w:r>
            <w:r>
              <w:rPr>
                <w:rFonts w:hint="eastAsia" w:ascii="Times New Roman" w:hAnsi="Times New Roman" w:eastAsia="仿宋" w:cs="仿宋"/>
                <w:color w:val="auto"/>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1600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lang w:val="en-US" w:eastAsia="zh-CN"/>
              </w:rPr>
              <w:t>178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1600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lang w:val="en-US" w:eastAsia="zh-CN"/>
              </w:rPr>
              <w:t>178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2</w:t>
            </w:r>
            <w:r>
              <w:rPr>
                <w:rFonts w:hint="eastAsia" w:ascii="Times New Roman" w:hAnsi="Times New Roman" w:eastAsia="仿宋" w:cs="仿宋"/>
                <w:color w:val="auto"/>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szCs w:val="22"/>
                <w:lang w:eastAsia="zh-CN"/>
              </w:rPr>
            </w:pPr>
            <w:r>
              <w:rPr>
                <w:rFonts w:hint="eastAsia" w:ascii="Times New Roman" w:hAnsi="Times New Roman" w:eastAsia="仿宋" w:cs="Times New Roman"/>
                <w:color w:val="auto"/>
                <w:kern w:val="0"/>
                <w:sz w:val="22"/>
                <w:szCs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lang w:val="en-US" w:eastAsia="zh-CN"/>
              </w:rPr>
              <w:t>13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3</w:t>
            </w:r>
            <w:r>
              <w:rPr>
                <w:rFonts w:hint="eastAsia" w:ascii="Times New Roman" w:hAnsi="Times New Roman" w:eastAsia="仿宋" w:cs="仿宋"/>
                <w:color w:val="auto"/>
                <w:kern w:val="0"/>
                <w:sz w:val="22"/>
                <w:szCs w:val="22"/>
              </w:rPr>
              <w:t>、单价在</w:t>
            </w:r>
            <w:r>
              <w:rPr>
                <w:rFonts w:ascii="Times New Roman" w:hAnsi="Times New Roman" w:eastAsia="仿宋" w:cs="Times New Roman"/>
                <w:color w:val="auto"/>
                <w:kern w:val="0"/>
                <w:sz w:val="22"/>
                <w:szCs w:val="22"/>
              </w:rPr>
              <w:t>20</w:t>
            </w:r>
            <w:r>
              <w:rPr>
                <w:rFonts w:hint="eastAsia" w:ascii="Times New Roman" w:hAnsi="Times New Roman" w:eastAsia="仿宋" w:cs="仿宋"/>
                <w:color w:val="auto"/>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w:t>
            </w:r>
            <w:r>
              <w:rPr>
                <w:rFonts w:hint="eastAsia" w:ascii="Times New Roman" w:hAnsi="Times New Roman" w:eastAsia="仿宋" w:cs="仿宋"/>
                <w:color w:val="auto"/>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lang w:val="en-US" w:eastAsia="zh-CN"/>
              </w:rPr>
              <w:t>23.59</w:t>
            </w:r>
          </w:p>
        </w:tc>
      </w:tr>
    </w:tbl>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八、名词解释</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、一般预算收入：</w:t>
      </w:r>
      <w:r>
        <w:rPr>
          <w:rFonts w:hint="eastAsia" w:ascii="Times New Roman" w:hAnsi="Times New Roman" w:eastAsia="仿宋" w:cs="仿宋"/>
          <w:color w:val="auto"/>
          <w:sz w:val="32"/>
          <w:szCs w:val="32"/>
          <w:lang w:eastAsia="zh-CN"/>
        </w:rPr>
        <w:t>县</w:t>
      </w:r>
      <w:r>
        <w:rPr>
          <w:rFonts w:hint="eastAsia" w:ascii="Times New Roman" w:hAnsi="Times New Roman" w:eastAsia="仿宋" w:cs="仿宋"/>
          <w:color w:val="auto"/>
          <w:sz w:val="32"/>
          <w:szCs w:val="32"/>
        </w:rPr>
        <w:t>级财政当年拨付的资金。</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r>
        <w:rPr>
          <w:rFonts w:hint="eastAsia" w:ascii="Times New Roman" w:hAnsi="Times New Roman" w:eastAsia="仿宋" w:cs="仿宋"/>
          <w:color w:val="auto"/>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Times New Roman"/>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lang w:eastAsia="zh-CN"/>
        </w:rPr>
        <w:t>我乡</w:t>
      </w:r>
      <w:r>
        <w:rPr>
          <w:rFonts w:hint="eastAsia" w:ascii="Times New Roman" w:hAnsi="Times New Roman" w:eastAsia="仿宋" w:cs="仿宋"/>
          <w:color w:val="auto"/>
          <w:sz w:val="32"/>
          <w:szCs w:val="32"/>
        </w:rPr>
        <w:t>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modern"/>
    <w:pitch w:val="default"/>
    <w:sig w:usb0="00000000" w:usb1="00000000" w:usb2="00000010" w:usb3="00000000" w:csb0="00040000" w:csb1="00000000"/>
  </w:font>
  <w:font w:name="方正楷体_GBK">
    <w:altName w:val="宋体"/>
    <w:panose1 w:val="00000000000000000000"/>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1"/>
        </w:rPr>
        <w:sym w:font="Symbol" w:char="F020"/>
      </w:r>
      <w:r>
        <w:rPr>
          <w:rFonts w:hint="eastAsia" w:ascii="方正楷体_GBK" w:eastAsia="方正楷体_GBK" w:cs="方正楷体_GBK"/>
          <w:sz w:val="24"/>
          <w:szCs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90B"/>
    <w:rsid w:val="000604DF"/>
    <w:rsid w:val="000B6658"/>
    <w:rsid w:val="001177FE"/>
    <w:rsid w:val="0013228E"/>
    <w:rsid w:val="0019204D"/>
    <w:rsid w:val="00262356"/>
    <w:rsid w:val="0027733F"/>
    <w:rsid w:val="002D5EA4"/>
    <w:rsid w:val="002E1226"/>
    <w:rsid w:val="002E4731"/>
    <w:rsid w:val="003277EC"/>
    <w:rsid w:val="00353195"/>
    <w:rsid w:val="00456D84"/>
    <w:rsid w:val="00466AEE"/>
    <w:rsid w:val="00467C23"/>
    <w:rsid w:val="005B4347"/>
    <w:rsid w:val="00621DB1"/>
    <w:rsid w:val="00657CF5"/>
    <w:rsid w:val="006D6BC8"/>
    <w:rsid w:val="006D7083"/>
    <w:rsid w:val="006D7EB4"/>
    <w:rsid w:val="0079080E"/>
    <w:rsid w:val="007B0F2A"/>
    <w:rsid w:val="007E3F41"/>
    <w:rsid w:val="008003BA"/>
    <w:rsid w:val="00817B30"/>
    <w:rsid w:val="0085745B"/>
    <w:rsid w:val="0089074D"/>
    <w:rsid w:val="008C091D"/>
    <w:rsid w:val="009D5D82"/>
    <w:rsid w:val="00CE598D"/>
    <w:rsid w:val="00E57005"/>
    <w:rsid w:val="00F171F2"/>
    <w:rsid w:val="00FC112A"/>
    <w:rsid w:val="00FE73C3"/>
    <w:rsid w:val="13397630"/>
    <w:rsid w:val="139B5E7A"/>
    <w:rsid w:val="17937539"/>
    <w:rsid w:val="218F108E"/>
    <w:rsid w:val="220E07B3"/>
    <w:rsid w:val="24F57B66"/>
    <w:rsid w:val="299834A5"/>
    <w:rsid w:val="3F3D59BE"/>
    <w:rsid w:val="4E066747"/>
    <w:rsid w:val="534D0381"/>
    <w:rsid w:val="58BE54A5"/>
    <w:rsid w:val="591C2438"/>
    <w:rsid w:val="62DF0EF3"/>
    <w:rsid w:val="6BC41984"/>
    <w:rsid w:val="6D837B38"/>
    <w:rsid w:val="6FA40449"/>
    <w:rsid w:val="7BD87B0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6"/>
    <w:semiHidden/>
    <w:qFormat/>
    <w:uiPriority w:val="99"/>
    <w:pPr>
      <w:snapToGrid w:val="0"/>
      <w:jc w:val="left"/>
    </w:pPr>
    <w:rPr>
      <w:rFonts w:ascii="Times New Roman" w:hAnsi="Times New Roman" w:cs="Times New Roman"/>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page number"/>
    <w:basedOn w:val="8"/>
    <w:qFormat/>
    <w:uiPriority w:val="99"/>
  </w:style>
  <w:style w:type="character" w:styleId="10">
    <w:name w:val="Hyperlink"/>
    <w:basedOn w:val="8"/>
    <w:qFormat/>
    <w:uiPriority w:val="99"/>
    <w:rPr>
      <w:color w:val="0000FF"/>
      <w:u w:val="single"/>
    </w:rPr>
  </w:style>
  <w:style w:type="character" w:styleId="11">
    <w:name w:val="footnote reference"/>
    <w:basedOn w:val="8"/>
    <w:semiHidden/>
    <w:qFormat/>
    <w:uiPriority w:val="99"/>
    <w:rPr>
      <w:vertAlign w:val="superscript"/>
    </w:rPr>
  </w:style>
  <w:style w:type="character" w:customStyle="1" w:styleId="12">
    <w:name w:val="Footer Char"/>
    <w:basedOn w:val="8"/>
    <w:link w:val="2"/>
    <w:semiHidden/>
    <w:qFormat/>
    <w:locked/>
    <w:uiPriority w:val="99"/>
    <w:rPr>
      <w:rFonts w:ascii="Times New Roman" w:hAnsi="Times New Roman" w:eastAsia="宋体" w:cs="Times New Roman"/>
      <w:sz w:val="18"/>
      <w:szCs w:val="18"/>
    </w:rPr>
  </w:style>
  <w:style w:type="character" w:customStyle="1" w:styleId="13">
    <w:name w:val="Header Char"/>
    <w:basedOn w:val="8"/>
    <w:link w:val="3"/>
    <w:semiHidden/>
    <w:qFormat/>
    <w:locked/>
    <w:uiPriority w:val="99"/>
    <w:rPr>
      <w:rFonts w:ascii="Times New Roman" w:hAnsi="Times New Roman" w:eastAsia="宋体" w:cs="Times New Roman"/>
      <w:sz w:val="18"/>
      <w:szCs w:val="18"/>
    </w:rPr>
  </w:style>
  <w:style w:type="paragraph" w:customStyle="1" w:styleId="14">
    <w:name w:val="Char"/>
    <w:basedOn w:val="1"/>
    <w:qFormat/>
    <w:uiPriority w:val="99"/>
    <w:rPr>
      <w:rFonts w:ascii="Times New Roman" w:hAnsi="Times New Roman" w:cs="Times New Roman"/>
    </w:rPr>
  </w:style>
  <w:style w:type="paragraph" w:customStyle="1" w:styleId="15">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character" w:customStyle="1" w:styleId="16">
    <w:name w:val="Footnote Text Char"/>
    <w:basedOn w:val="8"/>
    <w:link w:val="5"/>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29</Pages>
  <Words>2801</Words>
  <Characters>15969</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2025-02-07T09:21:16Z</dcterms:modified>
  <dc:title>Administrator</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