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eastAsia="方正小标宋_GBK" w:cs="Times New Roman"/>
          <w:color w:val="auto"/>
          <w:sz w:val="44"/>
          <w:szCs w:val="44"/>
        </w:rPr>
      </w:pPr>
      <w:bookmarkStart w:id="4" w:name="_GoBack"/>
      <w:bookmarkEnd w:id="4"/>
      <w:r>
        <w:rPr>
          <w:rFonts w:hint="eastAsia" w:ascii="Times New Roman" w:hAnsi="Times New Roman" w:eastAsia="方正小标宋_GBK" w:cs="Times New Roman"/>
          <w:color w:val="auto"/>
          <w:sz w:val="44"/>
          <w:szCs w:val="44"/>
        </w:rPr>
        <w:t>曲阳县范家庄乡人民政府</w:t>
      </w:r>
      <w:r>
        <w:rPr>
          <w:rFonts w:ascii="Times New Roman" w:hAnsi="Times New Roman" w:eastAsia="方正小标宋_GBK" w:cs="Times New Roman"/>
          <w:color w:val="auto"/>
          <w:sz w:val="44"/>
          <w:szCs w:val="44"/>
        </w:rPr>
        <w:t>201</w:t>
      </w:r>
      <w:r>
        <w:rPr>
          <w:rFonts w:hint="eastAsia" w:ascii="Times New Roman" w:hAnsi="Times New Roman" w:eastAsia="方正小标宋_GBK" w:cs="Times New Roman"/>
          <w:color w:val="auto"/>
          <w:sz w:val="44"/>
          <w:szCs w:val="44"/>
        </w:rPr>
        <w:t>9</w:t>
      </w:r>
      <w:r>
        <w:rPr>
          <w:rFonts w:ascii="Times New Roman" w:hAnsi="Times New Roman" w:eastAsia="方正小标宋_GBK" w:cs="Times New Roman"/>
          <w:color w:val="auto"/>
          <w:sz w:val="44"/>
          <w:szCs w:val="44"/>
        </w:rPr>
        <w:t>年部门预算信息公开</w:t>
      </w:r>
    </w:p>
    <w:p>
      <w:pPr>
        <w:ind w:firstLine="640" w:firstLineChars="200"/>
        <w:rPr>
          <w:rFonts w:ascii="仿宋" w:hAnsi="仿宋" w:eastAsia="仿宋" w:cs="Times New Roman"/>
          <w:color w:val="auto"/>
          <w:sz w:val="32"/>
          <w:szCs w:val="32"/>
        </w:rPr>
      </w:pPr>
      <w:r>
        <w:rPr>
          <w:rFonts w:ascii="仿宋" w:hAnsi="仿宋" w:eastAsia="仿宋" w:cs="Times New Roman"/>
          <w:color w:val="auto"/>
          <w:sz w:val="32"/>
          <w:szCs w:val="32"/>
        </w:rPr>
        <w:t>按照</w:t>
      </w:r>
      <w:r>
        <w:rPr>
          <w:rFonts w:hint="eastAsia" w:ascii="仿宋" w:hAnsi="仿宋" w:eastAsia="仿宋" w:cs="Times New Roman"/>
          <w:color w:val="auto"/>
          <w:sz w:val="32"/>
          <w:szCs w:val="32"/>
          <w:lang w:eastAsia="zh-CN"/>
        </w:rPr>
        <w:t>《中华人民共和国预算法》</w:t>
      </w:r>
      <w:r>
        <w:rPr>
          <w:rFonts w:hint="eastAsia" w:ascii="仿宋" w:hAnsi="仿宋" w:eastAsia="仿宋" w:cs="仿宋"/>
          <w:color w:val="auto"/>
          <w:sz w:val="32"/>
          <w:szCs w:val="32"/>
        </w:rPr>
        <w:t>、《地方预决算公开操作规程》和《河北省财政厅修订补充</w:t>
      </w:r>
      <w:r>
        <w:rPr>
          <w:rFonts w:ascii="仿宋" w:hAnsi="仿宋" w:eastAsia="仿宋" w:cs="仿宋"/>
          <w:color w:val="auto"/>
          <w:sz w:val="32"/>
          <w:szCs w:val="32"/>
        </w:rPr>
        <w:t>&lt;</w:t>
      </w:r>
      <w:r>
        <w:rPr>
          <w:rFonts w:hint="eastAsia" w:ascii="仿宋" w:hAnsi="仿宋" w:eastAsia="仿宋" w:cs="仿宋"/>
          <w:color w:val="auto"/>
          <w:sz w:val="32"/>
          <w:szCs w:val="32"/>
        </w:rPr>
        <w:t>河北省预决算公开操作规程实施细则</w:t>
      </w:r>
      <w:r>
        <w:rPr>
          <w:rFonts w:ascii="仿宋" w:hAnsi="仿宋" w:eastAsia="仿宋" w:cs="仿宋"/>
          <w:color w:val="auto"/>
          <w:sz w:val="32"/>
          <w:szCs w:val="32"/>
        </w:rPr>
        <w:t>&gt;</w:t>
      </w:r>
      <w:r>
        <w:rPr>
          <w:rFonts w:hint="eastAsia" w:ascii="仿宋" w:hAnsi="仿宋" w:eastAsia="仿宋" w:cs="仿宋"/>
          <w:color w:val="auto"/>
          <w:sz w:val="32"/>
          <w:szCs w:val="32"/>
        </w:rPr>
        <w:t>》（冀财预</w:t>
      </w:r>
      <w:r>
        <w:rPr>
          <w:rFonts w:ascii="仿宋" w:hAnsi="仿宋" w:eastAsia="仿宋" w:cs="仿宋"/>
          <w:color w:val="auto"/>
          <w:sz w:val="32"/>
          <w:szCs w:val="32"/>
        </w:rPr>
        <w:t>[2017]82</w:t>
      </w:r>
      <w:r>
        <w:rPr>
          <w:rFonts w:hint="eastAsia" w:ascii="仿宋" w:hAnsi="仿宋" w:eastAsia="仿宋" w:cs="仿宋"/>
          <w:color w:val="auto"/>
          <w:sz w:val="32"/>
          <w:szCs w:val="32"/>
        </w:rPr>
        <w:t>号）规定</w:t>
      </w:r>
      <w:r>
        <w:rPr>
          <w:rFonts w:ascii="仿宋" w:hAnsi="仿宋" w:eastAsia="仿宋" w:cs="Times New Roman"/>
          <w:color w:val="auto"/>
          <w:sz w:val="32"/>
          <w:szCs w:val="32"/>
        </w:rPr>
        <w:t>，现</w:t>
      </w:r>
      <w:r>
        <w:rPr>
          <w:rFonts w:hint="eastAsia" w:ascii="仿宋" w:hAnsi="仿宋" w:eastAsia="仿宋" w:cs="Times New Roman"/>
          <w:color w:val="auto"/>
          <w:sz w:val="32"/>
          <w:szCs w:val="32"/>
        </w:rPr>
        <w:t>将曲阳县范家庄乡人民政府</w:t>
      </w:r>
      <w:r>
        <w:rPr>
          <w:rFonts w:ascii="仿宋" w:hAnsi="仿宋" w:eastAsia="仿宋" w:cs="Times New Roman"/>
          <w:color w:val="auto"/>
          <w:sz w:val="32"/>
          <w:szCs w:val="32"/>
        </w:rPr>
        <w:t>201</w:t>
      </w:r>
      <w:r>
        <w:rPr>
          <w:rFonts w:hint="eastAsia" w:ascii="仿宋" w:hAnsi="仿宋" w:eastAsia="仿宋" w:cs="Times New Roman"/>
          <w:color w:val="auto"/>
          <w:sz w:val="32"/>
          <w:szCs w:val="32"/>
        </w:rPr>
        <w:t>9</w:t>
      </w:r>
      <w:r>
        <w:rPr>
          <w:rFonts w:ascii="仿宋" w:hAnsi="仿宋" w:eastAsia="仿宋" w:cs="Times New Roman"/>
          <w:color w:val="auto"/>
          <w:sz w:val="32"/>
          <w:szCs w:val="32"/>
        </w:rPr>
        <w:t>年部门预算公开如下：</w:t>
      </w: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一、部门职责及机构设置情况</w:t>
      </w:r>
    </w:p>
    <w:p>
      <w:pPr>
        <w:ind w:firstLine="643" w:firstLineChars="200"/>
        <w:rPr>
          <w:rFonts w:ascii="仿宋" w:hAnsi="仿宋" w:eastAsia="仿宋" w:cs="Times New Roman"/>
          <w:color w:val="auto"/>
          <w:sz w:val="32"/>
          <w:szCs w:val="32"/>
        </w:rPr>
      </w:pPr>
      <w:r>
        <w:rPr>
          <w:rFonts w:hint="eastAsia" w:ascii="仿宋" w:hAnsi="仿宋" w:eastAsia="仿宋" w:cs="Times New Roman"/>
          <w:b/>
          <w:color w:val="auto"/>
          <w:sz w:val="32"/>
          <w:szCs w:val="32"/>
        </w:rPr>
        <w:t>部门</w:t>
      </w:r>
      <w:r>
        <w:rPr>
          <w:rFonts w:ascii="仿宋" w:hAnsi="仿宋" w:eastAsia="仿宋" w:cs="Times New Roman"/>
          <w:b/>
          <w:color w:val="auto"/>
          <w:sz w:val="32"/>
          <w:szCs w:val="32"/>
        </w:rPr>
        <w:t>职责：</w:t>
      </w:r>
      <w:r>
        <w:rPr>
          <w:rFonts w:hint="eastAsia" w:ascii="仿宋" w:hAnsi="仿宋" w:eastAsia="仿宋" w:cs="Times New Roman"/>
          <w:color w:val="auto"/>
          <w:sz w:val="32"/>
          <w:szCs w:val="32"/>
        </w:rPr>
        <w:t>根据曲阳县人民政府《关于印发曲阳县范家庄乡人民政府主要职责内设机构和人员编制规定的通知》，现将我单位部门职责说明如下：</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（一）执行本级人民代表大会的决议和上级国家行政机关的决定和命令，发布决定和命令。</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（二）执行本行政区域内经济和社会发展计划，加强公共设施的建设和管理，发展各项服务事业。</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（三）加强水利建设、土地使用管理及环境综合整治，合理利用自然资源，保护改善生活和生态环境。</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（四）依法管理乡财政，执行本级预算。</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（五）管理和发展文化、教育、科学技术、广播、体育、卫生等事业。</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（六）保护全民所有财产和劳动群众集体所有的财产，保护公民私人所有的合法财产，保障公民的人身权力、民主权利和其他权利， 保护各种经济组织的合法权益。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（七）开展社会主义民主与法制教育，管理公安、司法行政工作，加强社会治安综合治理，调解民事纠纷，维护社会秩序。</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（八）推行计划生育，控制人口增长，保护妇女，儿童和老人的合法权益。</w:t>
      </w:r>
    </w:p>
    <w:p>
      <w:pPr>
        <w:ind w:firstLine="640" w:firstLineChars="200"/>
        <w:rPr>
          <w:rFonts w:ascii="仿宋" w:hAnsi="仿宋" w:eastAsia="仿宋" w:cs="Times New Roman"/>
          <w:color w:val="auto"/>
          <w:sz w:val="32"/>
          <w:szCs w:val="32"/>
        </w:rPr>
      </w:pPr>
      <w:r>
        <w:rPr>
          <w:rFonts w:hint="eastAsia" w:ascii="仿宋" w:hAnsi="仿宋" w:eastAsia="仿宋" w:cs="Times New Roman"/>
          <w:color w:val="auto"/>
          <w:sz w:val="32"/>
          <w:szCs w:val="32"/>
        </w:rPr>
        <w:t>（九）管理民政行政工作，发展社会福利事业，做好社会保障工作，办理兵役事项。</w:t>
      </w:r>
    </w:p>
    <w:p>
      <w:pPr>
        <w:ind w:firstLine="643" w:firstLineChars="200"/>
        <w:rPr>
          <w:rFonts w:ascii="仿宋" w:hAnsi="仿宋" w:eastAsia="仿宋" w:cs="Times New Roman"/>
          <w:b/>
          <w:color w:val="auto"/>
          <w:sz w:val="32"/>
          <w:szCs w:val="32"/>
        </w:rPr>
      </w:pPr>
      <w:r>
        <w:rPr>
          <w:rFonts w:hint="eastAsia" w:ascii="仿宋" w:hAnsi="仿宋" w:eastAsia="仿宋" w:cs="Times New Roman"/>
          <w:b/>
          <w:color w:val="auto"/>
          <w:sz w:val="32"/>
          <w:szCs w:val="32"/>
        </w:rPr>
        <w:t>机构设置：</w:t>
      </w:r>
    </w:p>
    <w:p>
      <w:pPr>
        <w:jc w:val="center"/>
        <w:outlineLvl w:val="0"/>
        <w:rPr>
          <w:rFonts w:ascii="Times New Roman" w:hAnsi="Times New Roman" w:eastAsia="方正小标宋_GBK" w:cs="Times New Roman"/>
          <w:color w:val="auto"/>
          <w:sz w:val="32"/>
          <w:szCs w:val="24"/>
        </w:rPr>
      </w:pPr>
      <w:r>
        <w:rPr>
          <w:rFonts w:ascii="Times New Roman" w:hAnsi="Times New Roman" w:eastAsia="方正小标宋_GBK" w:cs="Times New Roman"/>
          <w:color w:val="auto"/>
          <w:sz w:val="32"/>
          <w:szCs w:val="24"/>
        </w:rPr>
        <w:t>部门</w:t>
      </w:r>
      <w:r>
        <w:rPr>
          <w:rFonts w:hint="eastAsia" w:ascii="Times New Roman" w:hAnsi="Times New Roman" w:eastAsia="方正小标宋_GBK" w:cs="Times New Roman"/>
          <w:color w:val="auto"/>
          <w:sz w:val="32"/>
          <w:szCs w:val="24"/>
        </w:rPr>
        <w:t>机构设置情况</w:t>
      </w:r>
    </w:p>
    <w:tbl>
      <w:tblPr>
        <w:tblStyle w:val="7"/>
        <w:tblW w:w="10002"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17"/>
        <w:gridCol w:w="1134"/>
        <w:gridCol w:w="1276"/>
        <w:gridCol w:w="31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单位名称</w:t>
            </w:r>
          </w:p>
        </w:tc>
        <w:tc>
          <w:tcPr>
            <w:tcW w:w="1134"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单位性质</w:t>
            </w:r>
          </w:p>
        </w:tc>
        <w:tc>
          <w:tcPr>
            <w:tcW w:w="1276"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单位规格</w:t>
            </w:r>
          </w:p>
        </w:tc>
        <w:tc>
          <w:tcPr>
            <w:tcW w:w="3175" w:type="dxa"/>
            <w:vMerge w:val="restart"/>
            <w:vAlign w:val="center"/>
          </w:tcPr>
          <w:p>
            <w:pPr>
              <w:spacing w:line="300" w:lineRule="exact"/>
              <w:jc w:val="center"/>
              <w:rPr>
                <w:rFonts w:ascii="Times New Roman" w:hAnsi="Times New Roman" w:eastAsia="方正书宋_GBK" w:cs="Times New Roman"/>
                <w:b/>
                <w:color w:val="auto"/>
                <w:szCs w:val="24"/>
              </w:rPr>
            </w:pPr>
            <w:r>
              <w:rPr>
                <w:rFonts w:ascii="Times New Roman" w:hAnsi="Times New Roman" w:eastAsia="方正书宋_GBK" w:cs="Times New Roman"/>
                <w:b/>
                <w:color w:val="auto"/>
                <w:szCs w:val="24"/>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00" w:hRule="atLeast"/>
          <w:tblHeader/>
          <w:jc w:val="center"/>
        </w:trPr>
        <w:tc>
          <w:tcPr>
            <w:tcW w:w="4417" w:type="dxa"/>
            <w:vMerge w:val="continue"/>
            <w:vAlign w:val="center"/>
          </w:tcPr>
          <w:p>
            <w:pPr>
              <w:spacing w:line="300" w:lineRule="exact"/>
              <w:jc w:val="left"/>
              <w:outlineLvl w:val="0"/>
              <w:rPr>
                <w:rFonts w:ascii="Times New Roman" w:hAnsi="Times New Roman" w:cs="Times New Roman"/>
                <w:color w:val="auto"/>
                <w:szCs w:val="24"/>
              </w:rPr>
            </w:pPr>
          </w:p>
        </w:tc>
        <w:tc>
          <w:tcPr>
            <w:tcW w:w="1134" w:type="dxa"/>
            <w:vMerge w:val="continue"/>
            <w:vAlign w:val="center"/>
          </w:tcPr>
          <w:p>
            <w:pPr>
              <w:spacing w:line="300" w:lineRule="exact"/>
              <w:jc w:val="left"/>
              <w:outlineLvl w:val="0"/>
              <w:rPr>
                <w:rFonts w:ascii="Times New Roman" w:hAnsi="Times New Roman" w:cs="Times New Roman"/>
                <w:color w:val="auto"/>
                <w:szCs w:val="24"/>
              </w:rPr>
            </w:pPr>
          </w:p>
        </w:tc>
        <w:tc>
          <w:tcPr>
            <w:tcW w:w="1276" w:type="dxa"/>
            <w:vMerge w:val="continue"/>
            <w:vAlign w:val="center"/>
          </w:tcPr>
          <w:p>
            <w:pPr>
              <w:spacing w:line="300" w:lineRule="exact"/>
              <w:jc w:val="left"/>
              <w:outlineLvl w:val="0"/>
              <w:rPr>
                <w:rFonts w:ascii="Times New Roman" w:hAnsi="Times New Roman" w:cs="Times New Roman"/>
                <w:color w:val="auto"/>
                <w:szCs w:val="24"/>
              </w:rPr>
            </w:pPr>
          </w:p>
        </w:tc>
        <w:tc>
          <w:tcPr>
            <w:tcW w:w="3175" w:type="dxa"/>
            <w:vMerge w:val="continue"/>
            <w:vAlign w:val="center"/>
          </w:tcPr>
          <w:p>
            <w:pPr>
              <w:spacing w:line="300" w:lineRule="exact"/>
              <w:jc w:val="left"/>
              <w:outlineLvl w:val="0"/>
              <w:rPr>
                <w:rFonts w:ascii="Times New Roman" w:hAnsi="Times New Roman" w:cs="Times New Roman"/>
                <w:color w:val="auto"/>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曲阳县范家庄乡党委</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曲阳县范家庄乡政府</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曲阳县范家庄乡人大</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行政</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正科级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曲阳县范家庄乡财政</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曲阳县范家庄乡计生</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曲阳县范家庄乡社会事务管理</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股级</w:t>
            </w:r>
          </w:p>
        </w:tc>
        <w:tc>
          <w:tcPr>
            <w:tcW w:w="3175" w:type="dxa"/>
            <w:vAlign w:val="center"/>
          </w:tcPr>
          <w:p>
            <w:pPr>
              <w:widowControl/>
              <w:jc w:val="center"/>
              <w:rPr>
                <w:rFonts w:ascii="方正书宋_GBK" w:eastAsia="方正书宋_GBK"/>
                <w:color w:val="auto"/>
              </w:rPr>
            </w:pPr>
            <w:r>
              <w:rPr>
                <w:rFonts w:hint="eastAsia" w:ascii="宋体" w:hAnsi="宋体" w:cs="宋体"/>
                <w:color w:val="auto"/>
                <w:kern w:val="0"/>
                <w:sz w:val="24"/>
                <w:szCs w:val="24"/>
              </w:rPr>
              <w:t>财政性资金基本保证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4417"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曲阳县范家庄乡乡镇企业管理</w:t>
            </w:r>
          </w:p>
        </w:tc>
        <w:tc>
          <w:tcPr>
            <w:tcW w:w="1134"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事业</w:t>
            </w:r>
          </w:p>
        </w:tc>
        <w:tc>
          <w:tcPr>
            <w:tcW w:w="1276"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其他</w:t>
            </w:r>
          </w:p>
        </w:tc>
        <w:tc>
          <w:tcPr>
            <w:tcW w:w="3175" w:type="dxa"/>
            <w:vAlign w:val="center"/>
          </w:tcPr>
          <w:p>
            <w:pPr>
              <w:widowControl/>
              <w:jc w:val="center"/>
              <w:rPr>
                <w:rFonts w:ascii="Times New Roman" w:hAnsi="Times New Roman" w:eastAsia="方正书宋_GBK" w:cs="Times New Roman"/>
                <w:color w:val="auto"/>
                <w:szCs w:val="24"/>
              </w:rPr>
            </w:pPr>
            <w:r>
              <w:rPr>
                <w:rFonts w:hint="eastAsia" w:ascii="宋体" w:hAnsi="宋体" w:cs="宋体"/>
                <w:color w:val="auto"/>
                <w:kern w:val="0"/>
                <w:sz w:val="24"/>
                <w:szCs w:val="24"/>
              </w:rPr>
              <w:t>财政性资金定额或定向补助</w:t>
            </w:r>
          </w:p>
        </w:tc>
      </w:tr>
    </w:tbl>
    <w:p>
      <w:pPr>
        <w:rPr>
          <w:color w:val="auto"/>
        </w:rPr>
      </w:pPr>
    </w:p>
    <w:p>
      <w:pPr>
        <w:ind w:firstLine="640"/>
        <w:rPr>
          <w:rFonts w:ascii="黑体" w:hAnsi="黑体" w:eastAsia="黑体" w:cs="Times New Roman"/>
          <w:color w:val="auto"/>
          <w:sz w:val="32"/>
          <w:szCs w:val="32"/>
        </w:rPr>
      </w:pPr>
      <w:r>
        <w:rPr>
          <w:rFonts w:hint="eastAsia" w:ascii="黑体" w:hAnsi="黑体" w:eastAsia="黑体" w:cs="Times New Roman"/>
          <w:color w:val="auto"/>
          <w:sz w:val="32"/>
          <w:szCs w:val="32"/>
        </w:rPr>
        <w:t>二、部门预算安排的总体情况</w:t>
      </w:r>
    </w:p>
    <w:p>
      <w:pPr>
        <w:ind w:firstLine="640"/>
        <w:rPr>
          <w:rFonts w:ascii="Times New Roman" w:hAnsi="Times New Roman" w:eastAsia="仿宋" w:cs="Times New Roman"/>
          <w:color w:val="auto"/>
          <w:sz w:val="32"/>
          <w:szCs w:val="32"/>
        </w:rPr>
      </w:pPr>
      <w:r>
        <w:rPr>
          <w:rFonts w:ascii="Times New Roman" w:hAnsi="Times New Roman" w:eastAsia="仿宋" w:cs="Times New Roman"/>
          <w:color w:val="auto"/>
          <w:sz w:val="32"/>
          <w:szCs w:val="32"/>
        </w:rPr>
        <w:t>按照预算管理有关规定，目前我</w:t>
      </w:r>
      <w:r>
        <w:rPr>
          <w:rFonts w:hint="eastAsia" w:ascii="Times New Roman" w:hAnsi="Times New Roman" w:eastAsia="仿宋" w:cs="Times New Roman"/>
          <w:color w:val="auto"/>
          <w:sz w:val="32"/>
          <w:szCs w:val="32"/>
        </w:rPr>
        <w:t>单位</w:t>
      </w:r>
      <w:r>
        <w:rPr>
          <w:rFonts w:ascii="Times New Roman" w:hAnsi="Times New Roman" w:eastAsia="仿宋" w:cs="Times New Roman"/>
          <w:color w:val="auto"/>
          <w:sz w:val="32"/>
          <w:szCs w:val="32"/>
        </w:rPr>
        <w:t>预算的编制实行综合预算制度，即全部收入和支出都反映</w:t>
      </w:r>
      <w:r>
        <w:rPr>
          <w:rFonts w:hint="eastAsia" w:ascii="Times New Roman" w:hAnsi="Times New Roman" w:eastAsia="仿宋" w:cs="Times New Roman"/>
          <w:color w:val="auto"/>
          <w:sz w:val="32"/>
          <w:szCs w:val="32"/>
        </w:rPr>
        <w:t>在</w:t>
      </w:r>
      <w:r>
        <w:rPr>
          <w:rFonts w:ascii="Times New Roman" w:hAnsi="Times New Roman" w:eastAsia="仿宋" w:cs="Times New Roman"/>
          <w:color w:val="auto"/>
          <w:sz w:val="32"/>
          <w:szCs w:val="32"/>
        </w:rPr>
        <w:t>预算中。</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w:t>
      </w:r>
      <w:r>
        <w:rPr>
          <w:rFonts w:ascii="Times New Roman" w:hAnsi="Times New Roman" w:eastAsia="仿宋" w:cs="Times New Roman"/>
          <w:color w:val="auto"/>
          <w:sz w:val="32"/>
          <w:szCs w:val="32"/>
        </w:rPr>
        <w:t>收入说明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反应本部门当年全部收入。2019年预算收入541.72万元，其中：一般公共预算收入541.72万元，基金预算收入0万元，财政专户核拨收入0万元，其他来源收入0万元。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w:t>
      </w:r>
      <w:r>
        <w:rPr>
          <w:rFonts w:ascii="Times New Roman" w:hAnsi="Times New Roman" w:eastAsia="仿宋" w:cs="Times New Roman"/>
          <w:color w:val="auto"/>
          <w:sz w:val="32"/>
          <w:szCs w:val="32"/>
        </w:rPr>
        <w:t>支出说明</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收支预算总表支出栏、基本支出表、项目支出表按经济分类和支出功能分类科目编制，反映曲阳县范家庄乡人民政府年度部门预算中支出预算的总体情况。2019年部门支出预算为541.72万元，其中基本支出261.28万元，包括人员经费248.34万元和日常公用经费12.94万元；项目支出280.44万元，主要为乡镇专项经费支出16.5万元，村级办公经费、村干部工资和离任干部工资支出205.59万元，人大经费支出1万元，网格员生活补贴12.60万元，生态护林员补助4.75万元，扶贫工作队经费支出40万元。</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w:t>
      </w:r>
      <w:r>
        <w:rPr>
          <w:rFonts w:ascii="Times New Roman" w:hAnsi="Times New Roman" w:eastAsia="仿宋" w:cs="Times New Roman"/>
          <w:color w:val="auto"/>
          <w:sz w:val="32"/>
          <w:szCs w:val="32"/>
        </w:rPr>
        <w:t>比上年增减情况</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2019年，部门预算收支安排541.72万元，较2018年增长110.92万元，其中：基本支出减少27.15万元，主要是有人员退休和日常公用的减少；项目支出增长138.07万元，主要是由于增加了村级经费。</w:t>
      </w: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三、机关运行经费安排情况</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2019年，我部门机关运行经费共计安排30.34万元，主要用于保证机关正常运转的办公、邮电费、福利费、工会经费、办公用房水电费、办公用房取暖费、日常维修费、公务车运行维护费、其他交通费等支出。</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四、财政拨款</w:t>
      </w:r>
      <w:r>
        <w:rPr>
          <w:rFonts w:ascii="黑体" w:hAnsi="黑体" w:eastAsia="黑体" w:cs="Times New Roman"/>
          <w:color w:val="auto"/>
          <w:sz w:val="32"/>
          <w:szCs w:val="32"/>
        </w:rPr>
        <w:t>“</w:t>
      </w:r>
      <w:r>
        <w:rPr>
          <w:rFonts w:hint="eastAsia" w:ascii="黑体" w:hAnsi="黑体" w:eastAsia="黑体" w:cs="Times New Roman"/>
          <w:color w:val="auto"/>
          <w:sz w:val="32"/>
          <w:szCs w:val="32"/>
        </w:rPr>
        <w:t>三公</w:t>
      </w:r>
      <w:r>
        <w:rPr>
          <w:rFonts w:ascii="黑体" w:hAnsi="黑体" w:eastAsia="黑体" w:cs="Times New Roman"/>
          <w:color w:val="auto"/>
          <w:sz w:val="32"/>
          <w:szCs w:val="32"/>
        </w:rPr>
        <w:t>”</w:t>
      </w:r>
      <w:r>
        <w:rPr>
          <w:rFonts w:hint="eastAsia" w:ascii="黑体" w:hAnsi="黑体" w:eastAsia="黑体" w:cs="Times New Roman"/>
          <w:color w:val="auto"/>
          <w:sz w:val="32"/>
          <w:szCs w:val="32"/>
        </w:rPr>
        <w:t>经费预算情况及增减变化原因</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我部门财政拨款“三公”经费预算安排2.4万元，其中：因公出国（境）费0万元；公务用车购置及运维费2.4万元（其中：公务用车运行维护费2.4万元，公务用车购置费0万元)；公务接待费0万元。“三公”经费与上年持平，无增减变化。</w:t>
      </w:r>
    </w:p>
    <w:p>
      <w:pPr>
        <w:autoSpaceDE w:val="0"/>
        <w:autoSpaceDN w:val="0"/>
        <w:adjustRightInd w:val="0"/>
        <w:ind w:left="198"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五、绩效预算信息</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bookmarkStart w:id="0" w:name="_Toc471398463"/>
      <w:r>
        <w:rPr>
          <w:rFonts w:ascii="Times New Roman" w:hAnsi="Times New Roman" w:eastAsia="仿宋" w:cs="Times New Roman"/>
          <w:b/>
          <w:color w:val="auto"/>
          <w:sz w:val="32"/>
          <w:szCs w:val="32"/>
        </w:rPr>
        <w:t>总体绩效目标：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2019年，范家庄乡将加强队伍建设，实施农村面貌改造提升行动，推动新农村建设，进一步建立健全农村基层干部的激励保障机制。</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1、领导经济建设，推进新农村发展。</w:t>
      </w:r>
      <w:r>
        <w:rPr>
          <w:rFonts w:hint="eastAsia" w:ascii="Times New Roman" w:hAnsi="Times New Roman" w:eastAsia="仿宋" w:cs="Times New Roman"/>
          <w:color w:val="auto"/>
          <w:sz w:val="32"/>
          <w:szCs w:val="32"/>
          <w:lang w:eastAsia="zh-CN"/>
        </w:rPr>
        <w:t>制订</w:t>
      </w:r>
      <w:r>
        <w:rPr>
          <w:rFonts w:hint="eastAsia" w:ascii="Times New Roman" w:hAnsi="Times New Roman" w:eastAsia="仿宋" w:cs="Times New Roman"/>
          <w:color w:val="auto"/>
          <w:sz w:val="32"/>
          <w:szCs w:val="32"/>
        </w:rPr>
        <w:t>本乡经济和社会发展规划，并组织实施。执行本行政区域内经济和社会发展计划，加强公共设施的建设和管理，发展各项服务事业。以煤炭产业为主导，促进产业经济规模化，园区化，结合乡实际加强环保宣传力度，并组织实施。</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2、加强文明建设，改善农村面貌。社会主义精神文明和民主法制建设，加强农村社会治安综合治理，贯彻执行党和国家的计划生育政策。贯彻</w:t>
      </w:r>
      <w:r>
        <w:rPr>
          <w:rFonts w:hint="eastAsia" w:ascii="Times New Roman" w:hAnsi="Times New Roman" w:eastAsia="仿宋" w:cs="Times New Roman"/>
          <w:color w:val="auto"/>
          <w:sz w:val="32"/>
          <w:szCs w:val="32"/>
          <w:lang w:eastAsia="zh-CN"/>
        </w:rPr>
        <w:t>习近平总书记扫黑除恶</w:t>
      </w:r>
      <w:r>
        <w:rPr>
          <w:rFonts w:hint="eastAsia" w:ascii="Times New Roman" w:hAnsi="Times New Roman" w:eastAsia="仿宋" w:cs="Times New Roman"/>
          <w:color w:val="auto"/>
          <w:sz w:val="32"/>
          <w:szCs w:val="32"/>
        </w:rPr>
        <w:t>精神，进一步健全我乡社会治安综合治理领导和办事机构，不断加强基层基础建设，贯彻执行党和国家政策。优化农村环境，清理村内街道，建设文明乡村。</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3、加强农村农业事务管理，保证补贴发放率。依法管理乡财政，执行本级预算。推进新农村建设，加快建设社会主义新农村。进一步规范村级财务管理，使得“村财乡管”完成率达标。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加大教育力度，共创文明社会。开展社会主义民主与法制教育，调解民事纠纷，维护社会秩序。提高人民素质和学历，帮助人民群众丰富日常生活，举办广场舞等活动。不仅做到让群众健健康康的生活，还要提升他们的生活幸福指数。</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 xml:space="preserve">5、改善生活环境，加大生态保护。加强水利建设、土地使用管理及环境综合整治，合理利用自然资源，宣传绿色理念。做好防火工作，防治大气污染。携手各村，植树造林，净化空气。 </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6、抓党建，加强基层组织建设。领导社会主义精神文明和民主法制建设，加强农村社会治安综合治理，贯彻执行党和国家政策。发挥党员带头作用，积极开展党课宣讲活动。提升人民群众对政策的了解程度，发挥基层组织的旗帜作用。</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7、关心民众疾苦，搞好民政工作。管理和发展文化、教育、卫生等各项社会事业。做好优抚工作，严格规范办事程序。以人民群众为出发点。对于低保、五保工作加大重视，做到应保尽保，公平、公正、公开、透明。</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8、促进征兵工作，加强国防力量。完成上级交给的征兵工作任务，严格把关，做好满十八岁在青少年兵役登记工作，做好征兵工作在宣传，使得国家政策得到很好在宣传。张贴征兵标语，加大宣传力度。把高品质，高素质，高学历的兵员，送到部队。</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职责分类绩效目标：</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1、推进新农村建设</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通过实施农村面貌改造提升行动和开展新民居中心村示范点建设，加快建设社会主义新农村。改善农村环境面貌，提升农民生产生活条件。其中在选聘</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任职管理方面，积极引导大学生到农村锻炼任职，形成来自基层和生产一线的党政干部培养链，巩固党在农村的执政基础，加快推进社会主义新农村建设。加强对农村人才的培养和使用，进一步建立健全农村基层干部的激励保障机制，建立和完善</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工资及各项保障机遇，发放率达100%,解除</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的后顾之忧，进一步调动</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的工作积极性。同时按时发放</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工资，补贴发放率达到100%,足额缴纳各项保险。从而，使得</w:t>
      </w:r>
      <w:r>
        <w:rPr>
          <w:rFonts w:hint="eastAsia" w:ascii="Times New Roman" w:hAnsi="Times New Roman" w:eastAsia="仿宋" w:cs="Times New Roman"/>
          <w:color w:val="auto"/>
          <w:sz w:val="32"/>
          <w:szCs w:val="32"/>
          <w:lang w:eastAsia="zh-CN"/>
        </w:rPr>
        <w:t>村干部</w:t>
      </w:r>
      <w:r>
        <w:rPr>
          <w:rFonts w:hint="eastAsia" w:ascii="Times New Roman" w:hAnsi="Times New Roman" w:eastAsia="仿宋" w:cs="Times New Roman"/>
          <w:color w:val="auto"/>
          <w:sz w:val="32"/>
          <w:szCs w:val="32"/>
        </w:rPr>
        <w:t>的待遇得到保障。</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2、加强农村农业事务管理</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提高农村管理水平，贯彻执行农、林现代化管理水平，推动实施农村面貌提升，组织实施扶贫开发、农业开发、整村推进小康建设。同时，提高农残品产量和质量，优化农村产业结构，提高经济效益，增加农民收入，改善生态环境，农村面貌和生活条件改善。在村级管理方面，不改变村级资金管理方式，农村财务实行“村财乡管”规范村级财务管理，重视“村财乡管”的完成率，扶贫工作完成率大于90%，突发农民农村事务矛盾应急处置率大于90%，受益对象满意度大于100%。建立和完善在职村干部工资待遇，补贴发放待遇达到100%。进一步调动村干部的工资积极性。建立和完善离任村干部的补贴待遇，做到对离任干部的关怀机制。</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3、规范政务管理</w:t>
      </w:r>
    </w:p>
    <w:p>
      <w:pPr>
        <w:autoSpaceDE w:val="0"/>
        <w:autoSpaceDN w:val="0"/>
        <w:adjustRightInd w:val="0"/>
        <w:ind w:left="198" w:firstLine="640" w:firstLineChars="200"/>
        <w:jc w:val="left"/>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承担系统综合业务管理和部门综合事务管理，促进乡镇机关事务管理工作科学发展。管理乡镇机关网络建设，运转维护网络和电子政务。机关标准化建设、保密、档案以及政务接待、会务、办公楼物业管理和机关食堂管理、机关办公楼修缮、供水、供电、供暖以及机关环境美化绿化、卫生保洁、安全保卫。离退休干部慰问。搞好服务保障，为广大干部职工提供安全、快捷、细致、周到的工作环境；加强财务管理，确保资金安全，提高财政资金使用效益。计划修建北台乡岸上经张家峪至落地村道路改建，确保工期和工程量按时保质完成，加强了农村道路建设，改善了农村交通环境，促进农村贸易往来，解决了人们的出行难问题，促进了经济发展。切实做好先锋厂遗留车间、厂房等国有资产的保护管理工作，保障文物安全，选派专人加强对先锋厂的看护，进一步保护国有资产的安全，防止其遭到破坏。先锋厂的保护完整率达到100%，受益对象的保护程度达到100%。</w:t>
      </w:r>
    </w:p>
    <w:p>
      <w:pPr>
        <w:autoSpaceDE w:val="0"/>
        <w:autoSpaceDN w:val="0"/>
        <w:adjustRightInd w:val="0"/>
        <w:ind w:left="198" w:firstLine="643" w:firstLineChars="200"/>
        <w:jc w:val="left"/>
        <w:rPr>
          <w:rFonts w:ascii="Times New Roman" w:hAnsi="Times New Roman" w:eastAsia="仿宋" w:cs="Times New Roman"/>
          <w:b/>
          <w:color w:val="auto"/>
          <w:sz w:val="32"/>
          <w:szCs w:val="32"/>
        </w:rPr>
      </w:pPr>
      <w:r>
        <w:rPr>
          <w:rFonts w:hint="eastAsia" w:ascii="Times New Roman" w:hAnsi="Times New Roman" w:eastAsia="仿宋" w:cs="Times New Roman"/>
          <w:b/>
          <w:color w:val="auto"/>
          <w:sz w:val="32"/>
          <w:szCs w:val="32"/>
        </w:rPr>
        <w:t>部门职责及工作活动绩效目标指标：</w:t>
      </w:r>
      <w:bookmarkEnd w:id="0"/>
    </w:p>
    <w:p>
      <w:pPr>
        <w:jc w:val="center"/>
        <w:outlineLvl w:val="0"/>
        <w:rPr>
          <w:rFonts w:ascii="方正小标宋_GBK" w:hAnsi="Times New Roman" w:eastAsia="方正小标宋_GBK" w:cs="Times New Roman"/>
          <w:color w:val="auto"/>
          <w:sz w:val="32"/>
          <w:szCs w:val="24"/>
        </w:rPr>
      </w:pPr>
    </w:p>
    <w:p>
      <w:pPr>
        <w:jc w:val="center"/>
        <w:outlineLvl w:val="0"/>
        <w:rPr>
          <w:rFonts w:ascii="方正小标宋_GBK" w:eastAsia="方正小标宋_GBK"/>
          <w:color w:val="auto"/>
          <w:sz w:val="32"/>
        </w:rPr>
      </w:pPr>
      <w:bookmarkStart w:id="1" w:name="_Toc532504"/>
      <w:r>
        <w:rPr>
          <w:rFonts w:hint="eastAsia" w:ascii="方正小标宋_GBK" w:eastAsia="方正小标宋_GBK"/>
          <w:color w:val="auto"/>
          <w:sz w:val="32"/>
        </w:rPr>
        <w:t>部门职责-工作活动绩效目标</w:t>
      </w:r>
      <w:r>
        <w:rPr>
          <w:rStyle w:val="10"/>
          <w:rFonts w:ascii="方正小标宋_GBK" w:eastAsia="方正小标宋_GBK"/>
          <w:color w:val="auto"/>
          <w:sz w:val="32"/>
        </w:rPr>
        <w:footnoteReference w:id="0" w:customMarkFollows="1"/>
        <w:sym w:font="Symbol" w:char="F020"/>
      </w:r>
      <w:bookmarkEnd w:id="1"/>
    </w:p>
    <w:tbl>
      <w:tblPr>
        <w:tblStyle w:val="7"/>
        <w:tblW w:w="1393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341"/>
        <w:gridCol w:w="1276"/>
        <w:gridCol w:w="2976"/>
        <w:gridCol w:w="2976"/>
        <w:gridCol w:w="1417"/>
        <w:gridCol w:w="737"/>
        <w:gridCol w:w="737"/>
        <w:gridCol w:w="737"/>
        <w:gridCol w:w="7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10986" w:type="dxa"/>
            <w:gridSpan w:val="5"/>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998</w:t>
            </w:r>
            <w:r>
              <w:rPr>
                <w:rFonts w:hint="eastAsia" w:ascii="方正小标宋_GBK" w:eastAsia="方正小标宋_GBK"/>
                <w:color w:val="auto"/>
                <w:sz w:val="24"/>
              </w:rPr>
              <w:t>曲阳县范家庄乡</w:t>
            </w:r>
          </w:p>
        </w:tc>
        <w:tc>
          <w:tcPr>
            <w:tcW w:w="2948" w:type="dxa"/>
            <w:gridSpan w:val="4"/>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职责活动</w:t>
            </w:r>
          </w:p>
        </w:tc>
        <w:tc>
          <w:tcPr>
            <w:tcW w:w="12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年度预算数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内容描述</w:t>
            </w:r>
          </w:p>
        </w:tc>
        <w:tc>
          <w:tcPr>
            <w:tcW w:w="297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绩效目标</w:t>
            </w:r>
          </w:p>
        </w:tc>
        <w:tc>
          <w:tcPr>
            <w:tcW w:w="1417"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绩效指标</w:t>
            </w:r>
          </w:p>
        </w:tc>
        <w:tc>
          <w:tcPr>
            <w:tcW w:w="2948" w:type="dxa"/>
            <w:gridSpan w:val="4"/>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评价标准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tblHeader/>
          <w:jc w:val="center"/>
        </w:trPr>
        <w:tc>
          <w:tcPr>
            <w:tcW w:w="2341" w:type="dxa"/>
            <w:vMerge w:val="continue"/>
            <w:shd w:val="clear" w:color="auto" w:fill="auto"/>
            <w:vAlign w:val="center"/>
          </w:tcPr>
          <w:p>
            <w:pPr>
              <w:spacing w:line="300" w:lineRule="exact"/>
              <w:jc w:val="left"/>
              <w:outlineLvl w:val="0"/>
              <w:rPr>
                <w:color w:val="auto"/>
              </w:rPr>
            </w:pPr>
          </w:p>
        </w:tc>
        <w:tc>
          <w:tcPr>
            <w:tcW w:w="12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2976" w:type="dxa"/>
            <w:vMerge w:val="continue"/>
            <w:shd w:val="clear" w:color="auto" w:fill="auto"/>
            <w:vAlign w:val="center"/>
          </w:tcPr>
          <w:p>
            <w:pPr>
              <w:spacing w:line="300" w:lineRule="exact"/>
              <w:jc w:val="left"/>
              <w:outlineLvl w:val="0"/>
              <w:rPr>
                <w:color w:val="auto"/>
              </w:rPr>
            </w:pPr>
          </w:p>
        </w:tc>
        <w:tc>
          <w:tcPr>
            <w:tcW w:w="1417" w:type="dxa"/>
            <w:vMerge w:val="continue"/>
            <w:shd w:val="clear" w:color="auto" w:fill="auto"/>
            <w:vAlign w:val="center"/>
          </w:tcPr>
          <w:p>
            <w:pPr>
              <w:spacing w:line="300" w:lineRule="exact"/>
              <w:jc w:val="left"/>
              <w:outlineLvl w:val="0"/>
              <w:rPr>
                <w:color w:val="auto"/>
              </w:rPr>
            </w:pP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优</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良</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中</w:t>
            </w:r>
          </w:p>
        </w:tc>
        <w:tc>
          <w:tcPr>
            <w:tcW w:w="737"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、人大会议</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承担乡人民代表大会和常务委员会各种会议的筹备工作。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保障会议顺利召开，完成会议议程。</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会议活动完成率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、人大代表活动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组织人大代表进行执法检查和集中视察；开展代表建议督办。</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确保乡人大换届选举工作顺利完成，提高组织换届选举工作水平；高质量完成机关领导人选举和常委会人事任免服务工作。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调研计划完成率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、党政务公开</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承担乡党政务公开日常工作，指导和协调全乡党政务公开及政务服务中心建设、推进党政服务体系标准化建设工作。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通过完成乡党政信息公开工作的指导监督工作，使全乡政府信息公开业务队伍素质不断提高，业务水平进一步提升；政府政务信息公开范围不断扩大，公开内容得到进一步细化。</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党政务公开率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、会议管理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乡党委、政府、人大会议的准备和服务工作，协助乡领导组织会议决定事项的落实。</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做好乡党政会议保障；严格各部门的会议审批，控制会议费开支规模。</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会议控制率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、信访稳定</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负责乡镇来信来访工作。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做好来信来访接待和解释工作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处理信访案件完成率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、应急管理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政府值班工作，及时报告重要情况，传达和督促落实政府领导指示。协助政府领导做好突发事件应急处置工作。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维护好乡政府应急平台，确保全乡应急工作顺利完成；各类突发事件得到及时妥善处置</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突发事件处理</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5</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县政府领导组织起草或审核上报市政府以及以县政府办公室名义发布的公文；办理县政府各部门和下级政府报送的文电；对县政府部门间出现的争议问题提出处理意见；组织起草县政府领导重要讲话及其他重要文稿；组织专题调研；承办县政府领导交办的其他事项。</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高质量审核公文，让县领导满意；及时办理各类文电，确保事项在第一时间得到县领导批示意见；高质量起草的县领导重要讲话及重要文稿，完成县政府交办的事项，有效保障政府日常工作。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综合事务保障率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、乡镇党组织建设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负责全乡党组织建设，提出党内生活制度建设的意见；指导全乡党员教育工作。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加强党组织建设和党员管理</w:t>
            </w:r>
            <w:r>
              <w:rPr>
                <w:rFonts w:ascii="方正书宋_GBK" w:eastAsia="方正书宋_GBK"/>
                <w:color w:val="auto"/>
              </w:rPr>
              <w:t>,</w:t>
            </w:r>
            <w:r>
              <w:rPr>
                <w:rFonts w:hint="eastAsia" w:ascii="方正书宋_GBK" w:eastAsia="方正书宋_GBK"/>
                <w:color w:val="auto"/>
              </w:rPr>
              <w:t>不断提高执政能力和领导水平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组织、协调、指导完成率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、村级组织建设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负责基层组织建设</w:t>
            </w:r>
            <w:r>
              <w:rPr>
                <w:rFonts w:hint="eastAsia" w:ascii="方正书宋_GBK" w:eastAsia="方正书宋_GBK"/>
                <w:color w:val="auto"/>
                <w:lang w:eastAsia="zh-CN"/>
              </w:rPr>
              <w:t>联席会议</w:t>
            </w:r>
            <w:r>
              <w:rPr>
                <w:rFonts w:hint="eastAsia" w:ascii="方正书宋_GBK" w:eastAsia="方正书宋_GBK"/>
                <w:color w:val="auto"/>
              </w:rPr>
              <w:t>党的牵头抓总工作；提出党内生活制度建设的意见；指导村级党员教育工作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加强村级组织建设和党员管理</w:t>
            </w:r>
            <w:r>
              <w:rPr>
                <w:rFonts w:ascii="方正书宋_GBK" w:eastAsia="方正书宋_GBK"/>
                <w:color w:val="auto"/>
              </w:rPr>
              <w:t>,</w:t>
            </w:r>
            <w:r>
              <w:rPr>
                <w:rFonts w:hint="eastAsia" w:ascii="方正书宋_GBK" w:eastAsia="方正书宋_GBK"/>
                <w:color w:val="auto"/>
              </w:rPr>
              <w:t>不断提高村级执政能力和领导水平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村级组织换届选举完成情况</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、财政所建设与管理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按县财政的要求，乡镇所有业务纳入一体化系统。按会计制度要求规范设置账户及会计核算等工作；专项资金发放；会计档案管理。将按</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的要求，规范乡镇财务。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所有乡镇全部纳入一体化系统；按标准化财政所的要求规范账目</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标准财政所完成率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改善我县农村计划怀孕夫妇健康状况，有效降低出生缺陷发生风险；为各类育龄人群提供安全、有效避孕节育技术服务；健全完善流动人口管理机制。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、计划生育奖励扶持政策</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采取奖励、扶助、社会保障等机制，引导家庭和个人计划生育措施，提高计划生育家庭发展能力。</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增强群众自觉实行计划生育的积极性，稳定适度的低生育水平，提高计划生育家庭发展能力，增强计划生育家庭的凝聚力及成员幸福感。</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农村部分计划生育家庭奖励扶助政策落实率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r>
              <w:rPr>
                <w:rFonts w:hint="eastAsia" w:ascii="方正书宋_GBK" w:eastAsia="方正书宋_GBK"/>
                <w:color w:val="auto"/>
              </w:rPr>
              <w:t>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一、选举和任免</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检查监督代表法、选举法及其实施办法的贯彻实施；承担人大换届选举及人事任免服务工作；负责对乡镇政府组成人员和乡镇人民法院主要负责人的目标责任书、述职报告的督办工作。</w:t>
            </w:r>
          </w:p>
        </w:tc>
        <w:tc>
          <w:tcPr>
            <w:tcW w:w="29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、确保有关选举的法律法规符合实际，在充分考察调研的基础上，实施对其进行修改。</w:t>
            </w:r>
            <w:r>
              <w:rPr>
                <w:rFonts w:ascii="方正书宋_GBK" w:eastAsia="方正书宋_GBK"/>
                <w:color w:val="auto"/>
              </w:rPr>
              <w:t>2</w:t>
            </w:r>
            <w:r>
              <w:rPr>
                <w:rFonts w:hint="eastAsia" w:ascii="方正书宋_GBK" w:eastAsia="方正书宋_GBK"/>
                <w:color w:val="auto"/>
              </w:rPr>
              <w:t>、对乡镇政府组成人员和乡镇人民法院主要负责人进行目标责任监督，确保依法履行职责，完成目标任务。</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、换届选举及人事任免</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承担乡镇人大换届选举、乡镇区领导人的选举和常委会人事任免的服务工作；指导乡镇人大换届选举工作；负责对乡镇政府组成人员和乡镇人民法院主要负责人的目标责任书、述职报告的督办工作。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确保乡镇人大换届选举工作顺利完成，提高组织换届选举工作水平；高质量完成乡镇领导人选举和常委会人事任免服务工作；高效督办有关部门负责人的目标责任书和述职报告。</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政治任务实现率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换届选举工作完成率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二、民族宗教事务管理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宣传国家关于宗教工作的方针政策，监督检查宗教活动场所，创建和谐寺观教堂，培训宗教工作干部，对困难宗教教职人员进行补助，监控、制止天主教地下分子的非法活动。开展民族宗教政策和法制宣传教育工作，协助处理民族宗教方面的维稳问题促进民族宗教团结、稳定，妥善处置宗教突发事件、维护宗教界和谐稳定。</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加强宗教事务管理工作，加强其他民族宗教综合性事务管理工作。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、民族宗教综合治理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民族宗教的法制宣传和团结教育，团结和动员广大信教群众为改革开放和经济建设服务。协助处理民族宗教方面的维稳问题。进行清真食品检查；处理其他不可预见的民族宗教问题。对地下主教、神甫及其骨干分子进行监控、反渗透，巩固爱国人员的领导地位。</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加大补助力度，增强反渗透能力。不断提高民族宗教法律政策宣传覆盖率</w:t>
            </w:r>
            <w:r>
              <w:rPr>
                <w:rFonts w:ascii="方正书宋_GBK" w:eastAsia="方正书宋_GBK"/>
                <w:color w:val="auto"/>
              </w:rPr>
              <w:t>,</w:t>
            </w:r>
            <w:r>
              <w:rPr>
                <w:rFonts w:hint="eastAsia" w:ascii="方正书宋_GBK" w:eastAsia="方正书宋_GBK"/>
                <w:color w:val="auto"/>
              </w:rPr>
              <w:t>加大宣传教育力度</w:t>
            </w:r>
            <w:r>
              <w:rPr>
                <w:rFonts w:ascii="方正书宋_GBK" w:eastAsia="方正书宋_GBK"/>
                <w:color w:val="auto"/>
              </w:rPr>
              <w:t>;</w:t>
            </w:r>
            <w:r>
              <w:rPr>
                <w:rFonts w:hint="eastAsia" w:ascii="方正书宋_GBK" w:eastAsia="方正书宋_GBK"/>
                <w:color w:val="auto"/>
              </w:rPr>
              <w:t>妥善协助解决突发事件</w:t>
            </w:r>
            <w:r>
              <w:rPr>
                <w:rFonts w:ascii="方正书宋_GBK" w:eastAsia="方正书宋_GBK"/>
                <w:color w:val="auto"/>
              </w:rPr>
              <w:t>;</w:t>
            </w:r>
            <w:r>
              <w:rPr>
                <w:rFonts w:hint="eastAsia" w:ascii="方正书宋_GBK" w:eastAsia="方正书宋_GBK"/>
                <w:color w:val="auto"/>
              </w:rPr>
              <w:t>提高清真食品检查效率</w:t>
            </w:r>
            <w:r>
              <w:rPr>
                <w:rFonts w:ascii="方正书宋_GBK" w:eastAsia="方正书宋_GBK"/>
                <w:color w:val="auto"/>
              </w:rPr>
              <w:t>,</w:t>
            </w:r>
            <w:r>
              <w:rPr>
                <w:rFonts w:hint="eastAsia" w:ascii="方正书宋_GBK" w:eastAsia="方正书宋_GBK"/>
                <w:color w:val="auto"/>
              </w:rPr>
              <w:t>及时解决其他民族宗教问题。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天主教神职人员补助覆盖率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维稳突出问题解决率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三、政法综治稳定和国家安全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1</w:t>
            </w:r>
            <w:r>
              <w:rPr>
                <w:rFonts w:hint="eastAsia" w:ascii="方正书宋_GBK" w:eastAsia="方正书宋_GBK"/>
                <w:color w:val="auto"/>
              </w:rPr>
              <w:t>、贯彻实施国家安全战略，推进国家安全法制建设，贯彻落实国家安全工作方针，研究解决涉及国家安全工作的重大问题。</w:t>
            </w:r>
            <w:r>
              <w:rPr>
                <w:rFonts w:ascii="方正书宋_GBK" w:eastAsia="方正书宋_GBK"/>
                <w:color w:val="auto"/>
              </w:rPr>
              <w:t>2</w:t>
            </w:r>
            <w:r>
              <w:rPr>
                <w:rFonts w:hint="eastAsia" w:ascii="方正书宋_GBK" w:eastAsia="方正书宋_GBK"/>
                <w:color w:val="auto"/>
              </w:rPr>
              <w:t>、推进社会治安综合治理，维护社会稳定，有效地维护本乡镇的可持续稳定。同时抓好全民普法工作，推进依法治理。</w:t>
            </w:r>
            <w:r>
              <w:rPr>
                <w:rFonts w:ascii="方正书宋_GBK" w:eastAsia="方正书宋_GBK"/>
                <w:color w:val="auto"/>
              </w:rPr>
              <w:t>3</w:t>
            </w:r>
            <w:r>
              <w:rPr>
                <w:rFonts w:hint="eastAsia" w:ascii="方正书宋_GBK" w:eastAsia="方正书宋_GBK"/>
                <w:color w:val="auto"/>
              </w:rPr>
              <w:t>、加强政法队伍建设和领导班子建设。</w:t>
            </w:r>
            <w:r>
              <w:rPr>
                <w:rFonts w:ascii="方正书宋_GBK" w:eastAsia="方正书宋_GBK"/>
                <w:color w:val="auto"/>
              </w:rPr>
              <w:t>4</w:t>
            </w:r>
            <w:r>
              <w:rPr>
                <w:rFonts w:hint="eastAsia" w:ascii="方正书宋_GBK" w:eastAsia="方正书宋_GBK"/>
                <w:color w:val="auto"/>
              </w:rPr>
              <w:t>、受理并查处涉法信访案件工作，促进司法公正。</w:t>
            </w:r>
            <w:r>
              <w:rPr>
                <w:rFonts w:ascii="方正书宋_GBK" w:eastAsia="方正书宋_GBK"/>
                <w:color w:val="auto"/>
              </w:rPr>
              <w:t>5</w:t>
            </w:r>
            <w:r>
              <w:rPr>
                <w:rFonts w:hint="eastAsia" w:ascii="方正书宋_GBK" w:eastAsia="方正书宋_GBK"/>
                <w:color w:val="auto"/>
              </w:rPr>
              <w:t>、坚持社会治安综合治理属地管理原则，抓好目标管理责任制、领导责任制、责任追究和一票否决权等</w:t>
            </w:r>
            <w:r>
              <w:rPr>
                <w:rFonts w:ascii="方正书宋_GBK" w:eastAsia="方正书宋_GBK"/>
                <w:color w:val="auto"/>
              </w:rPr>
              <w:t xml:space="preserve"> </w:t>
            </w:r>
            <w:r>
              <w:rPr>
                <w:rFonts w:hint="eastAsia" w:ascii="方正书宋_GBK" w:eastAsia="方正书宋_GBK"/>
                <w:color w:val="auto"/>
              </w:rPr>
              <w:t>制度的落实，抓好中小学校的社会治安综合治理和所辖乡镇铁路治安联防护路等工作。</w:t>
            </w:r>
            <w:r>
              <w:rPr>
                <w:rFonts w:ascii="方正书宋_GBK" w:eastAsia="方正书宋_GBK"/>
                <w:color w:val="auto"/>
              </w:rPr>
              <w:t>6</w:t>
            </w:r>
            <w:r>
              <w:rPr>
                <w:rFonts w:hint="eastAsia" w:ascii="方正书宋_GBK" w:eastAsia="方正书宋_GBK"/>
                <w:color w:val="auto"/>
              </w:rPr>
              <w:t>、依法打击并取缔各种非法宗教活动。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抓好乡镇政法综治稳定工作，预防减少不稳定因素的发生，有效化解不稳定隐患、群体性事件和突发事件，维护国家安全工作。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、协调维护社会稳定和国家安全</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排查、化解影响社会稳定的重大不稳定隐患、群体性事件和突发事件及影响国家安全的事件。</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预防减少不稳定因素的发生，有效化解不稳定隐患、群体性事件和突发事件，维护国家安全工作。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协调督导事项化解率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安保活动圆满完成情况</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、涉法涉诉信访工作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认真做好群众来信来访工作，特别是涉及政法各部门的案件，信件，要及时准确的做好解释疏导工作，并转办（交办）政法各部限期办理或督导检查落实情况，维护群众利益诉求。</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强化接访中心建设，切实提高接访中心吸附力。积极推进涉法涉诉信访工作改革，把涉法涉诉信访问题的解决导入法治轨道。</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办结率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、矛盾纠纷排查化解</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完善矛盾纠纷排查机制，对乡镇内矛盾纠纷随时排查及时化解，做到小事不出村，大事不出镇，把矛盾化解在基层、化解在萌芽状态。</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矛盾纠纷排查率</w:t>
            </w:r>
            <w:r>
              <w:rPr>
                <w:rFonts w:ascii="方正书宋_GBK" w:eastAsia="方正书宋_GBK"/>
                <w:color w:val="auto"/>
              </w:rPr>
              <w:t>100%</w:t>
            </w:r>
            <w:r>
              <w:rPr>
                <w:rFonts w:hint="eastAsia" w:ascii="方正书宋_GBK" w:eastAsia="方正书宋_GBK"/>
                <w:color w:val="auto"/>
              </w:rPr>
              <w:t>，化解率</w:t>
            </w:r>
            <w:r>
              <w:rPr>
                <w:rFonts w:ascii="方正书宋_GBK" w:eastAsia="方正书宋_GBK"/>
                <w:color w:val="auto"/>
              </w:rPr>
              <w:t>98%</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排查率、化解率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、铁路护路联防工作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组织开展好全国两会及其他重要时期铁路护路联防工作，维护好铁路的安全运行，保障铁路运输安全。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保障铁路运输安全</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保障安全畅通</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完成较好</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未完成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四、社会管理与服务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组织指导基层政权和社区建设；推进社会工作人员队伍建设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推进乡镇社会组织健康发展，优化行政区划空间布局，建立健全城乡基层群众自治组织，逐步实现社会工作者专业化、职业化。</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、基层政权和社区建设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组织指导乡镇、街道办事处和基层群众自治组织、社区干部培训；指导村（居）民委员会民主选举、民主决策、民主管理和民主监督，村（居）务公开；指导城乡社区建设及服务管理工作。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建立健全城乡基层群众自治组织，在村（居）民委员会实行</w:t>
            </w:r>
            <w:r>
              <w:rPr>
                <w:rFonts w:hint="cs" w:ascii="方正书宋_GBK" w:eastAsia="方正书宋_GBK"/>
                <w:color w:val="auto"/>
              </w:rPr>
              <w:t>“</w:t>
            </w:r>
            <w:r>
              <w:rPr>
                <w:rFonts w:hint="eastAsia" w:ascii="方正书宋_GBK" w:eastAsia="方正书宋_GBK"/>
                <w:color w:val="auto"/>
              </w:rPr>
              <w:t>四个民主</w:t>
            </w:r>
            <w:r>
              <w:rPr>
                <w:rFonts w:hint="cs" w:ascii="方正书宋_GBK" w:eastAsia="方正书宋_GBK"/>
                <w:color w:val="auto"/>
              </w:rPr>
              <w:t>”</w:t>
            </w:r>
            <w:r>
              <w:rPr>
                <w:rFonts w:hint="eastAsia" w:ascii="方正书宋_GBK" w:eastAsia="方正书宋_GBK"/>
                <w:color w:val="auto"/>
              </w:rPr>
              <w:t>；按照</w:t>
            </w:r>
            <w:r>
              <w:rPr>
                <w:rFonts w:hint="cs" w:ascii="方正书宋_GBK" w:eastAsia="方正书宋_GBK"/>
                <w:color w:val="auto"/>
              </w:rPr>
              <w:t>“</w:t>
            </w:r>
            <w:r>
              <w:rPr>
                <w:rFonts w:hint="eastAsia" w:ascii="方正书宋_GBK" w:eastAsia="方正书宋_GBK"/>
                <w:color w:val="auto"/>
              </w:rPr>
              <w:t>四有一创</w:t>
            </w:r>
            <w:r>
              <w:rPr>
                <w:rFonts w:hint="cs" w:ascii="方正书宋_GBK" w:eastAsia="方正书宋_GBK"/>
                <w:color w:val="auto"/>
              </w:rPr>
              <w:t>”</w:t>
            </w:r>
            <w:r>
              <w:rPr>
                <w:rFonts w:hint="eastAsia" w:ascii="方正书宋_GBK" w:eastAsia="方正书宋_GBK"/>
                <w:color w:val="auto"/>
              </w:rPr>
              <w:t>标准开展城市社区建设，按照农村社区建设实验全覆盖创建标准开展农村社区建设。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村民委员会换届选举率达到或超过上届水平。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社区综合设施覆盖率达到全国平均水平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77.4%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76.4%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开展农村社区建设的建制村到达全国平均水平</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41.53%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39.53%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五、政府专项工作服务与管理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政府采购、农村综合改革、政府债务、综合治税、政府购买服务、规范津补贴等政府专项工作的服务与管理。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各专项工作依法规范管理，政策制度健全，执行程序规范，管控有力有效，各项政策落实，各项服务到位，业务风险有效控制，资金分配规范合理，经费使用节约。</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、政府债务管理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加强政府债券管理和土储融资审核；编制月季年报并上报分析材料；实施风险预警及专项检查与监督。</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有效发挥政府规范举债的积极作用，规范政府债务管理，防范政府债务风险</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乡镇债务风险警戒值</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全部低于财政部风险警戒标准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总体风险低于警戒标准，单项指标被风险预警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总体风险低于警戒标准，两个单项指标被风险预警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三个单项指标被风险预警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六、水利水电项目建设与管理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水利水电项目的建设与维护管理。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按期完成水利水电项目建设和维修管护任务，对社会稳定和经济发展起到积极作用</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、水利工程运行与维护</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开展河道堤防、水库、水闸、排灌泵站、水文等水利工程运行管理和加强对乡镇水利行业的安全生产监督、检查。对水利工程进行维修养护，确保工程安全运行。</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年度维修养护工程质量全部合格，工程正常运行。</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工程质量验收合格率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工程运行故障率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、农田水利建设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建设小型农田水利设施，实施节水灌溉、灌区续建配套与节水改造等，推广综合节水技术，农业水价综合改革，开展乡镇水利站建设。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提高农业用水效率、改善农业生产条件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项目完工率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、水库移民安置及后期管理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落实水库移民政策，扶持移民发展生产，保持移民稳定。</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增加移民收入，改善移民生产生活条件，促进移民稳定</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移民政策落实率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4</w:t>
            </w:r>
            <w:r>
              <w:rPr>
                <w:rFonts w:hint="eastAsia" w:ascii="方正书宋_GBK" w:eastAsia="方正书宋_GBK"/>
                <w:b/>
                <w:color w:val="auto"/>
              </w:rPr>
              <w:t>、保障农村饮水安全</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在全县范围内通过实施农村饮水安全项目，解决农村居民饮水不安全问题。</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保障农村供水安全</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七、水利科技支撑和公共服务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组织开展乡镇水利事业建设的科技创新和技术示范推广，为水利事业科学发展提供公共支撑。</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示范推广水利工程和管理技术，提高水利事业管理水平。</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、防汛抗旱</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负责乡镇防汛抗旱组织建设，应急调度，建设应急度汛、抗旱应急、海堤、山洪灾害防治项目，储备管理防汛抗旱物资，建设水利信息化基础设施，提高乡镇抗御水旱灾害能力。</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发挥防汛抗旱减灾体系作用，最大限度地减少水旱灾害造成的人员伤亡和财产损失。</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工程完成率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八、城乡建设管理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乡镇公用设施建设、安全和应急管理；落实村庄和小城镇建设政策；指导农村住房建设、住房安全和危房改造；改善小城镇和村庄人居环境。</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加强村镇建设，改善农村人居环境，实现城乡统筹发展。协调和指导推进城镇化工作，加快城镇化进程。</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、公用设施建设与管理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开展乡镇供水、节水、燃气、热力、市政设施、园林、污水处理、垃圾处理等设施建设，开展乡镇的绿化和生物多样性工作；组织实施城镇绿道绿廊建设；进行公用设施安全和应急管理。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加强乡镇基础设施建设</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基础设施建设工作目标完成率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、推进城镇化建设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城镇建设与旧城改造，推进小城镇和集镇人居环境改善，落实推进省市重点镇的建设；做好乡镇规划、环境质量、居住水平、产业聚集、风貌特色、综合管理、乡镇建设投融资等工作，全面推进乡镇建设上水平，推进城镇化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结合本年乡镇建设工作重点，结合上级对乡镇建设工作考核评价指标体系，对乡镇建设工作进行评价，结果纳入乡镇领导综合考核评价</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乡镇建设工作考核完成率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垃圾处理率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危房改造完成率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九、交通运输基础设施建设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完成交通基础设施投资；管理乡镇重点工程建设、工程质量和安全生产，对项目招投标活动进行监督管理。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投资建设普通公路及农村公路；进行场站建设；建设物流园区</w:t>
            </w:r>
            <w:r>
              <w:rPr>
                <w:rFonts w:ascii="方正书宋_GBK" w:eastAsia="方正书宋_GBK"/>
                <w:color w:val="auto"/>
              </w:rPr>
              <w:t>(</w:t>
            </w:r>
            <w:r>
              <w:rPr>
                <w:rFonts w:hint="eastAsia" w:ascii="方正书宋_GBK" w:eastAsia="方正书宋_GBK"/>
                <w:color w:val="auto"/>
              </w:rPr>
              <w:t>中心</w:t>
            </w:r>
            <w:r>
              <w:rPr>
                <w:rFonts w:ascii="方正书宋_GBK" w:eastAsia="方正书宋_GBK"/>
                <w:color w:val="auto"/>
              </w:rPr>
              <w:t>)</w:t>
            </w:r>
            <w:r>
              <w:rPr>
                <w:rFonts w:hint="eastAsia" w:ascii="方正书宋_GBK" w:eastAsia="方正书宋_GBK"/>
                <w:color w:val="auto"/>
              </w:rPr>
              <w:t>项目；扩大农村客运站点、候车亭、招呼牌建设；保障交通基础设施建设项目质量。</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、开展交通基础设施建设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监管乡镇公路、水路、地方铁路建设市场，对公路、水路、地方铁路等有关重点工程建设、工程质量和安全生产及行业招投标活动进行监督和管理，做好建设过程中的协调管理工作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公路、水路建设市场运转有序，各项业务顺利开展，工作按时完成。</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交通基础设施建设重点项目完成率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十、交通运输基础设施养护、维护</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开展交通运输基础设施养护、维护，对项目招投标活动进行监督管理。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完成路基路面大中型维修，加固桥梁，治理隐患；开展高速绿色廊道建设；农村公路养护实施</w:t>
            </w:r>
            <w:r>
              <w:rPr>
                <w:rFonts w:hint="cs" w:ascii="方正书宋_GBK" w:eastAsia="方正书宋_GBK"/>
                <w:color w:val="auto"/>
              </w:rPr>
              <w:t>“</w:t>
            </w:r>
            <w:r>
              <w:rPr>
                <w:rFonts w:hint="eastAsia" w:ascii="方正书宋_GBK" w:eastAsia="方正书宋_GBK"/>
                <w:color w:val="auto"/>
              </w:rPr>
              <w:t>以奖代补</w:t>
            </w:r>
            <w:r>
              <w:rPr>
                <w:rFonts w:hint="cs" w:ascii="方正书宋_GBK" w:eastAsia="方正书宋_GBK"/>
                <w:color w:val="auto"/>
              </w:rPr>
              <w:t>”</w:t>
            </w:r>
            <w:r>
              <w:rPr>
                <w:rFonts w:hint="eastAsia" w:ascii="方正书宋_GBK" w:eastAsia="方正书宋_GBK"/>
                <w:color w:val="auto"/>
              </w:rPr>
              <w:t>。</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、公路建设管理养护基础数据采集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通过公路各项指标地理信息、数据采集及桥梁隧道检测、交通量调查等方式，适时采集相关数据并及时更新；管理维护设备及数据采集信息系统。</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按时、保质、保量完成数据采集分析，为公路管理提供依据和支持。</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公路基础信息数据更新率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公路基础信息数据使用率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、公路、水运工程养护监督和管理</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对公路、水运工程及其设施养护工程质量安全及招投标活动进行监督和管理。</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各项业务顺利开展，按时完成工作。</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工作质量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按时完成工作，质量高</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按时完成工作，质量一般</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基本完成工作</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未按时完成工作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项目质量</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合格</w:t>
            </w: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不合格</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十一、农村文化建设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协助完成国家下达的广播电视直播卫星户户通工程、农村电影工作、数字影院升级改造、农家书屋建设、全民阅读活动、老放映员生活补助以及应急广播体系建设等任务目标。</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宣传党的路线、方针、政策和上级工作部署，坚持正确舆论导向，发挥主流媒体作用；开展各类宣传工作；组织农村群众文化体育活动，负责乡镇广播电视微波电路正常运行和维护；负责相关设备的正常运行和维护。在乡镇建立广播电视安全播出保障体系，组织实施重大公益工程和公益活动，扶助老少边穷地区新闻出版广播影视建设和发展</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、公共服务工程推广</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农家书屋建设、群众文化体育活动、全民阅读活动、老放映员生活补助以及应急广播体系建设等任务目标。</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协助完成国家下达的广播电视直播卫星户户通工程、农村电影工作、数字影院升级改造、农家书屋建设、群众文化体育活动、全民阅读活动、老放映员生活补助以及应急广播体系建设等任务目标。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农村公益电影放映完成率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民间交流次数</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15</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w:t>
            </w:r>
            <w:r>
              <w:rPr>
                <w:rFonts w:hint="eastAsia" w:ascii="方正书宋_GBK" w:eastAsia="方正书宋_GBK"/>
                <w:color w:val="auto"/>
              </w:rPr>
              <w:t>次以下</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对外交流次数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全民阅读活动任务完成率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农家书屋更新完成率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老放映员补助到位率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户户通工程任务完成率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应急广播体系建设任务完成率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群众文化体育活动组织覆盖率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100&amp;</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十二、医疗保障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通过贯彻实施新型农村合作医疗、疾病应急救助、城乡居民大病保险以及公费医疗等制度，保障人民群众公平享有所需医疗服务权益。</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扩大各项保险的覆盖面，及时足额落实社会保险待遇。</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、新型农村合作医疗及城乡居民大病保险</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组织、引导、支持，农民自愿参加新型农村合作医疗，提高农村居民的医疗保障水平；建立大病保险制度；对城乡居民因患大病发生的高额医疗费用给予报销。</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有效降低城乡居民看病就医的经济负担。</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新农合参合率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十三、计划生育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提供各类计划生育技术服务，开展出生人口性别比治理以及流动人口计划生育管理等各项工作。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稳定适度的低生育水平，有效保障计划生育家庭生活水平，提高妇女生殖健康水平，降低出生缺陷的发生，有效遏制出生人口性别比偏高问题。</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、计划生育服务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免费为农村计划怀孕夫妇实行孕前优生健康检查；免费为公民提供计划生育避孕节育基本技术服务；免费为农村已婚育龄妇女提供生殖健康检查服务。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改善乡镇农村计划怀孕夫妇健康状况，有效降低出生缺陷发生风险；为各类育龄人群提供安全、有效避孕节育技术服务；健全完善流动人口管理机制。</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免费孕前优生健康检查目标人群覆盖率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十四、政务管理</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26.28</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承担系统综合业务管理和部门综合事务管理。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促进乡镇机关事务管理工作科学发展。</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、综合事务管理</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26.28</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管理乡镇机关网络建设、运转维护和电子政务；机关标准化建设、保密、档案以及政务接待、会务。办公楼物业管理和机关食堂管理；机关办公楼修缮、供水、供电、供暖以及机关环境绿化美化、卫生保洁、安全保卫。离退休干部慰问。党组织活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搞好服务保障，为广大干部职工提供安全、快捷、细致、周到的工作环境；加强财务管理，确保资金安全，提高财政资金使用效益。</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综合事务保障完成率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十五、环境污染综合防治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贯彻落实大气、水体、固体废物、化学品、机动车等污染防治管理制度，开展饮用水水源地环境保护。</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加强大气、水体、机动车污染防治，加强固体废弃物、重金属等重点污染治理工程的防治工作。</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、大气污染防治</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重点对</w:t>
            </w:r>
            <w:r>
              <w:rPr>
                <w:rFonts w:ascii="方正书宋_GBK" w:eastAsia="方正书宋_GBK"/>
                <w:color w:val="auto"/>
              </w:rPr>
              <w:t>PM</w:t>
            </w:r>
            <w:r>
              <w:rPr>
                <w:rFonts w:hint="eastAsia" w:ascii="方正书宋_GBK" w:eastAsia="方正书宋_GBK"/>
                <w:color w:val="auto"/>
              </w:rPr>
              <w:t>、</w:t>
            </w:r>
            <w:r>
              <w:rPr>
                <w:rFonts w:ascii="方正书宋_GBK" w:eastAsia="方正书宋_GBK"/>
                <w:color w:val="auto"/>
              </w:rPr>
              <w:t>VOC</w:t>
            </w:r>
            <w:r>
              <w:rPr>
                <w:rFonts w:hint="eastAsia" w:ascii="方正书宋_GBK" w:eastAsia="方正书宋_GBK"/>
                <w:color w:val="auto"/>
              </w:rPr>
              <w:t>、二氧化硫等大气污染物进行综合防治，推动城镇环境空气质量改善。</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加强大气污染防治，推动城市环境空气质量改善。</w:t>
            </w:r>
          </w:p>
        </w:tc>
        <w:tc>
          <w:tcPr>
            <w:tcW w:w="1417"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VOC</w:t>
            </w:r>
            <w:r>
              <w:rPr>
                <w:rFonts w:hint="eastAsia" w:ascii="方正书宋_GBK" w:eastAsia="方正书宋_GBK"/>
                <w:color w:val="auto"/>
              </w:rPr>
              <w:t>排放消减率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十六、自然生态保护</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12.60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强化生态保护和监察监管，提高自然保护区建设水平，加强生物多样性保护力度，提升农村生态环境质量。</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加强自然生态保护。</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、农村环境综合整治</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12.60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解决影响群众生活和健康较为直接的饮用水安全保障、生活垃圾和污水治理、畜禽养殖污染治理防治等突出环境问题，改善环境重点、敏感区域的农村人居和生态环境质量。</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解决农村区域性突出环境问题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试点、示范区域村庄污水处理率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十七、信访问题处理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负责正常信访、非访、突发性及群体性事件的办理；提供相关服务保障；协助区信访局处理群众进京上访；信访事项督查、复查复核、听证。</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及时办理正常信访业务，妥善处置非访、突发性及群体性事件，对信访事项督查、复查复核、听证。</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、办理正常信访业务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办理人民群众来信、来访、网上信访；处理乡镇群众进京上访</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十八、民兵训练和专武干部培训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加强后备力量建设，培养</w:t>
            </w:r>
            <w:r>
              <w:rPr>
                <w:rFonts w:hint="cs" w:ascii="方正书宋_GBK" w:eastAsia="方正书宋_GBK"/>
                <w:color w:val="auto"/>
              </w:rPr>
              <w:t>“</w:t>
            </w:r>
            <w:r>
              <w:rPr>
                <w:rFonts w:hint="eastAsia" w:ascii="方正书宋_GBK" w:eastAsia="方正书宋_GBK"/>
                <w:color w:val="auto"/>
              </w:rPr>
              <w:t>劳武</w:t>
            </w:r>
            <w:r>
              <w:rPr>
                <w:rFonts w:hint="cs" w:ascii="方正书宋_GBK" w:eastAsia="方正书宋_GBK"/>
                <w:color w:val="auto"/>
              </w:rPr>
              <w:t>”</w:t>
            </w:r>
            <w:r>
              <w:rPr>
                <w:rFonts w:hint="eastAsia" w:ascii="方正书宋_GBK" w:eastAsia="方正书宋_GBK"/>
                <w:color w:val="auto"/>
              </w:rPr>
              <w:t>两用人才的人民武装建设的基地。</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w:t>
            </w:r>
            <w:r>
              <w:rPr>
                <w:rFonts w:hint="cs" w:ascii="方正书宋_GBK" w:eastAsia="方正书宋_GBK"/>
                <w:color w:val="auto"/>
              </w:rPr>
              <w:t>“</w:t>
            </w:r>
            <w:r>
              <w:rPr>
                <w:rFonts w:hint="eastAsia" w:ascii="方正书宋_GBK" w:eastAsia="方正书宋_GBK"/>
                <w:color w:val="auto"/>
              </w:rPr>
              <w:t>严格训练、严格要求</w:t>
            </w:r>
            <w:r>
              <w:rPr>
                <w:rFonts w:hint="cs" w:ascii="方正书宋_GBK" w:eastAsia="方正书宋_GBK"/>
                <w:color w:val="auto"/>
              </w:rPr>
              <w:t>”</w:t>
            </w:r>
            <w:r>
              <w:rPr>
                <w:rFonts w:hint="eastAsia" w:ascii="方正书宋_GBK" w:eastAsia="方正书宋_GBK"/>
                <w:color w:val="auto"/>
              </w:rPr>
              <w:t>的方针，坚持规范训练，保证完成上级赋予人武干部、专武干部和基干民兵的轮训任务。因地制宜地抓好专业人才培训，充分发挥其战备效益和社会效益。实施岗位责任制，使设施、物资、场地和器材经常保持良好状态。</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、民兵训练和专武干部培训</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根据上级要求，认真</w:t>
            </w:r>
            <w:r>
              <w:rPr>
                <w:rFonts w:hint="eastAsia" w:ascii="方正书宋_GBK" w:eastAsia="方正书宋_GBK"/>
                <w:color w:val="auto"/>
                <w:lang w:eastAsia="zh-CN"/>
              </w:rPr>
              <w:t>制订</w:t>
            </w:r>
            <w:r>
              <w:rPr>
                <w:rFonts w:hint="eastAsia" w:ascii="方正书宋_GBK" w:eastAsia="方正书宋_GBK"/>
                <w:color w:val="auto"/>
              </w:rPr>
              <w:t>基干民兵和专武干部培训计划和方案，严格组织人员按质按量完成训练任务。保证装备器材的良好状态，随时执行紧急拉动和应急任务。</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涉密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十九、义务教育</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以农村教育为重点，推进义务教育均衡发展，建立中小学校舍安全保障机制，改善薄弱学校办学条件，促进公共教育资源向农村和经济欠发达地区倾斜。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提高义务教育公用经费保障水平，改善办学条件，均衡配置基础教育资源，缩小城乡、区域、校际之间办学差距，落实学生资助政策。</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、改善薄弱学校办学条件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保障义务教育阶段薄弱学校基本教学条件，改善学校生活设施，办好必要的教学点，解决乡镇学校大班额问题，推进农村学校教育信息化。</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从</w:t>
            </w:r>
            <w:r>
              <w:rPr>
                <w:rFonts w:ascii="方正书宋_GBK" w:eastAsia="方正书宋_GBK"/>
                <w:color w:val="auto"/>
              </w:rPr>
              <w:t>2014</w:t>
            </w:r>
            <w:r>
              <w:rPr>
                <w:rFonts w:hint="eastAsia" w:ascii="方正书宋_GBK" w:eastAsia="方正书宋_GBK"/>
                <w:color w:val="auto"/>
              </w:rPr>
              <w:t>年开始，使贫困地区农村义务教育学校教学设施和生活设施满足基本生活需要，留守儿童学习和寄宿得到基本满足，中小学和教学点能够正常运转，乡镇超大班额现象基本消除，教师数量、素质、结构基本适应教学需要</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中小学生均校舍面积</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二十、食品药品安全管理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对食品制作流通各环节进行监管，及时发现和排除食品安全问题，确保大型活动期间的餐饮安全。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各个环节的强力监管，及时发现食品监管中存在的问题，重点做好重大活动和暑期食品安全保障。加强食品药品检验能力建设，并开展相关业务活动。客观公正地完成对本乡的食品药品安全工作考核评价，突发事件得到及时处置。</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、食品（含保健品）安全监管</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通过对食品生产、流通、餐饮消费、保健食品的各个环节抽验和强力监管，及时发现和排除食品安全问题</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确保食品安全，重大活动和暑期食品不出现重大事故，保证人民群众饮食安全。不出现重大食品安全事故</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重大食品事故案件（个）</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、重大活动餐饮服务食品安全保障</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规范重大活动餐饮服务单位食品安全监管，确保大型政治、经济、文化、体育活动及举办各类大型会议、展览会和赛事等活动期间的餐饮服务食品安全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提升重大活动餐饮服务食品安全监管水平；规范重大活动餐饮服务单位食品安全监管；</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重大活动餐饮服务接待单位预监督率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、综合业务管理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强化监管手段，组织开展食品药品科研项目、监督、检查、检测、案件处置、统计分析、信息公开、宣传教育等各项综合业务工作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食品药品检验能力进一步提升，监管能力全面提升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检验监测能力与检测需求比率相适应</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二十一、安全生产综合监督管理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承担全县安全生产综合监督管理责任，依法行使综合监督管理职权；根据</w:t>
            </w:r>
            <w:r>
              <w:rPr>
                <w:rFonts w:hint="eastAsia" w:ascii="方正书宋_GBK" w:eastAsia="方正书宋_GBK"/>
                <w:color w:val="auto"/>
                <w:lang w:eastAsia="zh-CN"/>
              </w:rPr>
              <w:t>《中华人民共和国安全生产法》</w:t>
            </w:r>
            <w:r>
              <w:rPr>
                <w:rFonts w:hint="eastAsia" w:ascii="方正书宋_GBK" w:eastAsia="方正书宋_GBK"/>
                <w:color w:val="auto"/>
              </w:rPr>
              <w:t>、《安全生产违法行为行政处罚办法》等法律法规，依法开展执法检查工作，对发现的安全生产违法行为依法进行行政处罚，遏制重特大事故发生，确保全县安全生产形势稳定好转。</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对重点行业和作业场所职业卫生安全生产加强行政执法监察；开展重大危险源执法检查工作；开展安全事故检查及安全生产宣传教育活动；促进企业全面落实安全生产诚信管理。</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、加强安全生产综合监督管理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定期组织在乡镇内开展安全生产检查活动，对重点行业和作业场所职业卫生安全生产进行检查；不断加强安全生产监管能力建设；组织开展安全生产教育活动，促进企业全面落实安全生产诚信管理。</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通过检查安全生产，最大限度地发现、纠正、督促企业消除各类隐患，预防和减少事故的发生，确保乡镇安全生产形势持续稳定好转，加大安全生产宣传和信息公开力度，提高全社会安全生产意识。</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检查覆盖率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、加强重大危险源安全管理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加强重大危险源的监测、监控、辨识与评估及登记建档、备案与核销等安全管理；开展重大危险源执法检查工作。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科学准确进行重大危险源等级界定；有效开展监测数据的综合分析、数据发布工作；督促企业切实加强危险源监控，有效治理隐患，落实监管责任</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专项检查次数</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3</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二十二、防灾减灾救灾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组织开展乡镇防灾减灾救灾工作；组织救灾捐赠工作，负责救灾捐赠款物的接收和分配。</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实施分类救助，保障受灾群众基本生活。</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、防灾减灾及救灾准备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组织乡级防灾减灾及救灾活动；提高专业队伍业务素质。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提高公民避灾自救能力和防灾减灾意识，提升重大自然灾害防御能力；提高专业队伍业务素质；保障上级救灾物资及时组织发放，提高抗灾水平。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组织防灾减灾及救灾准备活动次数（次）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、灾民救助</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统计、汇总、核查、会商灾情，统一发布灾情；组织协调紧急转移安置灾民；承办救灾款物分配和监管，物资调运，组织民房恢复重建及灾民生活救助，指导紧急救灾和灾后生产恢复。</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组织协调紧急转移安置灾民，确保受灾群众妥善得到安置，确保灾民吃、穿、住、衣等基本生活，保证突发灾害后救灾物资及时运达灾区。组织民房恢复重建及灾民生活救助，保证受灾群众基本生活得到及时救助。</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突发灾害报灾时效性和准确性</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12</w:t>
            </w:r>
            <w:r>
              <w:rPr>
                <w:rFonts w:hint="eastAsia" w:ascii="方正书宋_GBK" w:eastAsia="方正书宋_GBK"/>
                <w:color w:val="auto"/>
              </w:rPr>
              <w:t>小时内，准确度</w:t>
            </w:r>
            <w:r>
              <w:rPr>
                <w:rFonts w:ascii="方正书宋_GBK" w:eastAsia="方正书宋_GBK"/>
                <w:color w:val="auto"/>
              </w:rPr>
              <w:t>98%</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95%</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24</w:t>
            </w:r>
            <w:r>
              <w:rPr>
                <w:rFonts w:hint="eastAsia" w:ascii="方正书宋_GBK" w:eastAsia="方正书宋_GBK"/>
                <w:color w:val="auto"/>
              </w:rPr>
              <w:t>小时内，准确度</w:t>
            </w:r>
            <w:r>
              <w:rPr>
                <w:rFonts w:ascii="方正书宋_GBK" w:eastAsia="方正书宋_GBK"/>
                <w:color w:val="auto"/>
              </w:rPr>
              <w:t>90%</w:t>
            </w:r>
            <w:r>
              <w:rPr>
                <w:rFonts w:hint="eastAsia" w:ascii="方正书宋_GBK" w:eastAsia="方正书宋_GBK"/>
                <w:color w:val="auto"/>
              </w:rPr>
              <w:t>及以上</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超出</w:t>
            </w:r>
            <w:r>
              <w:rPr>
                <w:rFonts w:ascii="方正书宋_GBK" w:eastAsia="方正书宋_GBK"/>
                <w:color w:val="auto"/>
              </w:rPr>
              <w:t>24</w:t>
            </w:r>
            <w:r>
              <w:rPr>
                <w:rFonts w:hint="eastAsia" w:ascii="方正书宋_GBK" w:eastAsia="方正书宋_GBK"/>
                <w:color w:val="auto"/>
              </w:rPr>
              <w:t>小时，准确度低于</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救灾措施到位率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二十三、扶持农产品生产</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对生产者采取直接补贴的办法，支持推广优良品种、先进适用种养技术，实施科学管理</w:t>
            </w:r>
            <w:r>
              <w:rPr>
                <w:rFonts w:ascii="方正书宋_GBK" w:eastAsia="方正书宋_GBK"/>
                <w:color w:val="auto"/>
              </w:rPr>
              <w:t>,</w:t>
            </w:r>
            <w:r>
              <w:rPr>
                <w:rFonts w:hint="eastAsia" w:ascii="方正书宋_GBK" w:eastAsia="方正书宋_GBK"/>
                <w:color w:val="auto"/>
              </w:rPr>
              <w:t>提高农产品产量、质量，提高生产经营效益。</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提高农产品产量和产量，优化农业产业结构，提高经济效益，增加农民收入。</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、实施良种补贴</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按照国家、省部署，对全乡主要粮食作物和猪、牛、羊、鸡等畜产品生产实施良种补贴。</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小麦、玉米、水稻、棉花良种补贴全覆盖。畜牧、水产品种优良化率持续提高</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良种补贴覆盖率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、实施菜篮子工程</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扶持一批有规模、生产技术基础好、区域优势突出、在增加产量和提高质量上有示范带动作用的农产品生产基地。通过改善生产条件，加强产品质量管理，强化品牌建设，大力推进标准化、集约化、现代化生产。</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促进</w:t>
            </w:r>
            <w:r>
              <w:rPr>
                <w:rFonts w:hint="cs" w:ascii="方正书宋_GBK" w:eastAsia="方正书宋_GBK"/>
                <w:color w:val="auto"/>
              </w:rPr>
              <w:t>“</w:t>
            </w:r>
            <w:r>
              <w:rPr>
                <w:rFonts w:hint="eastAsia" w:ascii="方正书宋_GBK" w:eastAsia="方正书宋_GBK"/>
                <w:color w:val="auto"/>
              </w:rPr>
              <w:t>菜篮子</w:t>
            </w:r>
            <w:r>
              <w:rPr>
                <w:rFonts w:hint="cs" w:ascii="方正书宋_GBK" w:eastAsia="方正书宋_GBK"/>
                <w:color w:val="auto"/>
              </w:rPr>
              <w:t>”</w:t>
            </w:r>
            <w:r>
              <w:rPr>
                <w:rFonts w:hint="eastAsia" w:ascii="方正书宋_GBK" w:eastAsia="方正书宋_GBK"/>
                <w:color w:val="auto"/>
              </w:rPr>
              <w:t>产品生产向规模化、园区化、设施化、标准化和产销一体化发展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蔬菜标准园创建完成率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按要求完成畜禽标准化健康养殖规模场改造任务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二十四、完善农村经营管理体制</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推进农村集体产权制度改革，完善农村土地承包制度，引导农村土地合理流转。创新农业经营主体。</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规范流转行为，优化资源配置，促进农民专业合作经济组织健康发展，加快新农村建设和城镇化进程</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、促进土地流转</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建设土地流转有形市场。</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指导全乡建立运转顺畅、便捷高效的农村土地承包经营权流转服务平台，带动土地流转依法、有序开展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土地流转提高率</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1.3%</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、土地确权登记</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根据国家要求开展农村土地承包经营确权登记试点，并逐步向全县全面推开。</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完成全乡耕地面积</w:t>
            </w:r>
            <w:r>
              <w:rPr>
                <w:rFonts w:ascii="方正书宋_GBK" w:eastAsia="方正书宋_GBK"/>
                <w:color w:val="auto"/>
              </w:rPr>
              <w:t>50%</w:t>
            </w:r>
            <w:r>
              <w:rPr>
                <w:rFonts w:hint="eastAsia" w:ascii="方正书宋_GBK" w:eastAsia="方正书宋_GBK"/>
                <w:color w:val="auto"/>
              </w:rPr>
              <w:t>的确权登记颁证目标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农村土地承包土地确权登记颁证率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50%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、农村经营管理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支持农民专业合作组织规范、健康发展。建立健全农村集体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管理制度，盘活集体存量资产资源，拓宽集体增收渠道，促进农村集体资产保值增值。</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健全农村集体</w:t>
            </w:r>
            <w:r>
              <w:rPr>
                <w:rFonts w:hint="cs" w:ascii="方正书宋_GBK" w:eastAsia="方正书宋_GBK"/>
                <w:color w:val="auto"/>
              </w:rPr>
              <w:t>“</w:t>
            </w:r>
            <w:r>
              <w:rPr>
                <w:rFonts w:hint="eastAsia" w:ascii="方正书宋_GBK" w:eastAsia="方正书宋_GBK"/>
                <w:color w:val="auto"/>
              </w:rPr>
              <w:t>三资</w:t>
            </w:r>
            <w:r>
              <w:rPr>
                <w:rFonts w:hint="cs" w:ascii="方正书宋_GBK" w:eastAsia="方正书宋_GBK"/>
                <w:color w:val="auto"/>
              </w:rPr>
              <w:t>”</w:t>
            </w:r>
            <w:r>
              <w:rPr>
                <w:rFonts w:hint="eastAsia" w:ascii="方正书宋_GBK" w:eastAsia="方正书宋_GBK"/>
                <w:color w:val="auto"/>
              </w:rPr>
              <w:t>管理制度，指导农村经济组织健康、规范发展</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村集体经济业务规范率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二十五、林业生态建设</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4.75</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执行国家、省、关于林业及其生态建设的方针、政策和法律法规；组织落实林业及其生态环境建设、森林资源保护、国土绿化、荒漠化防治和林业产业发展的政策，并组织实施监督和检查，组织开展森林资源、承担林业生态文明建设的有关工作。</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完成国家下达和省委省政府</w:t>
            </w:r>
            <w:r>
              <w:rPr>
                <w:rFonts w:hint="eastAsia" w:ascii="方正书宋_GBK" w:eastAsia="方正书宋_GBK"/>
                <w:color w:val="auto"/>
                <w:lang w:eastAsia="zh-CN"/>
              </w:rPr>
              <w:t>制订</w:t>
            </w:r>
            <w:r>
              <w:rPr>
                <w:rFonts w:hint="eastAsia" w:ascii="方正书宋_GBK" w:eastAsia="方正书宋_GBK"/>
                <w:color w:val="auto"/>
              </w:rPr>
              <w:t>的造林任务及全区森林覆盖率考核目标。有效改善生态环境。</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、造林绿化</w:t>
            </w:r>
          </w:p>
        </w:tc>
        <w:tc>
          <w:tcPr>
            <w:tcW w:w="12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4.75</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贯彻落实国家、省有关标准和规程，指导公益林和商品林的培育，指导植树造林和以植树种草等生物措施防治水土流失工作，指导监督全民义务植树和造林绿化工作。承担林业应对气候变化的相关工作。承担乡镇绿化的日常工作</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增加有林地面积，提高乡镇绿化水平和森林覆盖率，改善生态环境。</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森林覆盖率提高</w:t>
            </w:r>
            <w:r>
              <w:rPr>
                <w:rFonts w:ascii="方正书宋_GBK" w:eastAsia="方正书宋_GBK"/>
                <w:color w:val="auto"/>
              </w:rPr>
              <w:t>1</w:t>
            </w:r>
            <w:r>
              <w:rPr>
                <w:rFonts w:hint="eastAsia" w:ascii="方正书宋_GBK" w:eastAsia="方正书宋_GBK"/>
                <w:color w:val="auto"/>
              </w:rPr>
              <w:t>个百分点。</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0.6%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全乡镇完成年初造林绿化任务。</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二十六、推进新农村建设</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通过实施农村面貌改造提升行动，加快建设社会主义新农村。</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通过实施农村面貌改造提升行动和开展新民居中心村示范点建设，加快建设社会主义新农村。改善农村环境面貌，提升农民生产生活条件。</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、农村面貌改造提升</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按照统筹城乡发展要求，以</w:t>
            </w:r>
            <w:r>
              <w:rPr>
                <w:rFonts w:hint="cs" w:ascii="方正书宋_GBK" w:eastAsia="方正书宋_GBK"/>
                <w:color w:val="auto"/>
              </w:rPr>
              <w:t>“</w:t>
            </w:r>
            <w:r>
              <w:rPr>
                <w:rFonts w:hint="eastAsia" w:ascii="方正书宋_GBK" w:eastAsia="方正书宋_GBK"/>
                <w:color w:val="auto"/>
              </w:rPr>
              <w:t>保持田园风光、增加现代设施、绿化村落庭院、传承优秀文化</w:t>
            </w:r>
            <w:r>
              <w:rPr>
                <w:rFonts w:hint="cs" w:ascii="方正书宋_GBK" w:eastAsia="方正书宋_GBK"/>
                <w:color w:val="auto"/>
              </w:rPr>
              <w:t>”</w:t>
            </w:r>
            <w:r>
              <w:rPr>
                <w:rFonts w:hint="eastAsia" w:ascii="方正书宋_GBK" w:eastAsia="方正书宋_GBK"/>
                <w:color w:val="auto"/>
              </w:rPr>
              <w:t>为重点，组织实施农村面貌改造提升行动。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围绕农村改造</w:t>
            </w:r>
            <w:r>
              <w:rPr>
                <w:rFonts w:ascii="方正书宋_GBK" w:eastAsia="方正书宋_GBK"/>
                <w:color w:val="auto"/>
              </w:rPr>
              <w:t>15</w:t>
            </w:r>
            <w:r>
              <w:rPr>
                <w:rFonts w:hint="eastAsia" w:ascii="方正书宋_GBK" w:eastAsia="方正书宋_GBK"/>
                <w:color w:val="auto"/>
              </w:rPr>
              <w:t>件实事，突出重点，因地制宜，开展农村面貌改造提升。按照分期分批推进的要求，每年选定一批重点村实施改造提升。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重点村改造提升完成率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restart"/>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、美丽乡村建设</w:t>
            </w:r>
          </w:p>
        </w:tc>
        <w:tc>
          <w:tcPr>
            <w:tcW w:w="1276" w:type="dxa"/>
            <w:vMerge w:val="restart"/>
            <w:shd w:val="clear" w:color="auto" w:fill="auto"/>
            <w:vAlign w:val="center"/>
          </w:tcPr>
          <w:p>
            <w:pPr>
              <w:spacing w:line="300" w:lineRule="exact"/>
              <w:jc w:val="left"/>
              <w:rPr>
                <w:rFonts w:ascii="方正书宋_GBK" w:eastAsia="方正书宋_GBK"/>
                <w:color w:val="auto"/>
              </w:rPr>
            </w:pP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按照市、县统筹城乡发展的要求，以</w:t>
            </w:r>
            <w:r>
              <w:rPr>
                <w:rFonts w:hint="cs" w:ascii="方正书宋_GBK" w:eastAsia="方正书宋_GBK"/>
                <w:color w:val="auto"/>
              </w:rPr>
              <w:t>“</w:t>
            </w:r>
            <w:r>
              <w:rPr>
                <w:rFonts w:hint="eastAsia" w:ascii="方正书宋_GBK" w:eastAsia="方正书宋_GBK"/>
                <w:color w:val="auto"/>
              </w:rPr>
              <w:t>环境美、产业美、精神美、生态美</w:t>
            </w:r>
            <w:r>
              <w:rPr>
                <w:rFonts w:hint="cs" w:ascii="方正书宋_GBK" w:eastAsia="方正书宋_GBK"/>
                <w:color w:val="auto"/>
              </w:rPr>
              <w:t>”</w:t>
            </w:r>
            <w:r>
              <w:rPr>
                <w:rFonts w:hint="eastAsia" w:ascii="方正书宋_GBK" w:eastAsia="方正书宋_GBK"/>
                <w:color w:val="auto"/>
              </w:rPr>
              <w:t>为重点，大力推进美丽乡村建设。</w:t>
            </w:r>
          </w:p>
        </w:tc>
        <w:tc>
          <w:tcPr>
            <w:tcW w:w="2976" w:type="dxa"/>
            <w:vMerge w:val="restart"/>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突出重点，因地制宜，按照分期分批推进的要求，每年选定一批重点村实施改造提升。</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美丽乡村建设重点村任务完成率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vMerge w:val="continue"/>
            <w:shd w:val="clear" w:color="auto" w:fill="auto"/>
            <w:vAlign w:val="center"/>
          </w:tcPr>
          <w:p>
            <w:pPr>
              <w:spacing w:line="300" w:lineRule="exact"/>
              <w:jc w:val="left"/>
              <w:rPr>
                <w:rFonts w:ascii="方正书宋_GBK" w:eastAsia="方正书宋_GBK"/>
                <w:b/>
                <w:color w:val="auto"/>
              </w:rPr>
            </w:pPr>
          </w:p>
        </w:tc>
        <w:tc>
          <w:tcPr>
            <w:tcW w:w="12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2976" w:type="dxa"/>
            <w:vMerge w:val="continue"/>
            <w:shd w:val="clear" w:color="auto" w:fill="auto"/>
            <w:vAlign w:val="center"/>
          </w:tcPr>
          <w:p>
            <w:pPr>
              <w:spacing w:line="300" w:lineRule="exact"/>
              <w:jc w:val="left"/>
              <w:rPr>
                <w:rFonts w:ascii="方正书宋_GBK" w:eastAsia="方正书宋_GBK"/>
                <w:color w:val="auto"/>
              </w:rPr>
            </w:pP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村民满意度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70%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3</w:t>
            </w:r>
            <w:r>
              <w:rPr>
                <w:rFonts w:hint="eastAsia" w:ascii="方正书宋_GBK" w:eastAsia="方正书宋_GBK"/>
                <w:b/>
                <w:color w:val="auto"/>
              </w:rPr>
              <w:t>、选聘</w:t>
            </w:r>
            <w:r>
              <w:rPr>
                <w:rFonts w:hint="eastAsia" w:ascii="方正书宋_GBK" w:eastAsia="方正书宋_GBK"/>
                <w:b/>
                <w:color w:val="auto"/>
                <w:lang w:eastAsia="zh-CN"/>
              </w:rPr>
              <w:t>村干部</w:t>
            </w:r>
            <w:r>
              <w:rPr>
                <w:rFonts w:hint="eastAsia" w:ascii="方正书宋_GBK" w:eastAsia="方正书宋_GBK"/>
                <w:b/>
                <w:color w:val="auto"/>
              </w:rPr>
              <w:t>任职管理</w:t>
            </w:r>
          </w:p>
        </w:tc>
        <w:tc>
          <w:tcPr>
            <w:tcW w:w="1276" w:type="dxa"/>
            <w:shd w:val="clear" w:color="auto" w:fill="auto"/>
            <w:vAlign w:val="center"/>
          </w:tcPr>
          <w:p>
            <w:pPr>
              <w:spacing w:line="300" w:lineRule="exact"/>
              <w:jc w:val="left"/>
              <w:rPr>
                <w:rFonts w:ascii="方正书宋_GBK" w:eastAsia="方正书宋_GBK"/>
                <w:color w:val="auto"/>
              </w:rPr>
            </w:pP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引导大学生到农村锻炼任职，形成来自基层和生产一线的党政干部培养链，巩固党在农村的执政基础，加快推进社会主义新农村建设。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加强对农村人才的培养和使用，进一步建立健全农村基层干部的激励保障机制，建立和完善</w:t>
            </w:r>
            <w:r>
              <w:rPr>
                <w:rFonts w:hint="eastAsia" w:ascii="方正书宋_GBK" w:eastAsia="方正书宋_GBK"/>
                <w:color w:val="auto"/>
                <w:lang w:eastAsia="zh-CN"/>
              </w:rPr>
              <w:t>村干部</w:t>
            </w:r>
            <w:r>
              <w:rPr>
                <w:rFonts w:hint="eastAsia" w:ascii="方正书宋_GBK" w:eastAsia="方正书宋_GBK"/>
                <w:color w:val="auto"/>
              </w:rPr>
              <w:t>工资及各项保障待遇，解除</w:t>
            </w:r>
            <w:r>
              <w:rPr>
                <w:rFonts w:hint="eastAsia" w:ascii="方正书宋_GBK" w:eastAsia="方正书宋_GBK"/>
                <w:color w:val="auto"/>
                <w:lang w:eastAsia="zh-CN"/>
              </w:rPr>
              <w:t>村干部</w:t>
            </w:r>
            <w:r>
              <w:rPr>
                <w:rFonts w:hint="eastAsia" w:ascii="方正书宋_GBK" w:eastAsia="方正书宋_GBK"/>
                <w:color w:val="auto"/>
              </w:rPr>
              <w:t>的后顾之忧，进一步调动</w:t>
            </w:r>
            <w:r>
              <w:rPr>
                <w:rFonts w:hint="eastAsia" w:ascii="方正书宋_GBK" w:eastAsia="方正书宋_GBK"/>
                <w:color w:val="auto"/>
                <w:lang w:eastAsia="zh-CN"/>
              </w:rPr>
              <w:t>村干部</w:t>
            </w:r>
            <w:r>
              <w:rPr>
                <w:rFonts w:hint="eastAsia" w:ascii="方正书宋_GBK" w:eastAsia="方正书宋_GBK"/>
                <w:color w:val="auto"/>
              </w:rPr>
              <w:t>的工作积极性。</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lang w:eastAsia="zh-CN"/>
              </w:rPr>
              <w:t>村干部</w:t>
            </w:r>
            <w:r>
              <w:rPr>
                <w:rFonts w:hint="eastAsia" w:ascii="方正书宋_GBK" w:eastAsia="方正书宋_GBK"/>
                <w:color w:val="auto"/>
              </w:rPr>
              <w:t>待遇保障程度</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95%</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88%</w:t>
            </w:r>
          </w:p>
        </w:tc>
        <w:tc>
          <w:tcPr>
            <w:tcW w:w="737" w:type="dxa"/>
            <w:shd w:val="clear" w:color="auto" w:fill="auto"/>
            <w:vAlign w:val="center"/>
          </w:tcPr>
          <w:p>
            <w:pPr>
              <w:spacing w:line="300" w:lineRule="exact"/>
              <w:jc w:val="center"/>
              <w:rPr>
                <w:rFonts w:ascii="方正书宋_GBK" w:eastAsia="方正书宋_GBK"/>
                <w:color w:val="auto"/>
              </w:rPr>
            </w:pPr>
            <w:r>
              <w:rPr>
                <w:rFonts w:hint="eastAsia" w:ascii="方正书宋_GBK" w:eastAsia="方正书宋_GBK"/>
                <w:color w:val="auto"/>
              </w:rPr>
              <w:t>＜</w:t>
            </w:r>
            <w:r>
              <w:rPr>
                <w:rFonts w:ascii="方正书宋_GBK" w:eastAsia="方正书宋_GBK"/>
                <w:color w:val="auto"/>
              </w:rPr>
              <w:t>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二十七、农村农业事务管理</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236.81</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提高农村管理水平，贯彻执行农、林现代化管理水平，推动实施农村面貌提升，组织实施扶贫开发、农业开发、整村推进小康建设</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提高农产品产量和产量，优化农村产业结构，提高经济效益，增加农民收入，改善生态环境，农村面貌和生活条件改善。促进农业现代化，提高农业劳动生产率，增加农民收入。</w:t>
            </w:r>
          </w:p>
        </w:tc>
        <w:tc>
          <w:tcPr>
            <w:tcW w:w="1417" w:type="dxa"/>
            <w:shd w:val="clear" w:color="auto" w:fill="auto"/>
            <w:vAlign w:val="center"/>
          </w:tcPr>
          <w:p>
            <w:pPr>
              <w:spacing w:line="300" w:lineRule="exact"/>
              <w:jc w:val="left"/>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c>
          <w:tcPr>
            <w:tcW w:w="737" w:type="dxa"/>
            <w:shd w:val="clear" w:color="auto" w:fill="auto"/>
            <w:vAlign w:val="center"/>
          </w:tcPr>
          <w:p>
            <w:pPr>
              <w:spacing w:line="300" w:lineRule="exact"/>
              <w:jc w:val="center"/>
              <w:rPr>
                <w:rFonts w:ascii="方正书宋_GBK" w:eastAsia="方正书宋_GBK"/>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1</w:t>
            </w:r>
            <w:r>
              <w:rPr>
                <w:rFonts w:hint="eastAsia" w:ascii="方正书宋_GBK" w:eastAsia="方正书宋_GBK"/>
                <w:b/>
                <w:color w:val="auto"/>
              </w:rPr>
              <w:t>、村级管理</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196.81</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不改变村级资金管理方式，农村财务实行</w:t>
            </w: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规范村级财务管理</w:t>
            </w:r>
          </w:p>
        </w:tc>
        <w:tc>
          <w:tcPr>
            <w:tcW w:w="1417" w:type="dxa"/>
            <w:shd w:val="clear" w:color="auto" w:fill="auto"/>
            <w:vAlign w:val="center"/>
          </w:tcPr>
          <w:p>
            <w:pPr>
              <w:spacing w:line="300" w:lineRule="exact"/>
              <w:jc w:val="left"/>
              <w:rPr>
                <w:rFonts w:ascii="方正书宋_GBK" w:eastAsia="方正书宋_GBK"/>
                <w:color w:val="auto"/>
              </w:rPr>
            </w:pPr>
            <w:r>
              <w:rPr>
                <w:rFonts w:hint="cs" w:ascii="方正书宋_GBK" w:eastAsia="方正书宋_GBK"/>
                <w:color w:val="auto"/>
              </w:rPr>
              <w:t>“</w:t>
            </w:r>
            <w:r>
              <w:rPr>
                <w:rFonts w:hint="eastAsia" w:ascii="方正书宋_GBK" w:eastAsia="方正书宋_GBK"/>
                <w:color w:val="auto"/>
              </w:rPr>
              <w:t>村财乡管</w:t>
            </w:r>
            <w:r>
              <w:rPr>
                <w:rFonts w:hint="cs" w:ascii="方正书宋_GBK" w:eastAsia="方正书宋_GBK"/>
                <w:color w:val="auto"/>
              </w:rPr>
              <w:t>‘</w:t>
            </w:r>
            <w:r>
              <w:rPr>
                <w:rFonts w:hint="eastAsia" w:ascii="方正书宋_GBK" w:eastAsia="方正书宋_GBK"/>
                <w:color w:val="auto"/>
              </w:rPr>
              <w:t>完成率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227" w:hRule="atLeast"/>
          <w:jc w:val="center"/>
        </w:trPr>
        <w:tc>
          <w:tcPr>
            <w:tcW w:w="2341" w:type="dxa"/>
            <w:shd w:val="clear" w:color="auto" w:fill="auto"/>
            <w:vAlign w:val="center"/>
          </w:tcPr>
          <w:p>
            <w:pPr>
              <w:spacing w:line="300" w:lineRule="exact"/>
              <w:jc w:val="left"/>
              <w:rPr>
                <w:rFonts w:ascii="方正书宋_GBK" w:eastAsia="方正书宋_GBK"/>
                <w:b/>
                <w:color w:val="auto"/>
              </w:rPr>
            </w:pPr>
            <w:r>
              <w:rPr>
                <w:rFonts w:hint="eastAsia" w:ascii="方正书宋_GBK" w:eastAsia="方正书宋_GBK"/>
                <w:b/>
                <w:color w:val="auto"/>
              </w:rPr>
              <w:t>　　</w:t>
            </w:r>
            <w:r>
              <w:rPr>
                <w:rFonts w:ascii="方正书宋_GBK" w:eastAsia="方正书宋_GBK"/>
                <w:b/>
                <w:color w:val="auto"/>
              </w:rPr>
              <w:t>2</w:t>
            </w:r>
            <w:r>
              <w:rPr>
                <w:rFonts w:hint="eastAsia" w:ascii="方正书宋_GBK" w:eastAsia="方正书宋_GBK"/>
                <w:b/>
                <w:color w:val="auto"/>
              </w:rPr>
              <w:t>、农林事务管理</w:t>
            </w:r>
          </w:p>
        </w:tc>
        <w:tc>
          <w:tcPr>
            <w:tcW w:w="12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40.00</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对农民进行统筹指导农业及林业发展。按照统筹城乡发展要求，组织实施农村面貌改造提升行动</w:t>
            </w:r>
          </w:p>
        </w:tc>
        <w:tc>
          <w:tcPr>
            <w:tcW w:w="2976"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改善产业结构，提高农民收入水平</w:t>
            </w:r>
          </w:p>
        </w:tc>
        <w:tc>
          <w:tcPr>
            <w:tcW w:w="1417"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完成农、林业生产指标</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100%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90%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80%</w:t>
            </w:r>
          </w:p>
        </w:tc>
        <w:tc>
          <w:tcPr>
            <w:tcW w:w="737" w:type="dxa"/>
            <w:shd w:val="clear" w:color="auto" w:fill="auto"/>
            <w:vAlign w:val="center"/>
          </w:tcPr>
          <w:p>
            <w:pPr>
              <w:spacing w:line="300" w:lineRule="exact"/>
              <w:jc w:val="center"/>
              <w:rPr>
                <w:rFonts w:ascii="方正书宋_GBK" w:eastAsia="方正书宋_GBK"/>
                <w:color w:val="auto"/>
              </w:rPr>
            </w:pPr>
            <w:r>
              <w:rPr>
                <w:rFonts w:ascii="方正书宋_GBK" w:eastAsia="方正书宋_GBK"/>
                <w:color w:val="auto"/>
              </w:rPr>
              <w:t>60%</w:t>
            </w:r>
          </w:p>
        </w:tc>
      </w:tr>
    </w:tbl>
    <w:p>
      <w:pPr>
        <w:spacing w:line="300" w:lineRule="exact"/>
        <w:jc w:val="left"/>
        <w:outlineLvl w:val="0"/>
        <w:rPr>
          <w:color w:val="auto"/>
        </w:rPr>
        <w:sectPr>
          <w:pgSz w:w="16839" w:h="11907" w:orient="landscape"/>
          <w:pgMar w:top="1020" w:right="1361" w:bottom="1020" w:left="1361" w:header="851" w:footer="992" w:gutter="0"/>
          <w:cols w:space="720" w:num="1"/>
          <w:docGrid w:type="lines" w:linePitch="312" w:charSpace="0"/>
        </w:sectPr>
      </w:pPr>
    </w:p>
    <w:p>
      <w:pPr>
        <w:autoSpaceDE w:val="0"/>
        <w:autoSpaceDN w:val="0"/>
        <w:adjustRightInd w:val="0"/>
        <w:ind w:firstLine="960" w:firstLineChars="3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六、政府采购预算情况</w:t>
      </w:r>
    </w:p>
    <w:p>
      <w:pPr>
        <w:ind w:firstLine="640" w:firstLineChars="200"/>
        <w:outlineLvl w:val="0"/>
        <w:rPr>
          <w:rFonts w:ascii="Times New Roman" w:hAnsi="Times New Roman" w:eastAsia="仿宋" w:cs="Times New Roman"/>
          <w:color w:val="auto"/>
          <w:sz w:val="32"/>
          <w:szCs w:val="24"/>
        </w:rPr>
      </w:pPr>
      <w:bookmarkStart w:id="2" w:name="_Toc471398468"/>
      <w:r>
        <w:rPr>
          <w:rFonts w:ascii="Times New Roman" w:hAnsi="Times New Roman" w:eastAsia="仿宋" w:cs="Times New Roman"/>
          <w:color w:val="auto"/>
          <w:sz w:val="32"/>
          <w:szCs w:val="24"/>
        </w:rPr>
        <w:t xml:space="preserve"> 201</w:t>
      </w:r>
      <w:r>
        <w:rPr>
          <w:rFonts w:hint="eastAsia" w:ascii="Times New Roman" w:hAnsi="Times New Roman" w:eastAsia="仿宋" w:cs="Times New Roman"/>
          <w:color w:val="auto"/>
          <w:sz w:val="32"/>
          <w:szCs w:val="24"/>
        </w:rPr>
        <w:t>9</w:t>
      </w:r>
      <w:r>
        <w:rPr>
          <w:rFonts w:ascii="Times New Roman" w:hAnsi="Times New Roman" w:eastAsia="仿宋" w:cs="Times New Roman"/>
          <w:color w:val="auto"/>
          <w:sz w:val="32"/>
          <w:szCs w:val="24"/>
        </w:rPr>
        <w:t>年，</w:t>
      </w:r>
      <w:r>
        <w:rPr>
          <w:rFonts w:hint="eastAsia" w:ascii="Times New Roman" w:hAnsi="Times New Roman" w:eastAsia="仿宋" w:cs="Times New Roman"/>
          <w:color w:val="auto"/>
          <w:sz w:val="32"/>
          <w:szCs w:val="24"/>
        </w:rPr>
        <w:t>我部门</w:t>
      </w:r>
      <w:r>
        <w:rPr>
          <w:rFonts w:ascii="Times New Roman" w:hAnsi="Times New Roman" w:eastAsia="仿宋" w:cs="Times New Roman"/>
          <w:color w:val="auto"/>
          <w:sz w:val="32"/>
          <w:szCs w:val="24"/>
        </w:rPr>
        <w:t>安排政府采购预算</w:t>
      </w:r>
      <w:r>
        <w:rPr>
          <w:rFonts w:hint="eastAsia" w:ascii="Times New Roman" w:hAnsi="Times New Roman" w:eastAsia="仿宋" w:cs="Times New Roman"/>
          <w:color w:val="auto"/>
          <w:sz w:val="32"/>
          <w:szCs w:val="24"/>
        </w:rPr>
        <w:t>13.00</w:t>
      </w:r>
      <w:r>
        <w:rPr>
          <w:rFonts w:ascii="Times New Roman" w:hAnsi="Times New Roman" w:eastAsia="仿宋" w:cs="Times New Roman"/>
          <w:color w:val="auto"/>
          <w:sz w:val="32"/>
          <w:szCs w:val="24"/>
        </w:rPr>
        <w:t>万元。具体内容见下表。</w:t>
      </w:r>
      <w:bookmarkEnd w:id="2"/>
    </w:p>
    <w:p>
      <w:pPr>
        <w:jc w:val="center"/>
        <w:outlineLvl w:val="0"/>
        <w:rPr>
          <w:rFonts w:ascii="方正小标宋_GBK" w:eastAsia="方正小标宋_GBK"/>
          <w:color w:val="auto"/>
          <w:sz w:val="32"/>
        </w:rPr>
      </w:pPr>
      <w:bookmarkStart w:id="3" w:name="_Toc532510"/>
      <w:r>
        <w:rPr>
          <w:rFonts w:hint="eastAsia" w:ascii="方正小标宋_GBK" w:eastAsia="方正小标宋_GBK"/>
          <w:color w:val="auto"/>
          <w:sz w:val="32"/>
        </w:rPr>
        <w:t>部门政府采购预算</w:t>
      </w:r>
      <w:bookmarkEnd w:id="3"/>
    </w:p>
    <w:tbl>
      <w:tblPr>
        <w:tblStyle w:val="7"/>
        <w:tblW w:w="14568"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48"/>
        <w:gridCol w:w="1099"/>
        <w:gridCol w:w="974"/>
        <w:gridCol w:w="986"/>
        <w:gridCol w:w="760"/>
        <w:gridCol w:w="760"/>
        <w:gridCol w:w="848"/>
        <w:gridCol w:w="961"/>
        <w:gridCol w:w="961"/>
        <w:gridCol w:w="961"/>
        <w:gridCol w:w="961"/>
        <w:gridCol w:w="964"/>
        <w:gridCol w:w="964"/>
        <w:gridCol w:w="92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875"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方正小标宋_GBK" w:eastAsia="方正小标宋_GBK"/>
                <w:color w:val="auto"/>
                <w:sz w:val="24"/>
              </w:rPr>
            </w:pPr>
            <w:r>
              <w:rPr>
                <w:rFonts w:ascii="方正小标宋_GBK" w:eastAsia="方正小标宋_GBK"/>
                <w:color w:val="auto"/>
                <w:sz w:val="24"/>
              </w:rPr>
              <w:t>998</w:t>
            </w:r>
            <w:r>
              <w:rPr>
                <w:rFonts w:hint="eastAsia" w:ascii="方正小标宋_GBK" w:eastAsia="方正小标宋_GBK"/>
                <w:color w:val="auto"/>
                <w:sz w:val="24"/>
              </w:rPr>
              <w:t>曲阳县范家庄乡</w:t>
            </w:r>
          </w:p>
        </w:tc>
        <w:tc>
          <w:tcPr>
            <w:tcW w:w="6693" w:type="dxa"/>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方正书宋_GBK" w:eastAsia="方正书宋_GBK"/>
                <w:color w:val="auto"/>
                <w:sz w:val="24"/>
              </w:rPr>
            </w:pPr>
            <w:r>
              <w:rPr>
                <w:rFonts w:hint="eastAsia" w:ascii="方正书宋_GBK" w:eastAsia="方正书宋_GBK"/>
                <w:color w:val="auto"/>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3547" w:type="dxa"/>
            <w:gridSpan w:val="2"/>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政府采购项目来源</w:t>
            </w:r>
          </w:p>
        </w:tc>
        <w:tc>
          <w:tcPr>
            <w:tcW w:w="974"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采购物品名称</w:t>
            </w:r>
          </w:p>
        </w:tc>
        <w:tc>
          <w:tcPr>
            <w:tcW w:w="986"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政府采购目录序号</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r>
              <w:rPr>
                <w:rFonts w:ascii="方正书宋_GBK" w:eastAsia="方正书宋_GBK"/>
                <w:b/>
                <w:color w:val="auto"/>
              </w:rPr>
              <w:t xml:space="preserve">  </w:t>
            </w:r>
            <w:r>
              <w:rPr>
                <w:rFonts w:hint="eastAsia" w:ascii="方正书宋_GBK" w:eastAsia="方正书宋_GBK"/>
                <w:b/>
                <w:color w:val="auto"/>
              </w:rPr>
              <w:t>单位</w:t>
            </w:r>
          </w:p>
        </w:tc>
        <w:tc>
          <w:tcPr>
            <w:tcW w:w="760"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数量</w:t>
            </w:r>
          </w:p>
        </w:tc>
        <w:tc>
          <w:tcPr>
            <w:tcW w:w="8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单价</w:t>
            </w:r>
          </w:p>
        </w:tc>
        <w:tc>
          <w:tcPr>
            <w:tcW w:w="6693" w:type="dxa"/>
            <w:gridSpan w:val="7"/>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项目名称</w:t>
            </w:r>
          </w:p>
        </w:tc>
        <w:tc>
          <w:tcPr>
            <w:tcW w:w="1099"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预算资金</w:t>
            </w: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总计</w:t>
            </w:r>
          </w:p>
        </w:tc>
        <w:tc>
          <w:tcPr>
            <w:tcW w:w="4811" w:type="dxa"/>
            <w:gridSpan w:val="5"/>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当年部门预算安排资金</w:t>
            </w:r>
          </w:p>
        </w:tc>
        <w:tc>
          <w:tcPr>
            <w:tcW w:w="921" w:type="dxa"/>
            <w:vMerge w:val="restart"/>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2448" w:type="dxa"/>
            <w:vMerge w:val="continue"/>
            <w:shd w:val="clear" w:color="auto" w:fill="auto"/>
            <w:vAlign w:val="center"/>
          </w:tcPr>
          <w:p>
            <w:pPr>
              <w:spacing w:line="300" w:lineRule="exact"/>
              <w:jc w:val="left"/>
              <w:outlineLvl w:val="0"/>
              <w:rPr>
                <w:color w:val="auto"/>
              </w:rPr>
            </w:pPr>
          </w:p>
        </w:tc>
        <w:tc>
          <w:tcPr>
            <w:tcW w:w="1099" w:type="dxa"/>
            <w:vMerge w:val="continue"/>
            <w:shd w:val="clear" w:color="auto" w:fill="auto"/>
            <w:vAlign w:val="center"/>
          </w:tcPr>
          <w:p>
            <w:pPr>
              <w:spacing w:line="300" w:lineRule="exact"/>
              <w:jc w:val="left"/>
              <w:outlineLvl w:val="0"/>
              <w:rPr>
                <w:color w:val="auto"/>
              </w:rPr>
            </w:pPr>
          </w:p>
        </w:tc>
        <w:tc>
          <w:tcPr>
            <w:tcW w:w="974" w:type="dxa"/>
            <w:vMerge w:val="continue"/>
            <w:shd w:val="clear" w:color="auto" w:fill="auto"/>
            <w:vAlign w:val="center"/>
          </w:tcPr>
          <w:p>
            <w:pPr>
              <w:spacing w:line="300" w:lineRule="exact"/>
              <w:jc w:val="left"/>
              <w:outlineLvl w:val="0"/>
              <w:rPr>
                <w:color w:val="auto"/>
              </w:rPr>
            </w:pPr>
          </w:p>
        </w:tc>
        <w:tc>
          <w:tcPr>
            <w:tcW w:w="986"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760" w:type="dxa"/>
            <w:vMerge w:val="continue"/>
            <w:shd w:val="clear" w:color="auto" w:fill="auto"/>
            <w:vAlign w:val="center"/>
          </w:tcPr>
          <w:p>
            <w:pPr>
              <w:spacing w:line="300" w:lineRule="exact"/>
              <w:jc w:val="left"/>
              <w:outlineLvl w:val="0"/>
              <w:rPr>
                <w:color w:val="auto"/>
              </w:rPr>
            </w:pPr>
          </w:p>
        </w:tc>
        <w:tc>
          <w:tcPr>
            <w:tcW w:w="848" w:type="dxa"/>
            <w:vMerge w:val="continue"/>
            <w:shd w:val="clear" w:color="auto" w:fill="auto"/>
            <w:vAlign w:val="center"/>
          </w:tcPr>
          <w:p>
            <w:pPr>
              <w:spacing w:line="300" w:lineRule="exact"/>
              <w:jc w:val="left"/>
              <w:outlineLvl w:val="0"/>
              <w:rPr>
                <w:color w:val="auto"/>
              </w:rPr>
            </w:pPr>
          </w:p>
        </w:tc>
        <w:tc>
          <w:tcPr>
            <w:tcW w:w="961" w:type="dxa"/>
            <w:vMerge w:val="continue"/>
            <w:shd w:val="clear" w:color="auto" w:fill="auto"/>
            <w:vAlign w:val="center"/>
          </w:tcPr>
          <w:p>
            <w:pPr>
              <w:spacing w:line="300" w:lineRule="exact"/>
              <w:jc w:val="left"/>
              <w:outlineLvl w:val="0"/>
              <w:rPr>
                <w:color w:val="auto"/>
              </w:rPr>
            </w:pP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合计</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一般公共预算拨款</w:t>
            </w:r>
          </w:p>
        </w:tc>
        <w:tc>
          <w:tcPr>
            <w:tcW w:w="961"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基金预算拨款</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财政专户核拨</w:t>
            </w:r>
          </w:p>
        </w:tc>
        <w:tc>
          <w:tcPr>
            <w:tcW w:w="964"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其他来源收入</w:t>
            </w:r>
          </w:p>
        </w:tc>
        <w:tc>
          <w:tcPr>
            <w:tcW w:w="921" w:type="dxa"/>
            <w:vMerge w:val="continue"/>
            <w:shd w:val="clear" w:color="auto" w:fill="auto"/>
            <w:vAlign w:val="center"/>
          </w:tcPr>
          <w:p>
            <w:pPr>
              <w:spacing w:line="300" w:lineRule="exact"/>
              <w:jc w:val="left"/>
              <w:outlineLvl w:val="0"/>
              <w:rPr>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合　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13.00</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13.00</w:t>
            </w:r>
          </w:p>
        </w:tc>
        <w:tc>
          <w:tcPr>
            <w:tcW w:w="961" w:type="dxa"/>
            <w:shd w:val="clear" w:color="auto" w:fill="auto"/>
            <w:vAlign w:val="center"/>
          </w:tcPr>
          <w:p>
            <w:pPr>
              <w:spacing w:line="300" w:lineRule="exact"/>
              <w:jc w:val="right"/>
              <w:rPr>
                <w:rFonts w:ascii="方正书宋_GBK" w:eastAsia="方正书宋_GBK"/>
                <w:b/>
                <w:color w:val="auto"/>
              </w:rPr>
            </w:pPr>
            <w:r>
              <w:rPr>
                <w:rFonts w:hint="eastAsia" w:ascii="方正书宋_GBK" w:eastAsia="方正书宋_GBK"/>
                <w:b/>
                <w:color w:val="auto"/>
              </w:rPr>
              <w:t>13.00</w:t>
            </w: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center"/>
              <w:rPr>
                <w:rFonts w:ascii="方正书宋_GBK" w:eastAsia="方正书宋_GBK"/>
                <w:b/>
                <w:color w:val="auto"/>
              </w:rPr>
            </w:pPr>
            <w:r>
              <w:rPr>
                <w:rFonts w:hint="eastAsia" w:ascii="方正书宋_GBK" w:eastAsia="方正书宋_GBK"/>
                <w:b/>
                <w:color w:val="auto"/>
              </w:rPr>
              <w:t>曲阳县范家庄乡（政府）小计</w:t>
            </w:r>
          </w:p>
        </w:tc>
        <w:tc>
          <w:tcPr>
            <w:tcW w:w="1099" w:type="dxa"/>
            <w:shd w:val="clear" w:color="auto" w:fill="auto"/>
            <w:vAlign w:val="center"/>
          </w:tcPr>
          <w:p>
            <w:pPr>
              <w:spacing w:line="300" w:lineRule="exact"/>
              <w:jc w:val="right"/>
              <w:rPr>
                <w:rFonts w:ascii="方正书宋_GBK" w:eastAsia="方正书宋_GBK"/>
                <w:b/>
                <w:color w:val="auto"/>
              </w:rPr>
            </w:pPr>
          </w:p>
        </w:tc>
        <w:tc>
          <w:tcPr>
            <w:tcW w:w="974" w:type="dxa"/>
            <w:shd w:val="clear" w:color="auto" w:fill="auto"/>
            <w:vAlign w:val="center"/>
          </w:tcPr>
          <w:p>
            <w:pPr>
              <w:spacing w:line="300" w:lineRule="exact"/>
              <w:jc w:val="left"/>
              <w:rPr>
                <w:rFonts w:ascii="方正书宋_GBK" w:eastAsia="方正书宋_GBK"/>
                <w:b/>
                <w:color w:val="auto"/>
              </w:rPr>
            </w:pPr>
          </w:p>
        </w:tc>
        <w:tc>
          <w:tcPr>
            <w:tcW w:w="986"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left"/>
              <w:rPr>
                <w:rFonts w:ascii="方正书宋_GBK" w:eastAsia="方正书宋_GBK"/>
                <w:b/>
                <w:color w:val="auto"/>
              </w:rPr>
            </w:pPr>
          </w:p>
        </w:tc>
        <w:tc>
          <w:tcPr>
            <w:tcW w:w="760" w:type="dxa"/>
            <w:shd w:val="clear" w:color="auto" w:fill="auto"/>
            <w:vAlign w:val="center"/>
          </w:tcPr>
          <w:p>
            <w:pPr>
              <w:spacing w:line="300" w:lineRule="exact"/>
              <w:jc w:val="right"/>
              <w:rPr>
                <w:rFonts w:ascii="方正书宋_GBK" w:eastAsia="方正书宋_GBK"/>
                <w:b/>
                <w:color w:val="auto"/>
              </w:rPr>
            </w:pPr>
          </w:p>
        </w:tc>
        <w:tc>
          <w:tcPr>
            <w:tcW w:w="848"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p>
        </w:tc>
        <w:tc>
          <w:tcPr>
            <w:tcW w:w="961"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64" w:type="dxa"/>
            <w:shd w:val="clear" w:color="auto" w:fill="auto"/>
            <w:vAlign w:val="center"/>
          </w:tcPr>
          <w:p>
            <w:pPr>
              <w:spacing w:line="300" w:lineRule="exact"/>
              <w:jc w:val="right"/>
              <w:rPr>
                <w:rFonts w:ascii="方正书宋_GBK" w:eastAsia="方正书宋_GBK"/>
                <w:b/>
                <w:color w:val="auto"/>
              </w:rPr>
            </w:pPr>
          </w:p>
        </w:tc>
        <w:tc>
          <w:tcPr>
            <w:tcW w:w="921" w:type="dxa"/>
            <w:shd w:val="clear" w:color="auto" w:fill="auto"/>
            <w:vAlign w:val="center"/>
          </w:tcPr>
          <w:p>
            <w:pPr>
              <w:spacing w:line="300" w:lineRule="exact"/>
              <w:jc w:val="right"/>
              <w:rPr>
                <w:rFonts w:ascii="方正书宋_GBK" w:eastAsia="方正书宋_GBK"/>
                <w:b/>
                <w:color w:val="auto"/>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2448"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乡镇专项经费</w:t>
            </w:r>
          </w:p>
        </w:tc>
        <w:tc>
          <w:tcPr>
            <w:tcW w:w="1099"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16.50</w:t>
            </w:r>
          </w:p>
        </w:tc>
        <w:tc>
          <w:tcPr>
            <w:tcW w:w="974" w:type="dxa"/>
            <w:shd w:val="clear" w:color="auto" w:fill="auto"/>
            <w:vAlign w:val="center"/>
          </w:tcPr>
          <w:p>
            <w:pPr>
              <w:spacing w:line="300" w:lineRule="exact"/>
              <w:jc w:val="left"/>
              <w:rPr>
                <w:rFonts w:ascii="方正书宋_GBK" w:eastAsia="方正书宋_GBK"/>
                <w:color w:val="auto"/>
              </w:rPr>
            </w:pPr>
            <w:r>
              <w:rPr>
                <w:rFonts w:hint="eastAsia" w:ascii="方正书宋_GBK" w:eastAsia="方正书宋_GBK"/>
                <w:color w:val="auto"/>
              </w:rPr>
              <w:t>货物</w:t>
            </w:r>
          </w:p>
        </w:tc>
        <w:tc>
          <w:tcPr>
            <w:tcW w:w="986" w:type="dxa"/>
            <w:shd w:val="clear" w:color="auto" w:fill="auto"/>
            <w:vAlign w:val="center"/>
          </w:tcPr>
          <w:p>
            <w:pPr>
              <w:spacing w:line="300" w:lineRule="exact"/>
              <w:jc w:val="left"/>
              <w:rPr>
                <w:rFonts w:ascii="方正书宋_GBK" w:eastAsia="方正书宋_GBK"/>
                <w:color w:val="auto"/>
              </w:rPr>
            </w:pPr>
            <w:r>
              <w:rPr>
                <w:rFonts w:ascii="方正书宋_GBK" w:eastAsia="方正书宋_GBK"/>
                <w:color w:val="auto"/>
              </w:rPr>
              <w:t>A</w:t>
            </w:r>
          </w:p>
        </w:tc>
        <w:tc>
          <w:tcPr>
            <w:tcW w:w="760" w:type="dxa"/>
            <w:shd w:val="clear" w:color="auto" w:fill="auto"/>
            <w:vAlign w:val="center"/>
          </w:tcPr>
          <w:p>
            <w:pPr>
              <w:spacing w:line="300" w:lineRule="exact"/>
              <w:jc w:val="left"/>
              <w:rPr>
                <w:rFonts w:ascii="方正书宋_GBK" w:eastAsia="方正书宋_GBK"/>
                <w:color w:val="auto"/>
              </w:rPr>
            </w:pPr>
          </w:p>
        </w:tc>
        <w:tc>
          <w:tcPr>
            <w:tcW w:w="760" w:type="dxa"/>
            <w:shd w:val="clear" w:color="auto" w:fill="auto"/>
            <w:vAlign w:val="center"/>
          </w:tcPr>
          <w:p>
            <w:pPr>
              <w:spacing w:line="300" w:lineRule="exact"/>
              <w:jc w:val="right"/>
              <w:rPr>
                <w:rFonts w:ascii="方正书宋_GBK" w:eastAsia="方正书宋_GBK"/>
                <w:color w:val="auto"/>
              </w:rPr>
            </w:pPr>
            <w:r>
              <w:rPr>
                <w:rFonts w:ascii="方正书宋_GBK" w:eastAsia="方正书宋_GBK"/>
                <w:color w:val="auto"/>
              </w:rPr>
              <w:t>1.00</w:t>
            </w:r>
          </w:p>
        </w:tc>
        <w:tc>
          <w:tcPr>
            <w:tcW w:w="848"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13.00</w:t>
            </w:r>
          </w:p>
        </w:tc>
        <w:tc>
          <w:tcPr>
            <w:tcW w:w="961"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13.00</w:t>
            </w:r>
          </w:p>
        </w:tc>
        <w:tc>
          <w:tcPr>
            <w:tcW w:w="961"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13.00</w:t>
            </w:r>
          </w:p>
        </w:tc>
        <w:tc>
          <w:tcPr>
            <w:tcW w:w="961" w:type="dxa"/>
            <w:shd w:val="clear" w:color="auto" w:fill="auto"/>
            <w:vAlign w:val="center"/>
          </w:tcPr>
          <w:p>
            <w:pPr>
              <w:spacing w:line="300" w:lineRule="exact"/>
              <w:jc w:val="right"/>
              <w:rPr>
                <w:rFonts w:ascii="方正书宋_GBK" w:eastAsia="方正书宋_GBK"/>
                <w:color w:val="auto"/>
              </w:rPr>
            </w:pPr>
            <w:r>
              <w:rPr>
                <w:rFonts w:hint="eastAsia" w:ascii="方正书宋_GBK" w:eastAsia="方正书宋_GBK"/>
                <w:color w:val="auto"/>
              </w:rPr>
              <w:t>13.00</w:t>
            </w:r>
          </w:p>
        </w:tc>
        <w:tc>
          <w:tcPr>
            <w:tcW w:w="961"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64" w:type="dxa"/>
            <w:shd w:val="clear" w:color="auto" w:fill="auto"/>
            <w:vAlign w:val="center"/>
          </w:tcPr>
          <w:p>
            <w:pPr>
              <w:spacing w:line="300" w:lineRule="exact"/>
              <w:jc w:val="right"/>
              <w:rPr>
                <w:rFonts w:ascii="方正书宋_GBK" w:eastAsia="方正书宋_GBK"/>
                <w:color w:val="auto"/>
              </w:rPr>
            </w:pPr>
          </w:p>
        </w:tc>
        <w:tc>
          <w:tcPr>
            <w:tcW w:w="921" w:type="dxa"/>
            <w:shd w:val="clear" w:color="auto" w:fill="auto"/>
            <w:vAlign w:val="center"/>
          </w:tcPr>
          <w:p>
            <w:pPr>
              <w:spacing w:line="300" w:lineRule="exact"/>
              <w:jc w:val="right"/>
              <w:rPr>
                <w:rFonts w:ascii="方正书宋_GBK" w:eastAsia="方正书宋_GBK"/>
                <w:color w:val="auto"/>
              </w:rPr>
            </w:pPr>
          </w:p>
        </w:tc>
      </w:tr>
    </w:tbl>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hint="eastAsia" w:ascii="黑体" w:hAnsi="黑体" w:eastAsia="黑体" w:cs="Times New Roman"/>
          <w:color w:val="auto"/>
          <w:sz w:val="32"/>
          <w:szCs w:val="32"/>
        </w:rPr>
      </w:pPr>
    </w:p>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七、国有资产信息</w:t>
      </w:r>
    </w:p>
    <w:p>
      <w:pPr>
        <w:ind w:firstLine="64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曲阳县范家庄乡人民政府</w:t>
      </w:r>
      <w:r>
        <w:rPr>
          <w:rFonts w:ascii="Times New Roman" w:hAnsi="Times New Roman" w:eastAsia="仿宋" w:cs="Times New Roman"/>
          <w:color w:val="auto"/>
          <w:sz w:val="32"/>
          <w:szCs w:val="32"/>
        </w:rPr>
        <w:t>上年末固定资产金额为</w:t>
      </w:r>
      <w:r>
        <w:rPr>
          <w:rFonts w:hint="eastAsia" w:ascii="Times New Roman" w:hAnsi="Times New Roman" w:eastAsia="仿宋" w:cs="Times New Roman"/>
          <w:color w:val="auto"/>
          <w:sz w:val="32"/>
          <w:szCs w:val="32"/>
        </w:rPr>
        <w:t>131.6683</w:t>
      </w:r>
      <w:r>
        <w:rPr>
          <w:rFonts w:ascii="Times New Roman" w:hAnsi="Times New Roman" w:eastAsia="仿宋" w:cs="Times New Roman"/>
          <w:color w:val="auto"/>
          <w:sz w:val="32"/>
          <w:szCs w:val="32"/>
        </w:rPr>
        <w:t>万元（详见下表），本年度拟购置固定资产</w:t>
      </w:r>
      <w:r>
        <w:rPr>
          <w:rFonts w:hint="eastAsia" w:ascii="Times New Roman" w:hAnsi="Times New Roman" w:eastAsia="仿宋" w:cs="Times New Roman"/>
          <w:color w:val="auto"/>
          <w:sz w:val="32"/>
          <w:szCs w:val="32"/>
        </w:rPr>
        <w:t>总额为0</w:t>
      </w:r>
      <w:r>
        <w:rPr>
          <w:rFonts w:ascii="Times New Roman" w:hAnsi="Times New Roman" w:eastAsia="仿宋" w:cs="Times New Roman"/>
          <w:color w:val="auto"/>
          <w:sz w:val="32"/>
          <w:szCs w:val="32"/>
        </w:rPr>
        <w:t>万元</w:t>
      </w:r>
      <w:r>
        <w:rPr>
          <w:rFonts w:hint="eastAsia" w:ascii="Times New Roman" w:hAnsi="Times New Roman" w:eastAsia="仿宋" w:cs="Times New Roman"/>
          <w:color w:val="auto"/>
          <w:sz w:val="32"/>
          <w:szCs w:val="32"/>
        </w:rPr>
        <w:t>。</w:t>
      </w:r>
    </w:p>
    <w:tbl>
      <w:tblPr>
        <w:tblStyle w:val="7"/>
        <w:tblW w:w="13482" w:type="dxa"/>
        <w:tblInd w:w="93" w:type="dxa"/>
        <w:tblLayout w:type="fixed"/>
        <w:tblCellMar>
          <w:top w:w="0" w:type="dxa"/>
          <w:left w:w="108" w:type="dxa"/>
          <w:bottom w:w="0" w:type="dxa"/>
          <w:right w:w="108" w:type="dxa"/>
        </w:tblCellMar>
      </w:tblPr>
      <w:tblGrid>
        <w:gridCol w:w="5224"/>
        <w:gridCol w:w="3155"/>
        <w:gridCol w:w="5103"/>
      </w:tblGrid>
      <w:tr>
        <w:tblPrEx>
          <w:tblLayout w:type="fixed"/>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jc w:val="center"/>
              <w:rPr>
                <w:rFonts w:hint="eastAsia" w:ascii="宋体" w:hAnsi="宋体" w:cs="宋体"/>
                <w:b/>
                <w:bCs/>
                <w:color w:val="auto"/>
                <w:kern w:val="0"/>
                <w:sz w:val="32"/>
                <w:szCs w:val="32"/>
              </w:rPr>
            </w:pPr>
          </w:p>
          <w:p>
            <w:pPr>
              <w:widowControl/>
              <w:jc w:val="center"/>
              <w:rPr>
                <w:rFonts w:ascii="宋体" w:hAnsi="宋体" w:cs="宋体"/>
                <w:b/>
                <w:bCs/>
                <w:color w:val="auto"/>
                <w:kern w:val="0"/>
                <w:sz w:val="32"/>
                <w:szCs w:val="32"/>
              </w:rPr>
            </w:pPr>
            <w:r>
              <w:rPr>
                <w:rFonts w:hint="eastAsia" w:ascii="宋体" w:hAnsi="宋体" w:cs="宋体"/>
                <w:b/>
                <w:bCs/>
                <w:color w:val="auto"/>
                <w:kern w:val="0"/>
                <w:sz w:val="32"/>
                <w:szCs w:val="32"/>
              </w:rPr>
              <w:t>曲阳县范家庄乡人民政府固定资产占用情况表</w:t>
            </w:r>
          </w:p>
        </w:tc>
      </w:tr>
      <w:tr>
        <w:tblPrEx>
          <w:tblLayout w:type="fixed"/>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编制部门：</w:t>
            </w:r>
            <w:r>
              <w:rPr>
                <w:rFonts w:hint="eastAsia" w:ascii="Times New Roman" w:hAnsi="Times New Roman" w:eastAsia="仿宋" w:cs="Times New Roman"/>
                <w:color w:val="auto"/>
                <w:kern w:val="0"/>
                <w:sz w:val="22"/>
              </w:rPr>
              <w:t>曲阳县范家庄乡人民政府</w:t>
            </w:r>
          </w:p>
        </w:tc>
        <w:tc>
          <w:tcPr>
            <w:tcW w:w="5103" w:type="dxa"/>
            <w:tcBorders>
              <w:top w:val="nil"/>
              <w:left w:val="nil"/>
              <w:bottom w:val="nil"/>
              <w:right w:val="nil"/>
            </w:tcBorders>
            <w:vAlign w:val="center"/>
          </w:tcPr>
          <w:p>
            <w:pPr>
              <w:widowControl/>
              <w:ind w:firstLine="1320" w:firstLineChars="600"/>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截止时间：201</w:t>
            </w:r>
            <w:r>
              <w:rPr>
                <w:rFonts w:hint="eastAsia" w:ascii="Times New Roman" w:hAnsi="Times New Roman" w:eastAsia="仿宋" w:cs="Times New Roman"/>
                <w:color w:val="auto"/>
                <w:kern w:val="0"/>
                <w:sz w:val="22"/>
              </w:rPr>
              <w:t>8</w:t>
            </w:r>
            <w:r>
              <w:rPr>
                <w:rFonts w:ascii="Times New Roman" w:hAnsi="Times New Roman" w:eastAsia="仿宋" w:cs="Times New Roman"/>
                <w:color w:val="auto"/>
                <w:kern w:val="0"/>
                <w:sz w:val="22"/>
              </w:rPr>
              <w:t>年12月31日</w:t>
            </w:r>
          </w:p>
        </w:tc>
      </w:tr>
      <w:tr>
        <w:tblPrEx>
          <w:tblLayout w:type="fixed"/>
          <w:tblCellMar>
            <w:top w:w="0" w:type="dxa"/>
            <w:left w:w="108" w:type="dxa"/>
            <w:bottom w:w="0" w:type="dxa"/>
            <w:right w:w="108" w:type="dxa"/>
          </w:tblCellMar>
        </w:tblPrEx>
        <w:trPr>
          <w:trHeight w:val="645" w:hRule="atLeast"/>
        </w:trPr>
        <w:tc>
          <w:tcPr>
            <w:tcW w:w="522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项目</w:t>
            </w:r>
          </w:p>
        </w:tc>
        <w:tc>
          <w:tcPr>
            <w:tcW w:w="3155"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数量</w:t>
            </w:r>
          </w:p>
        </w:tc>
        <w:tc>
          <w:tcPr>
            <w:tcW w:w="5103"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auto"/>
                <w:kern w:val="0"/>
                <w:sz w:val="22"/>
              </w:rPr>
            </w:pPr>
            <w:r>
              <w:rPr>
                <w:rFonts w:hint="eastAsia" w:ascii="宋体" w:hAnsi="宋体" w:cs="宋体"/>
                <w:b/>
                <w:bCs/>
                <w:color w:val="auto"/>
                <w:kern w:val="0"/>
                <w:sz w:val="22"/>
              </w:rPr>
              <w:t>价值（金额单位：万元）</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资产总额</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131.6683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1、房屋（平方米）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960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94.998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其中：办公用房（平方米）</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960</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94.998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2、车辆（台、辆）</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1</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8.58</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3、其他固定资产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28.0903</w:t>
            </w:r>
          </w:p>
        </w:tc>
      </w:tr>
      <w:tr>
        <w:tblPrEx>
          <w:tblLayout w:type="fixed"/>
          <w:tblCellMar>
            <w:top w:w="0" w:type="dxa"/>
            <w:left w:w="108" w:type="dxa"/>
            <w:bottom w:w="0" w:type="dxa"/>
            <w:right w:w="108" w:type="dxa"/>
          </w:tblCellMar>
        </w:tblPrEx>
        <w:trPr>
          <w:trHeight w:val="645" w:hRule="atLeast"/>
        </w:trPr>
        <w:tc>
          <w:tcPr>
            <w:tcW w:w="5224" w:type="dxa"/>
            <w:tcBorders>
              <w:top w:val="nil"/>
              <w:left w:val="single" w:color="auto" w:sz="4" w:space="0"/>
              <w:bottom w:val="single" w:color="auto" w:sz="4" w:space="0"/>
              <w:right w:val="single" w:color="auto" w:sz="4" w:space="0"/>
            </w:tcBorders>
            <w:vAlign w:val="center"/>
          </w:tcPr>
          <w:p>
            <w:pPr>
              <w:widowControl/>
              <w:jc w:val="left"/>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4、</w:t>
            </w:r>
            <w:r>
              <w:rPr>
                <w:rFonts w:hint="eastAsia" w:ascii="Times New Roman" w:hAnsi="Times New Roman" w:eastAsia="仿宋" w:cs="Times New Roman"/>
                <w:color w:val="auto"/>
                <w:kern w:val="0"/>
                <w:sz w:val="22"/>
              </w:rPr>
              <w:t>无形</w:t>
            </w:r>
            <w:r>
              <w:rPr>
                <w:rFonts w:ascii="Times New Roman" w:hAnsi="Times New Roman" w:eastAsia="仿宋" w:cs="Times New Roman"/>
                <w:color w:val="auto"/>
                <w:kern w:val="0"/>
                <w:sz w:val="22"/>
              </w:rPr>
              <w:t>资产</w:t>
            </w:r>
          </w:p>
        </w:tc>
        <w:tc>
          <w:tcPr>
            <w:tcW w:w="3155"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ascii="Times New Roman" w:hAnsi="Times New Roman" w:eastAsia="仿宋" w:cs="Times New Roman"/>
                <w:color w:val="auto"/>
                <w:kern w:val="0"/>
                <w:sz w:val="22"/>
              </w:rPr>
              <w:t>——</w:t>
            </w:r>
          </w:p>
        </w:tc>
        <w:tc>
          <w:tcPr>
            <w:tcW w:w="5103" w:type="dxa"/>
            <w:tcBorders>
              <w:top w:val="nil"/>
              <w:left w:val="nil"/>
              <w:bottom w:val="single" w:color="auto" w:sz="4" w:space="0"/>
              <w:right w:val="single" w:color="auto" w:sz="4" w:space="0"/>
            </w:tcBorders>
            <w:vAlign w:val="center"/>
          </w:tcPr>
          <w:p>
            <w:pPr>
              <w:widowControl/>
              <w:jc w:val="center"/>
              <w:rPr>
                <w:rFonts w:ascii="Times New Roman" w:hAnsi="Times New Roman" w:eastAsia="仿宋" w:cs="Times New Roman"/>
                <w:color w:val="auto"/>
                <w:kern w:val="0"/>
                <w:sz w:val="22"/>
              </w:rPr>
            </w:pPr>
            <w:r>
              <w:rPr>
                <w:rFonts w:hint="eastAsia" w:ascii="Times New Roman" w:hAnsi="Times New Roman" w:eastAsia="仿宋" w:cs="Times New Roman"/>
                <w:color w:val="auto"/>
                <w:kern w:val="0"/>
                <w:sz w:val="22"/>
              </w:rPr>
              <w:t>0</w:t>
            </w:r>
          </w:p>
        </w:tc>
      </w:tr>
    </w:tbl>
    <w:p>
      <w:pPr>
        <w:autoSpaceDE w:val="0"/>
        <w:autoSpaceDN w:val="0"/>
        <w:adjustRightInd w:val="0"/>
        <w:ind w:firstLine="640" w:firstLineChars="200"/>
        <w:jc w:val="left"/>
        <w:rPr>
          <w:rFonts w:ascii="黑体" w:hAnsi="黑体" w:eastAsia="黑体" w:cs="Times New Roman"/>
          <w:color w:val="auto"/>
          <w:sz w:val="32"/>
          <w:szCs w:val="32"/>
        </w:rPr>
      </w:pPr>
      <w:r>
        <w:rPr>
          <w:rFonts w:hint="eastAsia" w:ascii="黑体" w:hAnsi="黑体" w:eastAsia="黑体" w:cs="Times New Roman"/>
          <w:color w:val="auto"/>
          <w:sz w:val="32"/>
          <w:szCs w:val="32"/>
        </w:rPr>
        <w:t>八、名词解释</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1、一般预算收入：县级财政当年拨付的资金。</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2、基本支出：为保障机构正常运转，完成日常工作任务，而发生的人员支出和公用支出。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3、项目支出：是指在基本支出之外，为完成特定行政任务和事业发展目标，而发生的支出。</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4、机关运行费：是指各部门的公用经费，包括办公及印刷费、邮电费、差旅费、会议费、福利费、日常维修费、专用材料及一般设备购置费、办公用房水电费、办公用房取暖费、办公用房物业管理费、公务用车运行维护费以及其他费用。</w:t>
      </w:r>
    </w:p>
    <w:p>
      <w:pPr>
        <w:ind w:firstLine="643" w:firstLineChars="200"/>
        <w:rPr>
          <w:rFonts w:ascii="宋体-方正超大字符集" w:hAnsi="宋体-方正超大字符集" w:eastAsia="宋体-方正超大字符集" w:cs="宋体-方正超大字符集"/>
          <w:b/>
          <w:bCs/>
          <w:color w:val="auto"/>
          <w:sz w:val="32"/>
          <w:szCs w:val="32"/>
        </w:rPr>
      </w:pPr>
      <w:r>
        <w:rPr>
          <w:rFonts w:hint="eastAsia" w:ascii="宋体-方正超大字符集" w:hAnsi="宋体-方正超大字符集" w:eastAsia="宋体-方正超大字符集" w:cs="宋体-方正超大字符集"/>
          <w:b/>
          <w:bCs/>
          <w:color w:val="auto"/>
          <w:sz w:val="32"/>
          <w:szCs w:val="32"/>
        </w:rPr>
        <w:t>九、其他需要说明的事项</w:t>
      </w:r>
    </w:p>
    <w:p>
      <w:pPr>
        <w:ind w:firstLine="640" w:firstLineChars="200"/>
        <w:rPr>
          <w:rFonts w:ascii="Times New Roman" w:hAnsi="Times New Roman" w:eastAsia="仿宋" w:cs="Times New Roman"/>
          <w:color w:val="auto"/>
          <w:sz w:val="32"/>
          <w:szCs w:val="32"/>
        </w:rPr>
      </w:pPr>
      <w:r>
        <w:rPr>
          <w:rFonts w:hint="eastAsia" w:ascii="Times New Roman" w:hAnsi="Times New Roman" w:eastAsia="仿宋" w:cs="Times New Roman"/>
          <w:color w:val="auto"/>
          <w:sz w:val="32"/>
          <w:szCs w:val="32"/>
        </w:rPr>
        <w:t>我部门无其他需要说明的事项。</w:t>
      </w: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wiss"/>
    <w:pitch w:val="default"/>
    <w:sig w:usb0="00000000" w:usb1="00000000" w:usb2="00000000" w:usb3="00000000" w:csb0="00040001" w:csb1="00000000"/>
  </w:font>
  <w:font w:name="宋体-方正超大字符集">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id="0">
    <w:p>
      <w:pPr>
        <w:pStyle w:val="5"/>
      </w:pPr>
      <w:r>
        <w:rPr>
          <w:rStyle w:val="10"/>
        </w:rPr>
        <w:sym w:font="Symbol" w:char="F020"/>
      </w:r>
      <w:r>
        <w:rPr>
          <w:rFonts w:hint="eastAsia" w:ascii="方正楷体_GBK" w:eastAsia="方正楷体_GBK"/>
          <w:sz w:val="24"/>
        </w:rPr>
        <w:t>备注：表中的年度预算数为项目支出，部门工作活动虽未安排项目支出，但由基本支出保障，由于基本支出无法拆分到相应的工作活动，因此部分工作活动没有列示年度预算数。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27733F"/>
    <w:rsid w:val="00040FBA"/>
    <w:rsid w:val="0004490B"/>
    <w:rsid w:val="000604DF"/>
    <w:rsid w:val="000B6658"/>
    <w:rsid w:val="0013228E"/>
    <w:rsid w:val="00134034"/>
    <w:rsid w:val="001B0B72"/>
    <w:rsid w:val="0027733F"/>
    <w:rsid w:val="002E4731"/>
    <w:rsid w:val="003277EC"/>
    <w:rsid w:val="00456D84"/>
    <w:rsid w:val="00621DB1"/>
    <w:rsid w:val="00657CF5"/>
    <w:rsid w:val="006D7083"/>
    <w:rsid w:val="007B0F2A"/>
    <w:rsid w:val="008003BA"/>
    <w:rsid w:val="00817B30"/>
    <w:rsid w:val="0085745B"/>
    <w:rsid w:val="008C091D"/>
    <w:rsid w:val="00A91E0C"/>
    <w:rsid w:val="00C326FE"/>
    <w:rsid w:val="00E57005"/>
    <w:rsid w:val="00F171F2"/>
    <w:rsid w:val="00FC112A"/>
    <w:rsid w:val="03321F46"/>
    <w:rsid w:val="141B771F"/>
    <w:rsid w:val="14356479"/>
    <w:rsid w:val="154430C2"/>
    <w:rsid w:val="1EE6543F"/>
    <w:rsid w:val="26445B2D"/>
    <w:rsid w:val="29907CA6"/>
    <w:rsid w:val="42DE4ED4"/>
    <w:rsid w:val="506939B2"/>
    <w:rsid w:val="51610297"/>
    <w:rsid w:val="784256F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黑体"/>
      <w:kern w:val="2"/>
      <w:sz w:val="21"/>
      <w:szCs w:val="22"/>
      <w:lang w:val="en-US" w:eastAsia="zh-CN" w:bidi="ar-SA"/>
    </w:rPr>
  </w:style>
  <w:style w:type="character" w:default="1" w:styleId="8">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rFonts w:ascii="Times New Roman" w:hAnsi="Times New Roman" w:cs="Times New Roman"/>
      <w:sz w:val="18"/>
      <w:szCs w:val="18"/>
    </w:rPr>
  </w:style>
  <w:style w:type="paragraph" w:styleId="3">
    <w:name w:val="header"/>
    <w:basedOn w:val="1"/>
    <w:link w:val="12"/>
    <w:qFormat/>
    <w:uiPriority w:val="0"/>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4">
    <w:name w:val="toc 1"/>
    <w:basedOn w:val="1"/>
    <w:next w:val="1"/>
    <w:qFormat/>
    <w:uiPriority w:val="0"/>
    <w:rPr>
      <w:rFonts w:ascii="Times New Roman" w:hAnsi="Times New Roman" w:cs="Times New Roman"/>
      <w:szCs w:val="24"/>
    </w:rPr>
  </w:style>
  <w:style w:type="paragraph" w:styleId="5">
    <w:name w:val="footnote text"/>
    <w:basedOn w:val="1"/>
    <w:semiHidden/>
    <w:qFormat/>
    <w:uiPriority w:val="0"/>
    <w:pPr>
      <w:snapToGrid w:val="0"/>
      <w:jc w:val="left"/>
    </w:pPr>
    <w:rPr>
      <w:sz w:val="18"/>
      <w:szCs w:val="18"/>
    </w:rPr>
  </w:style>
  <w:style w:type="paragraph" w:styleId="6">
    <w:name w:val="toc 2"/>
    <w:basedOn w:val="1"/>
    <w:next w:val="1"/>
    <w:qFormat/>
    <w:uiPriority w:val="0"/>
    <w:pPr>
      <w:ind w:left="420" w:leftChars="200"/>
    </w:pPr>
    <w:rPr>
      <w:rFonts w:ascii="Times New Roman" w:hAnsi="Times New Roman" w:cs="Times New Roman"/>
      <w:szCs w:val="24"/>
    </w:rPr>
  </w:style>
  <w:style w:type="character" w:styleId="9">
    <w:name w:val="page number"/>
    <w:basedOn w:val="8"/>
    <w:qFormat/>
    <w:uiPriority w:val="0"/>
  </w:style>
  <w:style w:type="character" w:styleId="10">
    <w:name w:val="footnote reference"/>
    <w:basedOn w:val="8"/>
    <w:semiHidden/>
    <w:qFormat/>
    <w:uiPriority w:val="0"/>
    <w:rPr>
      <w:vertAlign w:val="superscript"/>
    </w:rPr>
  </w:style>
  <w:style w:type="character" w:customStyle="1" w:styleId="11">
    <w:name w:val="页脚 Char"/>
    <w:link w:val="2"/>
    <w:semiHidden/>
    <w:uiPriority w:val="0"/>
    <w:rPr>
      <w:rFonts w:ascii="Times New Roman" w:hAnsi="Times New Roman" w:eastAsia="宋体" w:cs="Times New Roman"/>
      <w:sz w:val="18"/>
      <w:szCs w:val="18"/>
    </w:rPr>
  </w:style>
  <w:style w:type="character" w:customStyle="1" w:styleId="12">
    <w:name w:val="页眉 Char"/>
    <w:link w:val="3"/>
    <w:semiHidden/>
    <w:qFormat/>
    <w:uiPriority w:val="0"/>
    <w:rPr>
      <w:rFonts w:ascii="Times New Roman" w:hAnsi="Times New Roman" w:eastAsia="宋体" w:cs="Times New Roman"/>
      <w:sz w:val="18"/>
      <w:szCs w:val="18"/>
    </w:rPr>
  </w:style>
  <w:style w:type="paragraph" w:customStyle="1" w:styleId="13">
    <w:name w:val="Char"/>
    <w:basedOn w:val="1"/>
    <w:qFormat/>
    <w:uiPriority w:val="0"/>
    <w:rPr>
      <w:rFonts w:ascii="Times New Roman" w:hAnsi="Times New Roman"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29</Pages>
  <Words>2657</Words>
  <Characters>15150</Characters>
  <Lines>126</Lines>
  <Paragraphs>35</Paragraphs>
  <TotalTime>0</TotalTime>
  <ScaleCrop>false</ScaleCrop>
  <LinksUpToDate>false</LinksUpToDate>
  <CharactersWithSpaces>17772</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2018-08-10T10:24:00Z</dcterms:created>
  <dc:creator>guest</dc:creator>
  <cp:lastModifiedBy>6665</cp:lastModifiedBy>
  <cp:lastPrinted>2017-02-09T01:57:00Z</cp:lastPrinted>
  <dcterms:modified xsi:type="dcterms:W3CDTF">2025-02-07T09:37:37Z</dcterms:modified>
  <dc:title>Administrator</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