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180" w:lineRule="exact"/>
        <w:rPr>
          <w:sz w:val="19"/>
          <w:szCs w:val="19"/>
          <w:lang w:eastAsia="zh-CN"/>
        </w:rPr>
      </w:pPr>
      <w:bookmarkStart w:id="0" w:name="_GoBack"/>
      <w:bookmarkEnd w:id="0"/>
    </w:p>
    <w:p>
      <w:pPr>
        <w:jc w:val="center"/>
        <w:rPr>
          <w:rFonts w:ascii="宋体" w:hAnsi="宋体"/>
          <w:b/>
          <w:sz w:val="44"/>
          <w:szCs w:val="44"/>
          <w:lang w:eastAsia="zh-CN"/>
        </w:rPr>
      </w:pPr>
      <w:r>
        <w:rPr>
          <w:rFonts w:hint="eastAsia" w:ascii="宋体" w:hAnsi="宋体"/>
          <w:b/>
          <w:sz w:val="44"/>
          <w:szCs w:val="44"/>
          <w:lang w:eastAsia="zh-CN"/>
        </w:rPr>
        <w:t>曲阳县司法局</w:t>
      </w:r>
    </w:p>
    <w:p>
      <w:pPr>
        <w:jc w:val="center"/>
        <w:rPr>
          <w:rFonts w:ascii="宋体" w:hAnsi="宋体"/>
          <w:b/>
          <w:sz w:val="44"/>
          <w:szCs w:val="44"/>
          <w:lang w:eastAsia="zh-CN"/>
        </w:rPr>
      </w:pPr>
      <w:r>
        <w:rPr>
          <w:rFonts w:hint="eastAsia" w:ascii="宋体" w:hAnsi="宋体"/>
          <w:b/>
          <w:sz w:val="44"/>
          <w:szCs w:val="44"/>
          <w:lang w:eastAsia="zh-CN"/>
        </w:rPr>
        <w:t>2018年部门预算信息公开</w:t>
      </w:r>
    </w:p>
    <w:p>
      <w:pPr>
        <w:spacing w:line="520" w:lineRule="exact"/>
        <w:ind w:firstLine="640" w:firstLineChars="200"/>
        <w:rPr>
          <w:rFonts w:ascii="仿宋" w:hAnsi="仿宋" w:eastAsia="仿宋" w:cs="仿宋_GB2312"/>
          <w:sz w:val="32"/>
          <w:szCs w:val="32"/>
          <w:lang w:eastAsia="zh-CN"/>
        </w:rPr>
      </w:pPr>
    </w:p>
    <w:p>
      <w:pPr>
        <w:spacing w:line="52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按照《中华人民共和国预算法》规定，现将曲阳县司法局2018年部门预算公开如下：</w:t>
      </w:r>
    </w:p>
    <w:p>
      <w:pPr>
        <w:spacing w:line="520" w:lineRule="exact"/>
        <w:rPr>
          <w:rFonts w:ascii="黑体" w:hAnsi="黑体" w:eastAsia="黑体"/>
          <w:sz w:val="32"/>
          <w:szCs w:val="32"/>
          <w:lang w:eastAsia="zh-CN"/>
        </w:rPr>
      </w:pPr>
    </w:p>
    <w:p>
      <w:pPr>
        <w:spacing w:line="520" w:lineRule="exact"/>
        <w:ind w:firstLine="640" w:firstLineChars="200"/>
        <w:jc w:val="center"/>
        <w:rPr>
          <w:rFonts w:ascii="黑体" w:hAnsi="黑体" w:eastAsia="黑体"/>
          <w:sz w:val="32"/>
          <w:szCs w:val="32"/>
          <w:lang w:eastAsia="zh-CN"/>
        </w:rPr>
      </w:pPr>
      <w:r>
        <w:rPr>
          <w:rFonts w:hint="eastAsia" w:ascii="黑体" w:hAnsi="黑体" w:eastAsia="黑体"/>
          <w:sz w:val="32"/>
          <w:szCs w:val="32"/>
          <w:lang w:eastAsia="zh-CN"/>
        </w:rPr>
        <w:t>第一部分:部门职责及机构设置情况</w:t>
      </w:r>
    </w:p>
    <w:p>
      <w:pPr>
        <w:spacing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一、部门职责</w:t>
      </w:r>
    </w:p>
    <w:p>
      <w:pPr>
        <w:pStyle w:val="31"/>
        <w:widowControl/>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根据曲阳县人民政府办公室《关于印发曲阳县司法局主要职责内设机构和人员编制规定的通知》（(2011)曲府办字140号），现将我局部门概况说明如下：</w:t>
      </w:r>
    </w:p>
    <w:p>
      <w:pPr>
        <w:spacing w:before="2" w:line="140" w:lineRule="exact"/>
        <w:rPr>
          <w:sz w:val="14"/>
          <w:szCs w:val="14"/>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20"/>
        <w:rPr>
          <w:rFonts w:ascii="仿宋" w:hAnsi="仿宋" w:eastAsia="仿宋"/>
          <w:sz w:val="32"/>
          <w:szCs w:val="32"/>
          <w:lang w:eastAsia="zh-CN"/>
        </w:rPr>
      </w:pPr>
      <w:r>
        <w:rPr>
          <w:rFonts w:hint="eastAsia" w:ascii="仿宋" w:hAnsi="仿宋" w:eastAsia="仿宋"/>
          <w:sz w:val="32"/>
          <w:szCs w:val="32"/>
          <w:lang w:eastAsia="zh-CN"/>
        </w:rPr>
        <w:t>（一）贯彻落实国家司法行政工作方针政策；拟定或参与拟定有关地方性法规草案；编制全县司法行政工作中长期规划和年度工作要点，并监督实施。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（二）制定全县法制宣传和普及法律常识规划并组织实施；指导各行业依法治理工作和法制宣传工作。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（三）指导管理律师机构、律师、法律顾问、法律援助工作。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（四）指导管理公证机构、公证员及公证业务活动。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（五）指导管理全县人民调解工作和司法助理员、基层司法所、基层法律服务工作；指导管理全县社会法律服务机构和法律服务市场；指导管理“</w:t>
      </w:r>
      <w:r>
        <w:rPr>
          <w:rFonts w:ascii="仿宋" w:hAnsi="仿宋" w:eastAsia="仿宋"/>
          <w:sz w:val="32"/>
          <w:szCs w:val="32"/>
          <w:lang w:eastAsia="zh-CN"/>
        </w:rPr>
        <w:t>12348</w:t>
      </w:r>
      <w:r>
        <w:rPr>
          <w:rFonts w:hint="eastAsia" w:ascii="仿宋" w:hAnsi="仿宋" w:eastAsia="仿宋"/>
          <w:sz w:val="32"/>
          <w:szCs w:val="32"/>
          <w:lang w:eastAsia="zh-CN"/>
        </w:rPr>
        <w:t>”法律服务专线工作。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（六）管理司法鉴定机构，指导监督司法鉴定工作。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（七）指导管理全县司法行政系统计划财务和服装、车辆等物资装备工作；负责内部审计监督工作。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（八）指导管理全县法学教育工作；负责对全县司法行政干警和司法助理员的岗位培训工作；负责组织全县的国家司法考试。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（九）指导全县司法行政系统队伍建设和思想政治工作；按有关规定管理局机关及下属单位的人事工作。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（十）协调指导有关部门开展安置帮教工作。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sz w:val="32"/>
          <w:szCs w:val="32"/>
          <w:lang w:eastAsia="zh-CN"/>
        </w:rPr>
      </w:pPr>
      <w:r>
        <w:rPr>
          <w:rFonts w:ascii="仿宋" w:hAnsi="仿宋" w:eastAsia="仿宋"/>
          <w:sz w:val="32"/>
          <w:szCs w:val="32"/>
          <w:lang w:eastAsia="zh-CN"/>
        </w:rPr>
        <w:t xml:space="preserve">  </w:t>
      </w:r>
      <w:r>
        <w:rPr>
          <w:rFonts w:hint="eastAsia" w:ascii="仿宋" w:hAnsi="仿宋" w:eastAsia="仿宋"/>
          <w:sz w:val="32"/>
          <w:szCs w:val="32"/>
          <w:lang w:eastAsia="zh-CN"/>
        </w:rPr>
        <w:t>（十一）承办县政府交办的其他事项。</w:t>
      </w:r>
    </w:p>
    <w:p>
      <w:pPr>
        <w:spacing w:line="360" w:lineRule="auto"/>
        <w:ind w:left="764"/>
        <w:outlineLvl w:val="0"/>
        <w:rPr>
          <w:rFonts w:ascii="仿宋" w:hAnsi="仿宋" w:eastAsia="仿宋" w:cs="宋体"/>
          <w:b/>
          <w:spacing w:val="2"/>
          <w:sz w:val="32"/>
          <w:szCs w:val="32"/>
          <w:lang w:eastAsia="zh-CN"/>
        </w:rPr>
      </w:pPr>
      <w:r>
        <w:rPr>
          <w:rFonts w:hint="eastAsia" w:ascii="仿宋" w:hAnsi="仿宋" w:eastAsia="仿宋" w:cs="宋体"/>
          <w:b/>
          <w:spacing w:val="2"/>
          <w:sz w:val="32"/>
          <w:szCs w:val="32"/>
          <w:lang w:eastAsia="zh-CN"/>
        </w:rPr>
        <w:t>二、机构设置</w:t>
      </w:r>
    </w:p>
    <w:tbl>
      <w:tblPr>
        <w:tblStyle w:val="15"/>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shd w:val="clear" w:color="auto" w:fill="auto"/>
            <w:vAlign w:val="center"/>
          </w:tcPr>
          <w:p>
            <w:pPr>
              <w:jc w:val="center"/>
              <w:rPr>
                <w:rFonts w:ascii="宋体" w:hAnsi="宋体" w:cs="宋体"/>
                <w:color w:val="000000"/>
                <w:sz w:val="28"/>
                <w:szCs w:val="28"/>
              </w:rPr>
            </w:pPr>
            <w:r>
              <w:rPr>
                <w:rFonts w:hint="eastAsia" w:ascii="宋体" w:hAnsi="宋体" w:cs="宋体"/>
                <w:color w:val="000000"/>
                <w:sz w:val="28"/>
                <w:szCs w:val="28"/>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单位名称</w:t>
            </w:r>
          </w:p>
        </w:tc>
        <w:tc>
          <w:tcPr>
            <w:tcW w:w="212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单位性质</w:t>
            </w:r>
          </w:p>
        </w:tc>
        <w:tc>
          <w:tcPr>
            <w:tcW w:w="190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单位规格</w:t>
            </w:r>
          </w:p>
        </w:tc>
        <w:tc>
          <w:tcPr>
            <w:tcW w:w="237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经费保障形式</w:t>
            </w:r>
          </w:p>
        </w:tc>
      </w:tr>
      <w:tr>
        <w:tblPrEx>
          <w:tblLayout w:type="fixed"/>
          <w:tblCellMar>
            <w:top w:w="0" w:type="dxa"/>
            <w:left w:w="108" w:type="dxa"/>
            <w:bottom w:w="0" w:type="dxa"/>
            <w:right w:w="108" w:type="dxa"/>
          </w:tblCellMar>
        </w:tblPrEx>
        <w:trPr>
          <w:trHeight w:val="311"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23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lang w:eastAsia="zh-CN"/>
              </w:rPr>
            </w:pPr>
            <w:r>
              <w:rPr>
                <w:rFonts w:hint="eastAsia" w:ascii="宋体" w:hAnsi="宋体" w:cs="宋体"/>
                <w:color w:val="000000"/>
                <w:sz w:val="24"/>
                <w:szCs w:val="24"/>
                <w:lang w:eastAsia="zh-CN"/>
              </w:rPr>
              <w:t>曲阳县司法局</w:t>
            </w:r>
          </w:p>
        </w:tc>
        <w:tc>
          <w:tcPr>
            <w:tcW w:w="21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行政</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lang w:eastAsia="zh-CN"/>
              </w:rPr>
              <w:t>正科</w:t>
            </w:r>
            <w:r>
              <w:rPr>
                <w:rFonts w:hint="eastAsia" w:ascii="宋体" w:hAnsi="宋体" w:cs="宋体"/>
                <w:color w:val="000000"/>
                <w:sz w:val="24"/>
                <w:szCs w:val="24"/>
              </w:rPr>
              <w:t>级</w:t>
            </w:r>
          </w:p>
        </w:tc>
        <w:tc>
          <w:tcPr>
            <w:tcW w:w="23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财政拨款</w:t>
            </w:r>
          </w:p>
        </w:tc>
      </w:tr>
    </w:tbl>
    <w:p>
      <w:pPr>
        <w:spacing w:line="360" w:lineRule="auto"/>
        <w:ind w:left="764"/>
        <w:outlineLvl w:val="0"/>
        <w:rPr>
          <w:rFonts w:ascii="仿宋" w:hAnsi="仿宋" w:eastAsia="仿宋"/>
          <w:b/>
          <w:sz w:val="32"/>
          <w:szCs w:val="32"/>
          <w:lang w:eastAsia="zh-CN"/>
        </w:rPr>
      </w:pPr>
    </w:p>
    <w:p>
      <w:pPr>
        <w:jc w:val="center"/>
        <w:outlineLvl w:val="0"/>
        <w:rPr>
          <w:rFonts w:ascii="仿宋" w:hAnsi="仿宋" w:eastAsia="仿宋" w:cs="宋体"/>
          <w:sz w:val="32"/>
          <w:szCs w:val="32"/>
          <w:lang w:eastAsia="zh-CN"/>
        </w:rPr>
      </w:pPr>
    </w:p>
    <w:p>
      <w:pPr>
        <w:jc w:val="center"/>
        <w:outlineLvl w:val="0"/>
        <w:rPr>
          <w:rFonts w:ascii="黑体" w:hAnsi="黑体" w:eastAsia="黑体"/>
          <w:b/>
          <w:sz w:val="32"/>
          <w:lang w:eastAsia="zh-CN"/>
        </w:rPr>
      </w:pPr>
      <w:r>
        <w:rPr>
          <w:rFonts w:hint="eastAsia" w:ascii="黑体" w:hAnsi="黑体" w:eastAsia="黑体"/>
          <w:b/>
          <w:sz w:val="32"/>
          <w:lang w:eastAsia="zh-CN"/>
        </w:rPr>
        <w:t>第二部分：绩效预算信息</w:t>
      </w:r>
    </w:p>
    <w:p>
      <w:pPr>
        <w:jc w:val="center"/>
        <w:outlineLvl w:val="0"/>
        <w:rPr>
          <w:rFonts w:ascii="宋体" w:hAnsi="宋体"/>
          <w:lang w:eastAsia="zh-CN"/>
        </w:rPr>
      </w:pPr>
      <w:r>
        <w:rPr>
          <w:rFonts w:ascii="宋体" w:hAnsi="宋体"/>
          <w:lang w:eastAsia="zh-CN"/>
        </w:rPr>
        <w:t xml:space="preserve"> </w:t>
      </w:r>
    </w:p>
    <w:p>
      <w:pPr>
        <w:numPr>
          <w:ilvl w:val="0"/>
          <w:numId w:val="1"/>
        </w:numPr>
        <w:spacing w:line="360" w:lineRule="auto"/>
        <w:ind w:firstLine="643" w:firstLineChars="200"/>
        <w:rPr>
          <w:rFonts w:hint="eastAsia" w:ascii="黑体" w:hAnsi="黑体" w:eastAsia="黑体"/>
          <w:b/>
          <w:sz w:val="32"/>
          <w:szCs w:val="32"/>
          <w:lang w:eastAsia="zh-CN"/>
        </w:rPr>
      </w:pPr>
      <w:r>
        <w:rPr>
          <w:rFonts w:hint="eastAsia" w:ascii="黑体" w:hAnsi="黑体" w:eastAsia="黑体"/>
          <w:b/>
          <w:sz w:val="32"/>
          <w:szCs w:val="32"/>
          <w:lang w:eastAsia="zh-CN"/>
        </w:rPr>
        <w:t>总体绩效目标：</w:t>
      </w:r>
    </w:p>
    <w:p>
      <w:pPr>
        <w:numPr>
          <w:ilvl w:val="0"/>
          <w:numId w:val="0"/>
        </w:numPr>
        <w:spacing w:line="360" w:lineRule="auto"/>
        <w:rPr>
          <w:rFonts w:hint="eastAsia" w:ascii="方正楷体_GBK" w:eastAsia="方正楷体_GBK"/>
          <w:b/>
          <w:sz w:val="32"/>
          <w:szCs w:val="32"/>
          <w:lang w:val="en-US" w:eastAsia="zh-CN"/>
        </w:rPr>
      </w:pPr>
      <w:r>
        <w:rPr>
          <w:rFonts w:hint="eastAsia" w:ascii="黑体" w:hAnsi="黑体" w:eastAsia="黑体"/>
          <w:b/>
          <w:sz w:val="32"/>
          <w:szCs w:val="32"/>
          <w:lang w:val="en-US" w:eastAsia="zh-CN"/>
        </w:rPr>
        <w:t xml:space="preserve">   </w:t>
      </w:r>
      <w:r>
        <w:rPr>
          <w:rFonts w:hint="eastAsia" w:ascii="方正楷体_GBK" w:eastAsia="方正楷体_GBK"/>
          <w:b/>
          <w:sz w:val="32"/>
          <w:szCs w:val="32"/>
          <w:lang w:val="en-US" w:eastAsia="zh-CN"/>
        </w:rPr>
        <w:t xml:space="preserve"> 发展规划目标：</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曲阳县司法局负责贯彻执行党和国家关于制定全县司法行政工作中长期规划和年度工作要点，并监督实施。指导全县司法行政系统队伍建设和思想政治工作。制定全县法制宣传、普及法律常识规划并组织实施，指导检查全县各部门、各行业依法治理工作和法制宣传工作。指导管理全县律师机构、律师、法律顾问工作和公证机构、公证员冀公证业务活动。负责全县法律援助工作，指导管理“12348”法律服务专线工作。指导管理全县人民调解工作、基层司法所建设和基层法律服务工作。组织指导对全县刑满释放人员和解除劳动教养人员的安置帮教工作；组织指导全县四类社区矫正人员的社区矫正工作。负责全县司法行政系统的法制化、规范化建设；管理全县司法医学鉴定机构，指导监督全县司法医学鉴定工作。</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根据司法局以上职责制定本年度发展目标：</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1、推进法制宣传教育。深化领导干部、公务员学法用法，深化青少年法制宣传教育、企业法制教育和农村普法，使受教育面达到100%，努力形成法制教育新格局。</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2、强化人民调解的组织建设和民间矛盾的排查化解工作全面推出社区矫正和安置帮教工作。</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3、提高法律服务水平，实现法律服务质和量双层突破。</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4、加强司法行政队伍建设，提高队伍的整体素质。</w:t>
      </w:r>
    </w:p>
    <w:p>
      <w:pPr>
        <w:spacing w:line="360" w:lineRule="auto"/>
        <w:ind w:firstLine="643" w:firstLineChars="200"/>
        <w:rPr>
          <w:rFonts w:ascii="方正楷体_GBK" w:eastAsia="方正楷体_GBK"/>
          <w:b/>
          <w:sz w:val="32"/>
          <w:szCs w:val="32"/>
          <w:lang w:eastAsia="zh-CN"/>
        </w:rPr>
      </w:pPr>
      <w:r>
        <w:rPr>
          <w:rFonts w:hint="eastAsia" w:ascii="方正楷体_GBK" w:eastAsia="方正楷体_GBK"/>
          <w:b/>
          <w:sz w:val="32"/>
          <w:szCs w:val="32"/>
          <w:lang w:eastAsia="zh-CN"/>
        </w:rPr>
        <w:t>职责分类绩效目标：</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2018年曲阳县司法局将进一步围绕全县中心工作和县委重要部署，进行法制宣传教育活动；指导管理全县律师机构、律师、法律顾问工作和公证机构、公证员及公证业务活动；负责全县法律援助工作；指导管理全县人民调解工作、基层司法所建设和基层法律服务工作；组织指导全县四类社区矫正人员的社区矫正工作。</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(一)司法行政管理工作</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1、开展普法宣传活动。2018年将根据“七五”普法规划制定本年度全县法制宣传、普及法律常识规划并组织实施，组织主题宣传活动，出动宣传车，发放各类明白纸，通过活动的开展，使宣传面达到100%，努力形成法制教育新格局。</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 xml:space="preserve">   2、开展基层司法工作。2018年计划加强对社区矫正人员监督管理工作，定期开展培训，组织公益劳动，全面掌握社区矫正人员的详细资料和动态，保障社区矫正对象顺利回归社会，降低重新犯罪率。提高人民调解员的工作积极性，加大村级矛盾纠纷排查，把矛盾纠纷化解在基层，避免引起不必要的上访和不稳定因素。加强对村居法律顾问的定期考核制度，法律顾问到村不少于12次，保障各法律顾问充分发挥职能作用，及时做好日常法律咨询工作，普及法律常识，化解社会矛盾，减少纠纷。及时给基层司法所配备自动化设备，保证司法行政系统业务开展。</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3、开展法律援助工作。2018年进一步扩大法律援助覆盖面，制作法律援助宣传品，指定律师办理法律援助案件100件，做到应援尽援，保障困难群众的合法权益；做到法律援助无投诉案件。</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（二）司法政务管理工作</w:t>
      </w:r>
    </w:p>
    <w:p>
      <w:pPr>
        <w:spacing w:line="360" w:lineRule="auto"/>
        <w:ind w:firstLine="561"/>
        <w:rPr>
          <w:rFonts w:ascii="仿宋" w:hAnsi="仿宋" w:eastAsia="仿宋"/>
          <w:sz w:val="32"/>
          <w:szCs w:val="32"/>
          <w:lang w:eastAsia="zh-CN"/>
        </w:rPr>
      </w:pPr>
      <w:r>
        <w:rPr>
          <w:rFonts w:ascii="仿宋" w:hAnsi="仿宋" w:eastAsia="仿宋"/>
          <w:sz w:val="32"/>
          <w:szCs w:val="32"/>
          <w:lang w:eastAsia="zh-CN"/>
        </w:rPr>
        <w:t xml:space="preserve">    办公用房租赁。由于我单位没有办公用房，为方便群众办事，故租用办公用房。</w:t>
      </w:r>
    </w:p>
    <w:p>
      <w:pPr>
        <w:spacing w:line="360" w:lineRule="auto"/>
        <w:rPr>
          <w:rFonts w:asciiTheme="minorEastAsia" w:hAnsiTheme="minorEastAsia" w:eastAsiaTheme="minorEastAsia"/>
          <w:b/>
          <w:sz w:val="32"/>
          <w:szCs w:val="32"/>
          <w:lang w:eastAsia="zh-CN"/>
        </w:rPr>
      </w:pPr>
      <w:r>
        <w:rPr>
          <w:rFonts w:hint="eastAsia" w:ascii="方正黑体_GBK" w:eastAsia="方正黑体_GBK"/>
          <w:sz w:val="28"/>
          <w:lang w:eastAsia="zh-CN"/>
        </w:rPr>
        <w:t xml:space="preserve">   </w:t>
      </w:r>
      <w:r>
        <w:rPr>
          <w:rFonts w:hint="eastAsia" w:asciiTheme="minorEastAsia" w:hAnsiTheme="minorEastAsia" w:eastAsiaTheme="minorEastAsia"/>
          <w:b/>
          <w:sz w:val="28"/>
          <w:lang w:eastAsia="zh-CN"/>
        </w:rPr>
        <w:t xml:space="preserve"> </w:t>
      </w:r>
      <w:r>
        <w:rPr>
          <w:rFonts w:hint="eastAsia" w:asciiTheme="minorEastAsia" w:hAnsiTheme="minorEastAsia" w:eastAsiaTheme="minorEastAsia"/>
          <w:b/>
          <w:sz w:val="32"/>
          <w:szCs w:val="32"/>
          <w:lang w:eastAsia="zh-CN"/>
        </w:rPr>
        <w:t>实现年度发展规划目标的保障措施</w:t>
      </w:r>
    </w:p>
    <w:p>
      <w:pPr>
        <w:spacing w:line="360" w:lineRule="auto"/>
        <w:ind w:firstLine="560"/>
        <w:rPr>
          <w:rFonts w:ascii="仿宋" w:hAnsi="仿宋" w:eastAsia="仿宋"/>
          <w:sz w:val="32"/>
          <w:szCs w:val="32"/>
          <w:lang w:eastAsia="zh-CN"/>
        </w:rPr>
      </w:pPr>
      <w:r>
        <w:rPr>
          <w:rFonts w:ascii="仿宋" w:hAnsi="仿宋" w:eastAsia="仿宋"/>
          <w:sz w:val="32"/>
          <w:szCs w:val="32"/>
          <w:lang w:eastAsia="zh-CN"/>
        </w:rPr>
        <w:t>2018年曲阳县司法局为很好的开展普法、律师公证、基层司法、法律援助等业务，确保各项业务能顺利完成绩效目标，根据业务特点制定了一系列保障措施。具体措施如下：</w:t>
      </w:r>
    </w:p>
    <w:p>
      <w:pPr>
        <w:spacing w:line="360" w:lineRule="auto"/>
        <w:ind w:firstLine="560"/>
        <w:rPr>
          <w:rFonts w:ascii="仿宋" w:hAnsi="仿宋" w:eastAsia="仿宋"/>
          <w:sz w:val="32"/>
          <w:szCs w:val="32"/>
          <w:lang w:eastAsia="zh-CN"/>
        </w:rPr>
      </w:pPr>
      <w:r>
        <w:rPr>
          <w:rFonts w:ascii="仿宋" w:hAnsi="仿宋" w:eastAsia="仿宋"/>
          <w:sz w:val="32"/>
          <w:szCs w:val="32"/>
          <w:lang w:eastAsia="zh-CN"/>
        </w:rPr>
        <w:t>一、开展普法宣传工作。拟定全县法制宣传教育规划并组织实施；领导干部和公务员法律考试每年1次，培训不少于4次；组织主题宣传活动3次，发放明白纸不少于1.3万册，出动宣传车不少于50次。</w:t>
      </w:r>
    </w:p>
    <w:p>
      <w:pPr>
        <w:spacing w:line="360" w:lineRule="auto"/>
        <w:ind w:firstLine="560"/>
        <w:rPr>
          <w:rFonts w:ascii="仿宋" w:hAnsi="仿宋" w:eastAsia="仿宋"/>
          <w:sz w:val="32"/>
          <w:szCs w:val="32"/>
          <w:lang w:eastAsia="zh-CN"/>
        </w:rPr>
      </w:pPr>
      <w:r>
        <w:rPr>
          <w:rFonts w:ascii="仿宋" w:hAnsi="仿宋" w:eastAsia="仿宋"/>
          <w:sz w:val="32"/>
          <w:szCs w:val="32"/>
          <w:lang w:eastAsia="zh-CN"/>
        </w:rPr>
        <w:t>二、开展律师公证管理工作。充分发挥法律顾问作用，及时做好日常法律咨询工作，普及法律常识，化解矛盾纠纷。</w:t>
      </w:r>
    </w:p>
    <w:p>
      <w:pPr>
        <w:spacing w:line="360" w:lineRule="auto"/>
        <w:ind w:firstLine="560"/>
        <w:rPr>
          <w:rFonts w:ascii="仿宋" w:hAnsi="仿宋" w:eastAsia="仿宋"/>
          <w:sz w:val="32"/>
          <w:szCs w:val="32"/>
          <w:lang w:eastAsia="zh-CN"/>
        </w:rPr>
      </w:pPr>
      <w:r>
        <w:rPr>
          <w:rFonts w:ascii="仿宋" w:hAnsi="仿宋" w:eastAsia="仿宋"/>
          <w:sz w:val="32"/>
          <w:szCs w:val="32"/>
          <w:lang w:eastAsia="zh-CN"/>
        </w:rPr>
        <w:t>三、开展基层司法业务。负责全县社区矫正、人民调解、安置帮教、基层法律服务和基层司法所工作。为保证社区矫正业务工作顺利开展，加强社区矫正对象的监督管理和培训，保障社区矫正对象更好地回归社会，减少社会不安定因素；以案定补案件补助的发放，提高人民调解案件的化解率；保证司法行政系统业务开展，购置业务必备的信息化设备；加强对村居法律顾问进行定期考核，保障各法律顾问充分发挥职能作用，及时做好日常法律咨询工作，普及法律常识，化解社会矛盾，减少纠纷。</w:t>
      </w:r>
    </w:p>
    <w:p>
      <w:pPr>
        <w:spacing w:line="360" w:lineRule="auto"/>
        <w:ind w:firstLine="560"/>
        <w:rPr>
          <w:rFonts w:ascii="仿宋" w:hAnsi="仿宋" w:eastAsia="仿宋"/>
          <w:sz w:val="32"/>
          <w:szCs w:val="32"/>
          <w:lang w:eastAsia="zh-CN"/>
        </w:rPr>
      </w:pPr>
      <w:r>
        <w:rPr>
          <w:rFonts w:ascii="仿宋" w:hAnsi="仿宋" w:eastAsia="仿宋"/>
          <w:sz w:val="32"/>
          <w:szCs w:val="32"/>
          <w:lang w:eastAsia="zh-CN"/>
        </w:rPr>
        <w:t>四、开展法律援助工作。落实法律援助的法律法规和政策的执行；管理县法律援助机构和法律援助从业人员；组织指导全县社会组织和志愿者开展法律援助工作；办理法律援助案件；管理“12348”法律援助专线。</w:t>
      </w:r>
    </w:p>
    <w:p>
      <w:pPr>
        <w:spacing w:line="360" w:lineRule="auto"/>
        <w:ind w:firstLine="560"/>
        <w:rPr>
          <w:rFonts w:ascii="仿宋" w:hAnsi="仿宋" w:eastAsia="仿宋"/>
          <w:sz w:val="32"/>
          <w:szCs w:val="32"/>
          <w:lang w:eastAsia="zh-CN"/>
        </w:rPr>
      </w:pPr>
      <w:r>
        <w:rPr>
          <w:rFonts w:ascii="仿宋" w:hAnsi="仿宋" w:eastAsia="仿宋"/>
          <w:sz w:val="32"/>
          <w:szCs w:val="32"/>
          <w:lang w:eastAsia="zh-CN"/>
        </w:rPr>
        <w:t>五、开展司法医学鉴定工作。拟定全县司法鉴定管理规定和技术规范；完成全县司法鉴定人和司法鉴定机构登记管理工作；负责县级司法鉴定机构的管理工作；开展面向社会的司法鉴定资质管理、质量管理和司法鉴定人继续教育培训。</w:t>
      </w:r>
    </w:p>
    <w:p>
      <w:pPr>
        <w:spacing w:line="360" w:lineRule="auto"/>
        <w:ind w:firstLine="561"/>
        <w:rPr>
          <w:rFonts w:ascii="仿宋" w:hAnsi="仿宋" w:eastAsia="仿宋"/>
          <w:sz w:val="32"/>
          <w:szCs w:val="32"/>
          <w:lang w:eastAsia="zh-CN"/>
        </w:rPr>
        <w:sectPr>
          <w:footerReference r:id="rId3" w:type="default"/>
          <w:type w:val="continuous"/>
          <w:pgSz w:w="11920" w:h="16840"/>
          <w:pgMar w:top="1500" w:right="1680" w:bottom="280" w:left="1680" w:header="0" w:footer="1090" w:gutter="0"/>
          <w:pgNumType w:start="0"/>
          <w:cols w:space="720" w:num="1"/>
        </w:sectPr>
      </w:pPr>
    </w:p>
    <w:p>
      <w:pPr>
        <w:jc w:val="center"/>
        <w:outlineLvl w:val="0"/>
        <w:rPr>
          <w:rFonts w:ascii="黑体" w:hAnsi="黑体" w:eastAsia="黑体"/>
          <w:b/>
          <w:sz w:val="32"/>
          <w:lang w:eastAsia="zh-CN"/>
        </w:rPr>
      </w:pPr>
      <w:r>
        <w:rPr>
          <w:rFonts w:hint="eastAsia" w:ascii="黑体" w:hAnsi="黑体" w:eastAsia="黑体"/>
          <w:sz w:val="32"/>
          <w:szCs w:val="32"/>
          <w:lang w:eastAsia="zh-CN"/>
        </w:rPr>
        <w:t>二、</w:t>
      </w:r>
      <w:r>
        <w:rPr>
          <w:rFonts w:hint="eastAsia" w:ascii="黑体" w:hAnsi="黑体" w:eastAsia="黑体"/>
          <w:b/>
          <w:sz w:val="32"/>
          <w:lang w:eastAsia="zh-CN"/>
        </w:rPr>
        <w:t>部门职责-工作活动绩效目标</w:t>
      </w:r>
    </w:p>
    <w:p>
      <w:pPr>
        <w:spacing w:line="580" w:lineRule="exact"/>
        <w:ind w:left="3255" w:right="3250"/>
        <w:jc w:val="center"/>
        <w:rPr>
          <w:rFonts w:ascii="宋体" w:cs="宋体"/>
          <w:spacing w:val="2"/>
          <w:sz w:val="48"/>
          <w:szCs w:val="48"/>
          <w:lang w:eastAsia="zh-CN"/>
        </w:rPr>
      </w:pPr>
    </w:p>
    <w:tbl>
      <w:tblPr>
        <w:tblStyle w:val="15"/>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315</w:t>
            </w:r>
            <w:r>
              <w:rPr>
                <w:rFonts w:hint="eastAsia" w:ascii="方正小标宋_GBK" w:eastAsia="方正小标宋_GBK"/>
                <w:sz w:val="24"/>
              </w:rPr>
              <w:t>曲阳县司法局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outlineLvl w:val="0"/>
            </w:pPr>
          </w:p>
        </w:tc>
        <w:tc>
          <w:tcPr>
            <w:tcW w:w="127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1417" w:type="dxa"/>
            <w:vMerge w:val="continue"/>
            <w:shd w:val="clear" w:color="auto" w:fill="auto"/>
            <w:vAlign w:val="center"/>
          </w:tcPr>
          <w:p>
            <w:pPr>
              <w:spacing w:line="300" w:lineRule="exac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一、司法行政管理</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163.06</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贯彻落实国家司法行政工作方针政策；拟订有关规章，制定全县司法行政中长期规划并组织实施。</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提升全县司法行政管理水平</w:t>
            </w:r>
          </w:p>
        </w:tc>
        <w:tc>
          <w:tcPr>
            <w:tcW w:w="1417" w:type="dxa"/>
            <w:shd w:val="clear" w:color="auto" w:fill="auto"/>
            <w:vAlign w:val="center"/>
          </w:tcPr>
          <w:p>
            <w:pPr>
              <w:spacing w:line="300" w:lineRule="exact"/>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lang w:eastAsia="zh-CN"/>
              </w:rPr>
              <w:t>　　</w:t>
            </w:r>
            <w:r>
              <w:rPr>
                <w:rFonts w:ascii="方正书宋_GBK" w:eastAsia="方正书宋_GBK"/>
                <w:b/>
              </w:rPr>
              <w:t>1</w:t>
            </w:r>
            <w:r>
              <w:rPr>
                <w:rFonts w:hint="eastAsia" w:ascii="方正书宋_GBK" w:eastAsia="方正书宋_GBK"/>
                <w:b/>
              </w:rPr>
              <w:t>、普法宣传</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18.00</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拟订全县法制宣传教育规划并组织实施；开展全县法制宣传、依法治理工作；开展法制宣传报道；组织全县司法宣传和新闻发布；承担县法制教育领导小组办公室工作。</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提高全县人民法律意识和法律素质，增强法治化管理水平，促进全县民主与法制建设。</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普法考核通过率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网络舆情预警数量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宣传资料印刷册数（册）</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网络舆情分析报告数量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组织主题宣传活动场次</w:t>
            </w:r>
            <w:r>
              <w:rPr>
                <w:rFonts w:ascii="方正书宋_GBK" w:eastAsia="方正书宋_GBK"/>
                <w:lang w:eastAsia="zh-CN"/>
              </w:rPr>
              <w:t>(</w:t>
            </w:r>
            <w:r>
              <w:rPr>
                <w:rFonts w:hint="eastAsia" w:ascii="方正书宋_GBK" w:eastAsia="方正书宋_GBK"/>
                <w:lang w:eastAsia="zh-CN"/>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网络舆情处置率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普法考核覆盖人数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、律师公证管理</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开展律师公证工作并承担相应责任。</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充分发挥法律服务职能，规范律师、公证行业管理。</w:t>
            </w: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提供法律咨询数量（宗）</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年检机构满意率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机构年检率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、基层司法业务</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131.06</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负责全县社区矫正、人民调解、安置帮教、基层法律服务和基层司法所工作；会同人民法院指导人民陪审员工作；指导人民调解员协会工作；承担县安置帮教办公室、县社区矫正办公室的日常工作；</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深化人民调解、社区矫正和安置帮教工作，最大限度降低重新违法犯罪和社会不稳定因素发生率</w:t>
            </w: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人民调解案件数（件）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再犯罪减低率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&lt;0.2%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社区矫正人数（人）</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安置帮教人数（人次）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服刑人员信息核查率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、法律援助</w:t>
            </w:r>
          </w:p>
        </w:tc>
        <w:tc>
          <w:tcPr>
            <w:tcW w:w="1276" w:type="dxa"/>
            <w:vMerge w:val="restart"/>
            <w:shd w:val="clear" w:color="auto" w:fill="auto"/>
            <w:vAlign w:val="center"/>
          </w:tcPr>
          <w:p>
            <w:pPr>
              <w:spacing w:line="300" w:lineRule="exact"/>
              <w:rPr>
                <w:rFonts w:ascii="方正书宋_GBK" w:eastAsia="方正书宋_GBK"/>
              </w:rPr>
            </w:pPr>
            <w:r>
              <w:rPr>
                <w:rFonts w:ascii="方正书宋_GBK" w:eastAsia="方正书宋_GBK"/>
              </w:rPr>
              <w:t>14.00</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落实法律援助的法律法规和政策的执行；规划法律援助事业发展；管理县法律援助机构和法律援助从业人员；组织指导全县社会组织和志愿者开展法律援助工作；办理法律援助案件，政府购买法律援助服务；管理</w:t>
            </w:r>
            <w:r>
              <w:rPr>
                <w:rFonts w:hint="cs" w:ascii="方正书宋_GBK" w:eastAsia="方正书宋_GBK"/>
                <w:lang w:eastAsia="zh-CN"/>
              </w:rPr>
              <w:t>“</w:t>
            </w:r>
            <w:r>
              <w:rPr>
                <w:rFonts w:ascii="方正书宋_GBK" w:eastAsia="方正书宋_GBK"/>
                <w:lang w:eastAsia="zh-CN"/>
              </w:rPr>
              <w:t>12348”</w:t>
            </w:r>
            <w:r>
              <w:rPr>
                <w:rFonts w:hint="eastAsia" w:ascii="方正书宋_GBK" w:eastAsia="方正书宋_GBK"/>
                <w:lang w:eastAsia="zh-CN"/>
              </w:rPr>
              <w:t>法律援助专线；组织实施全县中央专项彩票公益金项目，开展法律援助理论研究等工作。</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扩大法律援助覆盖面，推动全县法律援助工作长足发展。</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法律援助案件办结率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印刷法律援助宣传资料</w:t>
            </w:r>
            <w:r>
              <w:rPr>
                <w:rFonts w:ascii="方正书宋_GBK" w:eastAsia="方正书宋_GBK"/>
                <w:lang w:eastAsia="zh-CN"/>
              </w:rPr>
              <w:t>(</w:t>
            </w:r>
            <w:r>
              <w:rPr>
                <w:rFonts w:hint="eastAsia" w:ascii="方正书宋_GBK" w:eastAsia="方正书宋_GBK"/>
                <w:lang w:eastAsia="zh-CN"/>
              </w:rPr>
              <w:t>册）</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法律援助案件受理数（件）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、司法鉴定</w:t>
            </w:r>
          </w:p>
        </w:tc>
        <w:tc>
          <w:tcPr>
            <w:tcW w:w="1276" w:type="dxa"/>
            <w:vMerge w:val="restart"/>
            <w:shd w:val="clear" w:color="auto" w:fill="auto"/>
            <w:vAlign w:val="center"/>
          </w:tcPr>
          <w:p>
            <w:pPr>
              <w:spacing w:line="300" w:lineRule="exact"/>
              <w:rPr>
                <w:rFonts w:ascii="方正书宋_GBK" w:eastAsia="方正书宋_GBK"/>
              </w:rPr>
            </w:pP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拟定全县司法鉴定管理规定和技术规范；完成全县司法鉴定人和司法鉴定机构登记管理工作；负责县级司法鉴定机构的管理工作；开展面向社会的司法鉴定资质管理、质量管理和司法鉴定人继续教育培训</w:t>
            </w:r>
            <w:r>
              <w:rPr>
                <w:rFonts w:ascii="方正书宋_GBK" w:eastAsia="方正书宋_GBK"/>
                <w:lang w:eastAsia="zh-CN"/>
              </w:rPr>
              <w:t>.</w:t>
            </w:r>
          </w:p>
        </w:tc>
        <w:tc>
          <w:tcPr>
            <w:tcW w:w="2976" w:type="dxa"/>
            <w:vMerge w:val="restart"/>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规范司法鉴定机构和司法鉴定人的管理，提高司法鉴定人员素质，促进司法鉴定的公正、公平。</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司法鉴定人培训人次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rPr>
            </w:pPr>
          </w:p>
        </w:tc>
        <w:tc>
          <w:tcPr>
            <w:tcW w:w="12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2976" w:type="dxa"/>
            <w:vMerge w:val="continue"/>
            <w:shd w:val="clear" w:color="auto" w:fill="auto"/>
            <w:vAlign w:val="center"/>
          </w:tcPr>
          <w:p>
            <w:pPr>
              <w:spacing w:line="300" w:lineRule="exact"/>
              <w:rPr>
                <w:rFonts w:ascii="方正书宋_GBK" w:eastAsia="方正书宋_GBK"/>
              </w:rPr>
            </w:pP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司法鉴定机构年检率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二、司法政务管理</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9.60</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负责机关综合业务管理和机关直属事业单位综合事务管理。</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促进司法系统执法能力全面提升</w:t>
            </w:r>
          </w:p>
        </w:tc>
        <w:tc>
          <w:tcPr>
            <w:tcW w:w="1417" w:type="dxa"/>
            <w:shd w:val="clear" w:color="auto" w:fill="auto"/>
            <w:vAlign w:val="center"/>
          </w:tcPr>
          <w:p>
            <w:pPr>
              <w:spacing w:line="300" w:lineRule="exact"/>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c>
          <w:tcPr>
            <w:tcW w:w="737" w:type="dxa"/>
            <w:shd w:val="clear" w:color="auto" w:fill="auto"/>
            <w:vAlign w:val="center"/>
          </w:tcPr>
          <w:p>
            <w:pPr>
              <w:spacing w:line="300" w:lineRule="exact"/>
              <w:jc w:val="center"/>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lang w:eastAsia="zh-CN"/>
              </w:rPr>
              <w:t>　　</w:t>
            </w:r>
            <w:r>
              <w:rPr>
                <w:rFonts w:ascii="方正书宋_GBK" w:eastAsia="方正书宋_GBK"/>
                <w:b/>
              </w:rPr>
              <w:t>1</w:t>
            </w:r>
            <w:r>
              <w:rPr>
                <w:rFonts w:hint="eastAsia" w:ascii="方正书宋_GBK" w:eastAsia="方正书宋_GBK"/>
                <w:b/>
              </w:rPr>
              <w:t>、司法教育培训</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开展学历教育和政法干警试点生培养</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开展学历教育和政法干警试点生培养</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培训计划完成率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负责系统物资装备管理；指导监督系统计划财务工作及队伍建设；负责系统警务管理和警务督察工作。</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加强纪检审计监督、信息化建设等，促进司法行政系统各项事业健康发展。</w:t>
            </w:r>
          </w:p>
        </w:tc>
        <w:tc>
          <w:tcPr>
            <w:tcW w:w="1417"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、综合政务管理</w:t>
            </w:r>
          </w:p>
        </w:tc>
        <w:tc>
          <w:tcPr>
            <w:tcW w:w="1276" w:type="dxa"/>
            <w:shd w:val="clear" w:color="auto" w:fill="auto"/>
            <w:vAlign w:val="center"/>
          </w:tcPr>
          <w:p>
            <w:pPr>
              <w:spacing w:line="300" w:lineRule="exact"/>
              <w:rPr>
                <w:rFonts w:ascii="方正书宋_GBK" w:eastAsia="方正书宋_GBK"/>
              </w:rPr>
            </w:pPr>
            <w:r>
              <w:rPr>
                <w:rFonts w:ascii="方正书宋_GBK" w:eastAsia="方正书宋_GBK"/>
              </w:rPr>
              <w:t>9.60</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负责机关和直属事业单位经济财务等活动的内部审计监督；承办县政府交办的其他事项。</w:t>
            </w:r>
          </w:p>
        </w:tc>
        <w:tc>
          <w:tcPr>
            <w:tcW w:w="2976" w:type="dxa"/>
            <w:shd w:val="clear" w:color="auto" w:fill="auto"/>
            <w:vAlign w:val="center"/>
          </w:tcPr>
          <w:p>
            <w:pPr>
              <w:spacing w:line="300" w:lineRule="exact"/>
              <w:rPr>
                <w:rFonts w:ascii="方正书宋_GBK" w:eastAsia="方正书宋_GBK"/>
                <w:lang w:eastAsia="zh-CN"/>
              </w:rPr>
            </w:pPr>
            <w:r>
              <w:rPr>
                <w:rFonts w:hint="eastAsia" w:ascii="方正书宋_GBK" w:eastAsia="方正书宋_GBK"/>
                <w:lang w:eastAsia="zh-CN"/>
              </w:rPr>
              <w:t>加强机关后勤保障，确保正常办公环境需要</w:t>
            </w:r>
          </w:p>
        </w:tc>
        <w:tc>
          <w:tcPr>
            <w:tcW w:w="1417" w:type="dxa"/>
            <w:shd w:val="clear" w:color="auto" w:fill="auto"/>
            <w:vAlign w:val="center"/>
          </w:tcPr>
          <w:p>
            <w:pPr>
              <w:spacing w:line="300" w:lineRule="exact"/>
              <w:rPr>
                <w:rFonts w:ascii="方正书宋_GBK" w:eastAsia="方正书宋_GBK"/>
              </w:rPr>
            </w:pPr>
            <w:r>
              <w:rPr>
                <w:rFonts w:hint="eastAsia" w:ascii="方正书宋_GBK" w:eastAsia="方正书宋_GBK"/>
              </w:rPr>
              <w:t>综合事务工作完成率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spacing w:line="580" w:lineRule="exact"/>
        <w:ind w:right="3250"/>
        <w:rPr>
          <w:rFonts w:ascii="宋体" w:cs="宋体"/>
          <w:spacing w:val="2"/>
          <w:sz w:val="48"/>
          <w:szCs w:val="48"/>
          <w:lang w:eastAsia="zh-CN"/>
        </w:rPr>
      </w:pPr>
    </w:p>
    <w:p>
      <w:pPr>
        <w:spacing w:line="580" w:lineRule="exact"/>
        <w:ind w:right="3250"/>
        <w:rPr>
          <w:rFonts w:ascii="宋体" w:cs="宋体"/>
          <w:spacing w:val="2"/>
          <w:sz w:val="48"/>
          <w:szCs w:val="48"/>
          <w:lang w:eastAsia="zh-CN"/>
        </w:rPr>
      </w:pPr>
    </w:p>
    <w:p>
      <w:pPr>
        <w:spacing w:line="580" w:lineRule="exact"/>
        <w:ind w:right="3250"/>
        <w:rPr>
          <w:rFonts w:ascii="宋体" w:cs="宋体"/>
          <w:spacing w:val="2"/>
          <w:sz w:val="48"/>
          <w:szCs w:val="48"/>
          <w:lang w:eastAsia="zh-CN"/>
        </w:rPr>
      </w:pPr>
    </w:p>
    <w:p>
      <w:pPr>
        <w:jc w:val="center"/>
        <w:outlineLvl w:val="0"/>
        <w:rPr>
          <w:rFonts w:ascii="黑体" w:hAnsi="黑体" w:eastAsia="黑体"/>
          <w:sz w:val="32"/>
          <w:szCs w:val="32"/>
          <w:lang w:eastAsia="zh-CN"/>
        </w:rPr>
      </w:pPr>
    </w:p>
    <w:p>
      <w:pPr>
        <w:jc w:val="center"/>
        <w:outlineLvl w:val="0"/>
        <w:rPr>
          <w:rFonts w:ascii="黑体" w:hAnsi="黑体" w:eastAsia="黑体"/>
          <w:sz w:val="32"/>
          <w:szCs w:val="32"/>
          <w:lang w:eastAsia="zh-CN"/>
        </w:rPr>
      </w:pPr>
      <w:r>
        <w:rPr>
          <w:rFonts w:hint="eastAsia" w:ascii="黑体" w:hAnsi="黑体" w:eastAsia="黑体"/>
          <w:sz w:val="32"/>
          <w:szCs w:val="32"/>
          <w:lang w:eastAsia="zh-CN"/>
        </w:rPr>
        <w:t>第三部分：政府采购预算情况</w:t>
      </w:r>
    </w:p>
    <w:p>
      <w:pPr>
        <w:outlineLvl w:val="0"/>
        <w:rPr>
          <w:rFonts w:ascii="仿宋" w:hAnsi="仿宋" w:eastAsia="仿宋"/>
          <w:sz w:val="32"/>
          <w:szCs w:val="32"/>
          <w:lang w:eastAsia="zh-CN"/>
        </w:rPr>
      </w:pPr>
    </w:p>
    <w:p>
      <w:pPr>
        <w:outlineLvl w:val="0"/>
        <w:rPr>
          <w:rFonts w:ascii="仿宋" w:hAnsi="仿宋" w:eastAsia="仿宋"/>
          <w:sz w:val="32"/>
          <w:szCs w:val="32"/>
          <w:lang w:eastAsia="zh-CN"/>
        </w:rPr>
      </w:pPr>
      <w:r>
        <w:rPr>
          <w:rFonts w:hint="eastAsia" w:ascii="仿宋" w:hAnsi="仿宋" w:eastAsia="仿宋"/>
          <w:sz w:val="32"/>
          <w:szCs w:val="32"/>
          <w:lang w:eastAsia="zh-CN"/>
        </w:rPr>
        <w:t>2018年，司法局部门安排采购预算19.8万元。具体内容见下表：</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部门政府采购预算</w:t>
      </w:r>
    </w:p>
    <w:p>
      <w:pPr>
        <w:spacing w:before="2" w:line="260" w:lineRule="exact"/>
        <w:rPr>
          <w:sz w:val="26"/>
          <w:szCs w:val="26"/>
          <w:lang w:eastAsia="zh-CN"/>
        </w:rPr>
      </w:pPr>
    </w:p>
    <w:p>
      <w:pPr>
        <w:spacing w:line="300" w:lineRule="exact"/>
        <w:ind w:left="240" w:right="1390"/>
        <w:rPr>
          <w:rFonts w:ascii="Microsoft JhengHei Light" w:hAnsi="Microsoft JhengHei Light"/>
          <w:color w:val="080000"/>
          <w:lang w:eastAsia="zh-CN"/>
        </w:rPr>
      </w:pPr>
    </w:p>
    <w:tbl>
      <w:tblPr>
        <w:tblStyle w:val="15"/>
        <w:tblW w:w="149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9"/>
        <w:gridCol w:w="1125"/>
        <w:gridCol w:w="997"/>
        <w:gridCol w:w="1009"/>
        <w:gridCol w:w="779"/>
        <w:gridCol w:w="779"/>
        <w:gridCol w:w="869"/>
        <w:gridCol w:w="985"/>
        <w:gridCol w:w="985"/>
        <w:gridCol w:w="985"/>
        <w:gridCol w:w="985"/>
        <w:gridCol w:w="988"/>
        <w:gridCol w:w="988"/>
        <w:gridCol w:w="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06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sz w:val="24"/>
              </w:rPr>
            </w:pPr>
            <w:r>
              <w:rPr>
                <w:rFonts w:ascii="方正小标宋_GBK" w:eastAsia="方正小标宋_GBK"/>
                <w:sz w:val="24"/>
              </w:rPr>
              <w:t>315</w:t>
            </w:r>
            <w:r>
              <w:rPr>
                <w:rFonts w:hint="eastAsia" w:ascii="方正小标宋_GBK" w:eastAsia="方正小标宋_GBK"/>
                <w:sz w:val="24"/>
              </w:rPr>
              <w:t>曲阳县司法局</w:t>
            </w:r>
          </w:p>
        </w:tc>
        <w:tc>
          <w:tcPr>
            <w:tcW w:w="685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634"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9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0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7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7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6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59"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2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97" w:type="dxa"/>
            <w:vMerge w:val="continue"/>
            <w:shd w:val="clear" w:color="auto" w:fill="auto"/>
            <w:vAlign w:val="center"/>
          </w:tcPr>
          <w:p>
            <w:pPr>
              <w:spacing w:line="300" w:lineRule="exact"/>
              <w:outlineLvl w:val="0"/>
            </w:pPr>
          </w:p>
        </w:tc>
        <w:tc>
          <w:tcPr>
            <w:tcW w:w="1009" w:type="dxa"/>
            <w:vMerge w:val="continue"/>
            <w:shd w:val="clear" w:color="auto" w:fill="auto"/>
            <w:vAlign w:val="center"/>
          </w:tcPr>
          <w:p>
            <w:pPr>
              <w:spacing w:line="300" w:lineRule="exact"/>
              <w:outlineLvl w:val="0"/>
            </w:pPr>
          </w:p>
        </w:tc>
        <w:tc>
          <w:tcPr>
            <w:tcW w:w="779" w:type="dxa"/>
            <w:vMerge w:val="continue"/>
            <w:shd w:val="clear" w:color="auto" w:fill="auto"/>
            <w:vAlign w:val="center"/>
          </w:tcPr>
          <w:p>
            <w:pPr>
              <w:spacing w:line="300" w:lineRule="exact"/>
              <w:outlineLvl w:val="0"/>
            </w:pPr>
          </w:p>
        </w:tc>
        <w:tc>
          <w:tcPr>
            <w:tcW w:w="779" w:type="dxa"/>
            <w:vMerge w:val="continue"/>
            <w:shd w:val="clear" w:color="auto" w:fill="auto"/>
            <w:vAlign w:val="center"/>
          </w:tcPr>
          <w:p>
            <w:pPr>
              <w:spacing w:line="300" w:lineRule="exact"/>
              <w:outlineLvl w:val="0"/>
            </w:pPr>
          </w:p>
        </w:tc>
        <w:tc>
          <w:tcPr>
            <w:tcW w:w="869" w:type="dxa"/>
            <w:vMerge w:val="continue"/>
            <w:shd w:val="clear" w:color="auto" w:fill="auto"/>
            <w:vAlign w:val="center"/>
          </w:tcPr>
          <w:p>
            <w:pPr>
              <w:spacing w:line="300" w:lineRule="exact"/>
              <w:outlineLvl w:val="0"/>
            </w:pPr>
          </w:p>
        </w:tc>
        <w:tc>
          <w:tcPr>
            <w:tcW w:w="98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931" w:type="dxa"/>
            <w:gridSpan w:val="5"/>
            <w:shd w:val="clear" w:color="auto" w:fill="auto"/>
            <w:vAlign w:val="center"/>
          </w:tcPr>
          <w:p>
            <w:pPr>
              <w:spacing w:line="300" w:lineRule="exact"/>
              <w:jc w:val="center"/>
              <w:rPr>
                <w:rFonts w:ascii="方正书宋_GBK" w:eastAsia="方正书宋_GBK"/>
                <w:b/>
                <w:lang w:eastAsia="zh-CN"/>
              </w:rPr>
            </w:pPr>
            <w:r>
              <w:rPr>
                <w:rFonts w:hint="eastAsia" w:ascii="方正书宋_GBK" w:eastAsia="方正书宋_GBK"/>
                <w:b/>
                <w:lang w:eastAsia="zh-CN"/>
              </w:rPr>
              <w:t>当年部门预算安排资金</w:t>
            </w:r>
          </w:p>
        </w:tc>
        <w:tc>
          <w:tcPr>
            <w:tcW w:w="94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09" w:type="dxa"/>
            <w:vMerge w:val="continue"/>
            <w:shd w:val="clear" w:color="auto" w:fill="auto"/>
            <w:vAlign w:val="center"/>
          </w:tcPr>
          <w:p>
            <w:pPr>
              <w:spacing w:line="300" w:lineRule="exact"/>
              <w:outlineLvl w:val="0"/>
            </w:pPr>
          </w:p>
        </w:tc>
        <w:tc>
          <w:tcPr>
            <w:tcW w:w="1125" w:type="dxa"/>
            <w:vMerge w:val="continue"/>
            <w:shd w:val="clear" w:color="auto" w:fill="auto"/>
            <w:vAlign w:val="center"/>
          </w:tcPr>
          <w:p>
            <w:pPr>
              <w:spacing w:line="300" w:lineRule="exact"/>
              <w:outlineLvl w:val="0"/>
            </w:pPr>
          </w:p>
        </w:tc>
        <w:tc>
          <w:tcPr>
            <w:tcW w:w="997" w:type="dxa"/>
            <w:vMerge w:val="continue"/>
            <w:shd w:val="clear" w:color="auto" w:fill="auto"/>
            <w:vAlign w:val="center"/>
          </w:tcPr>
          <w:p>
            <w:pPr>
              <w:spacing w:line="300" w:lineRule="exact"/>
              <w:outlineLvl w:val="0"/>
            </w:pPr>
          </w:p>
        </w:tc>
        <w:tc>
          <w:tcPr>
            <w:tcW w:w="1009" w:type="dxa"/>
            <w:vMerge w:val="continue"/>
            <w:shd w:val="clear" w:color="auto" w:fill="auto"/>
            <w:vAlign w:val="center"/>
          </w:tcPr>
          <w:p>
            <w:pPr>
              <w:spacing w:line="300" w:lineRule="exact"/>
              <w:outlineLvl w:val="0"/>
            </w:pPr>
          </w:p>
        </w:tc>
        <w:tc>
          <w:tcPr>
            <w:tcW w:w="779" w:type="dxa"/>
            <w:vMerge w:val="continue"/>
            <w:shd w:val="clear" w:color="auto" w:fill="auto"/>
            <w:vAlign w:val="center"/>
          </w:tcPr>
          <w:p>
            <w:pPr>
              <w:spacing w:line="300" w:lineRule="exact"/>
              <w:outlineLvl w:val="0"/>
            </w:pPr>
          </w:p>
        </w:tc>
        <w:tc>
          <w:tcPr>
            <w:tcW w:w="779" w:type="dxa"/>
            <w:vMerge w:val="continue"/>
            <w:shd w:val="clear" w:color="auto" w:fill="auto"/>
            <w:vAlign w:val="center"/>
          </w:tcPr>
          <w:p>
            <w:pPr>
              <w:spacing w:line="300" w:lineRule="exact"/>
              <w:outlineLvl w:val="0"/>
            </w:pPr>
          </w:p>
        </w:tc>
        <w:tc>
          <w:tcPr>
            <w:tcW w:w="869" w:type="dxa"/>
            <w:vMerge w:val="continue"/>
            <w:shd w:val="clear" w:color="auto" w:fill="auto"/>
            <w:vAlign w:val="center"/>
          </w:tcPr>
          <w:p>
            <w:pPr>
              <w:spacing w:line="300" w:lineRule="exact"/>
              <w:outlineLvl w:val="0"/>
            </w:pPr>
          </w:p>
        </w:tc>
        <w:tc>
          <w:tcPr>
            <w:tcW w:w="985" w:type="dxa"/>
            <w:vMerge w:val="continue"/>
            <w:shd w:val="clear" w:color="auto" w:fill="auto"/>
            <w:vAlign w:val="center"/>
          </w:tcPr>
          <w:p>
            <w:pPr>
              <w:spacing w:line="300" w:lineRule="exact"/>
              <w:outlineLvl w:val="0"/>
            </w:pPr>
          </w:p>
        </w:tc>
        <w:tc>
          <w:tcPr>
            <w:tcW w:w="98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8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8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8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43" w:type="dxa"/>
            <w:vMerge w:val="continue"/>
            <w:shd w:val="clear" w:color="auto" w:fill="auto"/>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25" w:type="dxa"/>
            <w:shd w:val="clear" w:color="auto" w:fill="auto"/>
            <w:vAlign w:val="center"/>
          </w:tcPr>
          <w:p>
            <w:pPr>
              <w:spacing w:line="300" w:lineRule="exact"/>
              <w:jc w:val="right"/>
              <w:rPr>
                <w:rFonts w:ascii="方正书宋_GBK" w:eastAsia="方正书宋_GBK"/>
                <w:b/>
              </w:rPr>
            </w:pPr>
          </w:p>
        </w:tc>
        <w:tc>
          <w:tcPr>
            <w:tcW w:w="997" w:type="dxa"/>
            <w:shd w:val="clear" w:color="auto" w:fill="auto"/>
            <w:vAlign w:val="center"/>
          </w:tcPr>
          <w:p>
            <w:pPr>
              <w:spacing w:line="300" w:lineRule="exact"/>
              <w:rPr>
                <w:rFonts w:ascii="方正书宋_GBK" w:eastAsia="方正书宋_GBK"/>
                <w:b/>
              </w:rPr>
            </w:pPr>
          </w:p>
        </w:tc>
        <w:tc>
          <w:tcPr>
            <w:tcW w:w="1009" w:type="dxa"/>
            <w:shd w:val="clear" w:color="auto" w:fill="auto"/>
            <w:vAlign w:val="center"/>
          </w:tcPr>
          <w:p>
            <w:pPr>
              <w:spacing w:line="300" w:lineRule="exact"/>
              <w:rPr>
                <w:rFonts w:ascii="方正书宋_GBK" w:eastAsia="方正书宋_GBK"/>
                <w:b/>
              </w:rPr>
            </w:pPr>
          </w:p>
        </w:tc>
        <w:tc>
          <w:tcPr>
            <w:tcW w:w="779" w:type="dxa"/>
            <w:shd w:val="clear" w:color="auto" w:fill="auto"/>
            <w:vAlign w:val="center"/>
          </w:tcPr>
          <w:p>
            <w:pPr>
              <w:spacing w:line="300" w:lineRule="exact"/>
              <w:rPr>
                <w:rFonts w:ascii="方正书宋_GBK" w:eastAsia="方正书宋_GBK"/>
                <w:b/>
              </w:rPr>
            </w:pPr>
          </w:p>
        </w:tc>
        <w:tc>
          <w:tcPr>
            <w:tcW w:w="779" w:type="dxa"/>
            <w:shd w:val="clear" w:color="auto" w:fill="auto"/>
            <w:vAlign w:val="center"/>
          </w:tcPr>
          <w:p>
            <w:pPr>
              <w:spacing w:line="300" w:lineRule="exact"/>
              <w:jc w:val="right"/>
              <w:rPr>
                <w:rFonts w:ascii="方正书宋_GBK" w:eastAsia="方正书宋_GBK"/>
                <w:b/>
              </w:rPr>
            </w:pPr>
          </w:p>
        </w:tc>
        <w:tc>
          <w:tcPr>
            <w:tcW w:w="869" w:type="dxa"/>
            <w:shd w:val="clear" w:color="auto" w:fill="auto"/>
            <w:vAlign w:val="center"/>
          </w:tcPr>
          <w:p>
            <w:pPr>
              <w:spacing w:line="300" w:lineRule="exact"/>
              <w:jc w:val="right"/>
              <w:rPr>
                <w:rFonts w:ascii="方正书宋_GBK" w:eastAsia="方正书宋_GBK"/>
                <w:b/>
              </w:rPr>
            </w:pPr>
          </w:p>
        </w:tc>
        <w:tc>
          <w:tcPr>
            <w:tcW w:w="985" w:type="dxa"/>
            <w:shd w:val="clear" w:color="auto" w:fill="auto"/>
            <w:vAlign w:val="center"/>
          </w:tcPr>
          <w:p>
            <w:pPr>
              <w:spacing w:line="300" w:lineRule="exact"/>
              <w:jc w:val="right"/>
              <w:rPr>
                <w:rFonts w:ascii="方正书宋_GBK" w:eastAsia="方正书宋_GBK"/>
                <w:b/>
              </w:rPr>
            </w:pPr>
            <w:r>
              <w:rPr>
                <w:rFonts w:ascii="方正书宋_GBK" w:eastAsia="方正书宋_GBK"/>
                <w:b/>
              </w:rPr>
              <w:t>19.80</w:t>
            </w:r>
          </w:p>
        </w:tc>
        <w:tc>
          <w:tcPr>
            <w:tcW w:w="985" w:type="dxa"/>
            <w:shd w:val="clear" w:color="auto" w:fill="auto"/>
            <w:vAlign w:val="center"/>
          </w:tcPr>
          <w:p>
            <w:pPr>
              <w:spacing w:line="300" w:lineRule="exact"/>
              <w:jc w:val="right"/>
              <w:rPr>
                <w:rFonts w:ascii="方正书宋_GBK" w:eastAsia="方正书宋_GBK"/>
                <w:b/>
              </w:rPr>
            </w:pPr>
            <w:r>
              <w:rPr>
                <w:rFonts w:ascii="方正书宋_GBK" w:eastAsia="方正书宋_GBK"/>
                <w:b/>
              </w:rPr>
              <w:t>19.80</w:t>
            </w:r>
          </w:p>
        </w:tc>
        <w:tc>
          <w:tcPr>
            <w:tcW w:w="985" w:type="dxa"/>
            <w:shd w:val="clear" w:color="auto" w:fill="auto"/>
            <w:vAlign w:val="center"/>
          </w:tcPr>
          <w:p>
            <w:pPr>
              <w:spacing w:line="300" w:lineRule="exact"/>
              <w:jc w:val="right"/>
              <w:rPr>
                <w:rFonts w:ascii="方正书宋_GBK" w:eastAsia="方正书宋_GBK"/>
                <w:b/>
              </w:rPr>
            </w:pPr>
            <w:r>
              <w:rPr>
                <w:rFonts w:ascii="方正书宋_GBK" w:eastAsia="方正书宋_GBK"/>
                <w:b/>
              </w:rPr>
              <w:t>19.80</w:t>
            </w:r>
          </w:p>
        </w:tc>
        <w:tc>
          <w:tcPr>
            <w:tcW w:w="985" w:type="dxa"/>
            <w:shd w:val="clear" w:color="auto" w:fill="auto"/>
            <w:vAlign w:val="center"/>
          </w:tcPr>
          <w:p>
            <w:pPr>
              <w:spacing w:line="300" w:lineRule="exact"/>
              <w:jc w:val="right"/>
              <w:rPr>
                <w:rFonts w:ascii="方正书宋_GBK" w:eastAsia="方正书宋_GBK"/>
                <w:b/>
              </w:rPr>
            </w:pPr>
          </w:p>
        </w:tc>
        <w:tc>
          <w:tcPr>
            <w:tcW w:w="988" w:type="dxa"/>
            <w:shd w:val="clear" w:color="auto" w:fill="auto"/>
            <w:vAlign w:val="center"/>
          </w:tcPr>
          <w:p>
            <w:pPr>
              <w:spacing w:line="300" w:lineRule="exact"/>
              <w:jc w:val="right"/>
              <w:rPr>
                <w:rFonts w:ascii="方正书宋_GBK" w:eastAsia="方正书宋_GBK"/>
                <w:b/>
              </w:rPr>
            </w:pPr>
          </w:p>
        </w:tc>
        <w:tc>
          <w:tcPr>
            <w:tcW w:w="988" w:type="dxa"/>
            <w:shd w:val="clear" w:color="auto" w:fill="auto"/>
            <w:vAlign w:val="center"/>
          </w:tcPr>
          <w:p>
            <w:pPr>
              <w:spacing w:line="300" w:lineRule="exact"/>
              <w:jc w:val="right"/>
              <w:rPr>
                <w:rFonts w:ascii="方正书宋_GBK" w:eastAsia="方正书宋_GBK"/>
                <w:b/>
              </w:rPr>
            </w:pPr>
          </w:p>
        </w:tc>
        <w:tc>
          <w:tcPr>
            <w:tcW w:w="943"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曲阳县司法局小计</w:t>
            </w:r>
          </w:p>
        </w:tc>
        <w:tc>
          <w:tcPr>
            <w:tcW w:w="1125" w:type="dxa"/>
            <w:shd w:val="clear" w:color="auto" w:fill="auto"/>
            <w:vAlign w:val="center"/>
          </w:tcPr>
          <w:p>
            <w:pPr>
              <w:spacing w:line="300" w:lineRule="exact"/>
              <w:jc w:val="right"/>
              <w:rPr>
                <w:rFonts w:ascii="方正书宋_GBK" w:eastAsia="方正书宋_GBK"/>
                <w:b/>
              </w:rPr>
            </w:pPr>
          </w:p>
        </w:tc>
        <w:tc>
          <w:tcPr>
            <w:tcW w:w="997" w:type="dxa"/>
            <w:shd w:val="clear" w:color="auto" w:fill="auto"/>
            <w:vAlign w:val="center"/>
          </w:tcPr>
          <w:p>
            <w:pPr>
              <w:spacing w:line="300" w:lineRule="exact"/>
              <w:rPr>
                <w:rFonts w:ascii="方正书宋_GBK" w:eastAsia="方正书宋_GBK"/>
                <w:b/>
              </w:rPr>
            </w:pPr>
          </w:p>
        </w:tc>
        <w:tc>
          <w:tcPr>
            <w:tcW w:w="1009" w:type="dxa"/>
            <w:shd w:val="clear" w:color="auto" w:fill="auto"/>
            <w:vAlign w:val="center"/>
          </w:tcPr>
          <w:p>
            <w:pPr>
              <w:spacing w:line="300" w:lineRule="exact"/>
              <w:rPr>
                <w:rFonts w:ascii="方正书宋_GBK" w:eastAsia="方正书宋_GBK"/>
                <w:b/>
              </w:rPr>
            </w:pPr>
          </w:p>
        </w:tc>
        <w:tc>
          <w:tcPr>
            <w:tcW w:w="779" w:type="dxa"/>
            <w:shd w:val="clear" w:color="auto" w:fill="auto"/>
            <w:vAlign w:val="center"/>
          </w:tcPr>
          <w:p>
            <w:pPr>
              <w:spacing w:line="300" w:lineRule="exact"/>
              <w:rPr>
                <w:rFonts w:ascii="方正书宋_GBK" w:eastAsia="方正书宋_GBK"/>
                <w:b/>
              </w:rPr>
            </w:pPr>
          </w:p>
        </w:tc>
        <w:tc>
          <w:tcPr>
            <w:tcW w:w="779" w:type="dxa"/>
            <w:shd w:val="clear" w:color="auto" w:fill="auto"/>
            <w:vAlign w:val="center"/>
          </w:tcPr>
          <w:p>
            <w:pPr>
              <w:spacing w:line="300" w:lineRule="exact"/>
              <w:jc w:val="right"/>
              <w:rPr>
                <w:rFonts w:ascii="方正书宋_GBK" w:eastAsia="方正书宋_GBK"/>
                <w:b/>
              </w:rPr>
            </w:pPr>
          </w:p>
        </w:tc>
        <w:tc>
          <w:tcPr>
            <w:tcW w:w="869" w:type="dxa"/>
            <w:shd w:val="clear" w:color="auto" w:fill="auto"/>
            <w:vAlign w:val="center"/>
          </w:tcPr>
          <w:p>
            <w:pPr>
              <w:spacing w:line="300" w:lineRule="exact"/>
              <w:jc w:val="right"/>
              <w:rPr>
                <w:rFonts w:ascii="方正书宋_GBK" w:eastAsia="方正书宋_GBK"/>
                <w:b/>
              </w:rPr>
            </w:pPr>
          </w:p>
        </w:tc>
        <w:tc>
          <w:tcPr>
            <w:tcW w:w="985" w:type="dxa"/>
            <w:shd w:val="clear" w:color="auto" w:fill="auto"/>
            <w:vAlign w:val="center"/>
          </w:tcPr>
          <w:p>
            <w:pPr>
              <w:spacing w:line="300" w:lineRule="exact"/>
              <w:jc w:val="right"/>
              <w:rPr>
                <w:rFonts w:ascii="方正书宋_GBK" w:eastAsia="方正书宋_GBK"/>
                <w:b/>
              </w:rPr>
            </w:pPr>
            <w:r>
              <w:rPr>
                <w:rFonts w:ascii="方正书宋_GBK" w:eastAsia="方正书宋_GBK"/>
                <w:b/>
              </w:rPr>
              <w:t>19.80</w:t>
            </w:r>
          </w:p>
        </w:tc>
        <w:tc>
          <w:tcPr>
            <w:tcW w:w="985" w:type="dxa"/>
            <w:shd w:val="clear" w:color="auto" w:fill="auto"/>
            <w:vAlign w:val="center"/>
          </w:tcPr>
          <w:p>
            <w:pPr>
              <w:spacing w:line="300" w:lineRule="exact"/>
              <w:jc w:val="right"/>
              <w:rPr>
                <w:rFonts w:ascii="方正书宋_GBK" w:eastAsia="方正书宋_GBK"/>
                <w:b/>
              </w:rPr>
            </w:pPr>
            <w:r>
              <w:rPr>
                <w:rFonts w:ascii="方正书宋_GBK" w:eastAsia="方正书宋_GBK"/>
                <w:b/>
              </w:rPr>
              <w:t>19.80</w:t>
            </w:r>
          </w:p>
        </w:tc>
        <w:tc>
          <w:tcPr>
            <w:tcW w:w="985" w:type="dxa"/>
            <w:shd w:val="clear" w:color="auto" w:fill="auto"/>
            <w:vAlign w:val="center"/>
          </w:tcPr>
          <w:p>
            <w:pPr>
              <w:spacing w:line="300" w:lineRule="exact"/>
              <w:jc w:val="right"/>
              <w:rPr>
                <w:rFonts w:ascii="方正书宋_GBK" w:eastAsia="方正书宋_GBK"/>
                <w:b/>
              </w:rPr>
            </w:pPr>
            <w:r>
              <w:rPr>
                <w:rFonts w:ascii="方正书宋_GBK" w:eastAsia="方正书宋_GBK"/>
                <w:b/>
              </w:rPr>
              <w:t>19.80</w:t>
            </w:r>
          </w:p>
        </w:tc>
        <w:tc>
          <w:tcPr>
            <w:tcW w:w="985" w:type="dxa"/>
            <w:shd w:val="clear" w:color="auto" w:fill="auto"/>
            <w:vAlign w:val="center"/>
          </w:tcPr>
          <w:p>
            <w:pPr>
              <w:spacing w:line="300" w:lineRule="exact"/>
              <w:jc w:val="right"/>
              <w:rPr>
                <w:rFonts w:ascii="方正书宋_GBK" w:eastAsia="方正书宋_GBK"/>
                <w:b/>
              </w:rPr>
            </w:pPr>
          </w:p>
        </w:tc>
        <w:tc>
          <w:tcPr>
            <w:tcW w:w="988" w:type="dxa"/>
            <w:shd w:val="clear" w:color="auto" w:fill="auto"/>
            <w:vAlign w:val="center"/>
          </w:tcPr>
          <w:p>
            <w:pPr>
              <w:spacing w:line="300" w:lineRule="exact"/>
              <w:jc w:val="right"/>
              <w:rPr>
                <w:rFonts w:ascii="方正书宋_GBK" w:eastAsia="方正书宋_GBK"/>
                <w:b/>
              </w:rPr>
            </w:pPr>
          </w:p>
        </w:tc>
        <w:tc>
          <w:tcPr>
            <w:tcW w:w="988" w:type="dxa"/>
            <w:shd w:val="clear" w:color="auto" w:fill="auto"/>
            <w:vAlign w:val="center"/>
          </w:tcPr>
          <w:p>
            <w:pPr>
              <w:spacing w:line="300" w:lineRule="exact"/>
              <w:jc w:val="right"/>
              <w:rPr>
                <w:rFonts w:ascii="方正书宋_GBK" w:eastAsia="方正书宋_GBK"/>
                <w:b/>
              </w:rPr>
            </w:pPr>
          </w:p>
        </w:tc>
        <w:tc>
          <w:tcPr>
            <w:tcW w:w="943"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9" w:type="dxa"/>
            <w:shd w:val="clear" w:color="auto" w:fill="auto"/>
            <w:vAlign w:val="center"/>
          </w:tcPr>
          <w:p>
            <w:pPr>
              <w:spacing w:line="300" w:lineRule="exact"/>
              <w:rPr>
                <w:rFonts w:ascii="方正书宋_GBK" w:eastAsia="方正书宋_GBK"/>
              </w:rPr>
            </w:pPr>
            <w:r>
              <w:rPr>
                <w:rFonts w:ascii="方正书宋_GBK" w:eastAsia="方正书宋_GBK"/>
              </w:rPr>
              <w:t>2018</w:t>
            </w:r>
            <w:r>
              <w:rPr>
                <w:rFonts w:hint="eastAsia" w:ascii="方正书宋_GBK" w:eastAsia="方正书宋_GBK"/>
              </w:rPr>
              <w:t>年业务装备经费</w:t>
            </w:r>
          </w:p>
        </w:tc>
        <w:tc>
          <w:tcPr>
            <w:tcW w:w="1125" w:type="dxa"/>
            <w:shd w:val="clear" w:color="auto" w:fill="auto"/>
            <w:vAlign w:val="center"/>
          </w:tcPr>
          <w:p>
            <w:pPr>
              <w:spacing w:line="300" w:lineRule="exact"/>
              <w:jc w:val="right"/>
              <w:rPr>
                <w:rFonts w:ascii="方正书宋_GBK" w:eastAsia="方正书宋_GBK"/>
              </w:rPr>
            </w:pPr>
            <w:r>
              <w:rPr>
                <w:rFonts w:ascii="方正书宋_GBK" w:eastAsia="方正书宋_GBK"/>
              </w:rPr>
              <w:t>19.80</w:t>
            </w:r>
          </w:p>
        </w:tc>
        <w:tc>
          <w:tcPr>
            <w:tcW w:w="997" w:type="dxa"/>
            <w:shd w:val="clear" w:color="auto" w:fill="auto"/>
            <w:vAlign w:val="center"/>
          </w:tcPr>
          <w:p>
            <w:pPr>
              <w:spacing w:line="300" w:lineRule="exact"/>
              <w:rPr>
                <w:rFonts w:ascii="方正书宋_GBK" w:eastAsia="方正书宋_GBK"/>
              </w:rPr>
            </w:pPr>
            <w:r>
              <w:rPr>
                <w:rFonts w:hint="eastAsia" w:ascii="方正书宋_GBK" w:eastAsia="方正书宋_GBK"/>
              </w:rPr>
              <w:t>多功能一体机</w:t>
            </w:r>
          </w:p>
        </w:tc>
        <w:tc>
          <w:tcPr>
            <w:tcW w:w="1009" w:type="dxa"/>
            <w:shd w:val="clear" w:color="auto" w:fill="auto"/>
            <w:vAlign w:val="center"/>
          </w:tcPr>
          <w:p>
            <w:pPr>
              <w:spacing w:line="300" w:lineRule="exact"/>
              <w:rPr>
                <w:rFonts w:ascii="方正书宋_GBK" w:eastAsia="方正书宋_GBK"/>
              </w:rPr>
            </w:pPr>
            <w:r>
              <w:rPr>
                <w:rFonts w:ascii="方正书宋_GBK" w:eastAsia="方正书宋_GBK"/>
              </w:rPr>
              <w:t>A020204</w:t>
            </w:r>
          </w:p>
        </w:tc>
        <w:tc>
          <w:tcPr>
            <w:tcW w:w="779" w:type="dxa"/>
            <w:shd w:val="clear" w:color="auto" w:fill="auto"/>
            <w:vAlign w:val="center"/>
          </w:tcPr>
          <w:p>
            <w:pPr>
              <w:spacing w:line="300" w:lineRule="exact"/>
              <w:rPr>
                <w:rFonts w:ascii="方正书宋_GBK" w:eastAsia="方正书宋_GBK"/>
              </w:rPr>
            </w:pPr>
            <w:r>
              <w:rPr>
                <w:rFonts w:hint="eastAsia" w:ascii="方正书宋_GBK" w:eastAsia="方正书宋_GBK"/>
              </w:rPr>
              <w:t>台</w:t>
            </w:r>
          </w:p>
        </w:tc>
        <w:tc>
          <w:tcPr>
            <w:tcW w:w="779"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869"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985" w:type="dxa"/>
            <w:shd w:val="clear" w:color="auto" w:fill="auto"/>
            <w:vAlign w:val="center"/>
          </w:tcPr>
          <w:p>
            <w:pPr>
              <w:spacing w:line="300" w:lineRule="exact"/>
              <w:jc w:val="right"/>
              <w:rPr>
                <w:rFonts w:ascii="方正书宋_GBK" w:eastAsia="方正书宋_GBK"/>
              </w:rPr>
            </w:pPr>
            <w:r>
              <w:rPr>
                <w:rFonts w:ascii="方正书宋_GBK" w:eastAsia="方正书宋_GBK"/>
              </w:rPr>
              <w:t>12.60</w:t>
            </w:r>
          </w:p>
        </w:tc>
        <w:tc>
          <w:tcPr>
            <w:tcW w:w="985" w:type="dxa"/>
            <w:shd w:val="clear" w:color="auto" w:fill="auto"/>
            <w:vAlign w:val="center"/>
          </w:tcPr>
          <w:p>
            <w:pPr>
              <w:spacing w:line="300" w:lineRule="exact"/>
              <w:jc w:val="right"/>
              <w:rPr>
                <w:rFonts w:ascii="方正书宋_GBK" w:eastAsia="方正书宋_GBK"/>
              </w:rPr>
            </w:pPr>
            <w:r>
              <w:rPr>
                <w:rFonts w:ascii="方正书宋_GBK" w:eastAsia="方正书宋_GBK"/>
              </w:rPr>
              <w:t>12.60</w:t>
            </w:r>
          </w:p>
        </w:tc>
        <w:tc>
          <w:tcPr>
            <w:tcW w:w="985" w:type="dxa"/>
            <w:shd w:val="clear" w:color="auto" w:fill="auto"/>
            <w:vAlign w:val="center"/>
          </w:tcPr>
          <w:p>
            <w:pPr>
              <w:spacing w:line="300" w:lineRule="exact"/>
              <w:jc w:val="right"/>
              <w:rPr>
                <w:rFonts w:ascii="方正书宋_GBK" w:eastAsia="方正书宋_GBK"/>
              </w:rPr>
            </w:pPr>
            <w:r>
              <w:rPr>
                <w:rFonts w:ascii="方正书宋_GBK" w:eastAsia="方正书宋_GBK"/>
              </w:rPr>
              <w:t>12.60</w:t>
            </w:r>
          </w:p>
        </w:tc>
        <w:tc>
          <w:tcPr>
            <w:tcW w:w="985" w:type="dxa"/>
            <w:shd w:val="clear" w:color="auto" w:fill="auto"/>
            <w:vAlign w:val="center"/>
          </w:tcPr>
          <w:p>
            <w:pPr>
              <w:spacing w:line="300" w:lineRule="exact"/>
              <w:jc w:val="right"/>
              <w:rPr>
                <w:rFonts w:ascii="方正书宋_GBK" w:eastAsia="方正书宋_GBK"/>
              </w:rPr>
            </w:pPr>
          </w:p>
        </w:tc>
        <w:tc>
          <w:tcPr>
            <w:tcW w:w="988" w:type="dxa"/>
            <w:shd w:val="clear" w:color="auto" w:fill="auto"/>
            <w:vAlign w:val="center"/>
          </w:tcPr>
          <w:p>
            <w:pPr>
              <w:spacing w:line="300" w:lineRule="exact"/>
              <w:jc w:val="right"/>
              <w:rPr>
                <w:rFonts w:ascii="方正书宋_GBK" w:eastAsia="方正书宋_GBK"/>
              </w:rPr>
            </w:pPr>
          </w:p>
        </w:tc>
        <w:tc>
          <w:tcPr>
            <w:tcW w:w="988"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09" w:type="dxa"/>
            <w:shd w:val="clear" w:color="auto" w:fill="auto"/>
            <w:vAlign w:val="center"/>
          </w:tcPr>
          <w:p>
            <w:pPr>
              <w:spacing w:line="300" w:lineRule="exact"/>
              <w:rPr>
                <w:rFonts w:ascii="方正书宋_GBK" w:eastAsia="方正书宋_GBK"/>
              </w:rPr>
            </w:pPr>
            <w:r>
              <w:rPr>
                <w:rFonts w:ascii="方正书宋_GBK" w:eastAsia="方正书宋_GBK"/>
              </w:rPr>
              <w:t>2018</w:t>
            </w:r>
            <w:r>
              <w:rPr>
                <w:rFonts w:hint="eastAsia" w:ascii="方正书宋_GBK" w:eastAsia="方正书宋_GBK"/>
              </w:rPr>
              <w:t>年业务装备经费</w:t>
            </w:r>
          </w:p>
        </w:tc>
        <w:tc>
          <w:tcPr>
            <w:tcW w:w="1125" w:type="dxa"/>
            <w:shd w:val="clear" w:color="auto" w:fill="auto"/>
            <w:vAlign w:val="center"/>
          </w:tcPr>
          <w:p>
            <w:pPr>
              <w:spacing w:line="300" w:lineRule="exact"/>
              <w:jc w:val="right"/>
              <w:rPr>
                <w:rFonts w:ascii="方正书宋_GBK" w:eastAsia="方正书宋_GBK"/>
              </w:rPr>
            </w:pPr>
            <w:r>
              <w:rPr>
                <w:rFonts w:ascii="方正书宋_GBK" w:eastAsia="方正书宋_GBK"/>
              </w:rPr>
              <w:t>19.80</w:t>
            </w:r>
          </w:p>
        </w:tc>
        <w:tc>
          <w:tcPr>
            <w:tcW w:w="997" w:type="dxa"/>
            <w:shd w:val="clear" w:color="auto" w:fill="auto"/>
            <w:vAlign w:val="center"/>
          </w:tcPr>
          <w:p>
            <w:pPr>
              <w:spacing w:line="300" w:lineRule="exact"/>
              <w:rPr>
                <w:rFonts w:ascii="方正书宋_GBK" w:eastAsia="方正书宋_GBK"/>
              </w:rPr>
            </w:pPr>
            <w:r>
              <w:rPr>
                <w:rFonts w:hint="eastAsia" w:ascii="方正书宋_GBK" w:eastAsia="方正书宋_GBK"/>
              </w:rPr>
              <w:t>计算机设备</w:t>
            </w:r>
          </w:p>
        </w:tc>
        <w:tc>
          <w:tcPr>
            <w:tcW w:w="1009" w:type="dxa"/>
            <w:shd w:val="clear" w:color="auto" w:fill="auto"/>
            <w:vAlign w:val="center"/>
          </w:tcPr>
          <w:p>
            <w:pPr>
              <w:spacing w:line="300" w:lineRule="exact"/>
              <w:rPr>
                <w:rFonts w:ascii="方正书宋_GBK" w:eastAsia="方正书宋_GBK"/>
              </w:rPr>
            </w:pPr>
            <w:r>
              <w:rPr>
                <w:rFonts w:ascii="方正书宋_GBK" w:eastAsia="方正书宋_GBK"/>
              </w:rPr>
              <w:t>A020101</w:t>
            </w:r>
          </w:p>
        </w:tc>
        <w:tc>
          <w:tcPr>
            <w:tcW w:w="779" w:type="dxa"/>
            <w:shd w:val="clear" w:color="auto" w:fill="auto"/>
            <w:vAlign w:val="center"/>
          </w:tcPr>
          <w:p>
            <w:pPr>
              <w:spacing w:line="300" w:lineRule="exact"/>
              <w:rPr>
                <w:rFonts w:ascii="方正书宋_GBK" w:eastAsia="方正书宋_GBK"/>
              </w:rPr>
            </w:pPr>
            <w:r>
              <w:rPr>
                <w:rFonts w:hint="eastAsia" w:ascii="方正书宋_GBK" w:eastAsia="方正书宋_GBK"/>
              </w:rPr>
              <w:t>台</w:t>
            </w:r>
          </w:p>
        </w:tc>
        <w:tc>
          <w:tcPr>
            <w:tcW w:w="779"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869"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85"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985"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985" w:type="dxa"/>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985" w:type="dxa"/>
            <w:shd w:val="clear" w:color="auto" w:fill="auto"/>
            <w:vAlign w:val="center"/>
          </w:tcPr>
          <w:p>
            <w:pPr>
              <w:spacing w:line="300" w:lineRule="exact"/>
              <w:jc w:val="right"/>
              <w:rPr>
                <w:rFonts w:ascii="方正书宋_GBK" w:eastAsia="方正书宋_GBK"/>
              </w:rPr>
            </w:pPr>
          </w:p>
        </w:tc>
        <w:tc>
          <w:tcPr>
            <w:tcW w:w="988" w:type="dxa"/>
            <w:shd w:val="clear" w:color="auto" w:fill="auto"/>
            <w:vAlign w:val="center"/>
          </w:tcPr>
          <w:p>
            <w:pPr>
              <w:spacing w:line="300" w:lineRule="exact"/>
              <w:jc w:val="right"/>
              <w:rPr>
                <w:rFonts w:ascii="方正书宋_GBK" w:eastAsia="方正书宋_GBK"/>
              </w:rPr>
            </w:pPr>
          </w:p>
        </w:tc>
        <w:tc>
          <w:tcPr>
            <w:tcW w:w="988"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r>
    </w:tbl>
    <w:p>
      <w:pPr>
        <w:spacing w:line="620" w:lineRule="exact"/>
        <w:ind w:right="3390"/>
        <w:rPr>
          <w:rFonts w:ascii="宋体" w:cs="宋体"/>
          <w:spacing w:val="2"/>
          <w:sz w:val="48"/>
          <w:szCs w:val="48"/>
          <w:lang w:eastAsia="zh-CN"/>
        </w:rPr>
        <w:sectPr>
          <w:pgSz w:w="16840" w:h="11920" w:orient="landscape"/>
          <w:pgMar w:top="1678" w:right="538" w:bottom="1678" w:left="1134" w:header="0" w:footer="1090" w:gutter="0"/>
          <w:cols w:space="720" w:num="1"/>
        </w:sectPr>
      </w:pPr>
    </w:p>
    <w:p>
      <w:pPr>
        <w:jc w:val="center"/>
        <w:rPr>
          <w:rFonts w:ascii="黑体" w:hAnsi="黑体" w:eastAsia="黑体"/>
          <w:sz w:val="32"/>
          <w:szCs w:val="32"/>
          <w:lang w:eastAsia="zh-CN"/>
        </w:rPr>
      </w:pPr>
      <w:r>
        <w:rPr>
          <w:rFonts w:hint="eastAsia" w:ascii="黑体" w:hAnsi="黑体" w:eastAsia="黑体"/>
          <w:sz w:val="32"/>
          <w:szCs w:val="32"/>
          <w:lang w:eastAsia="zh-CN"/>
        </w:rPr>
        <w:t>第四部分：国有资产信息情况说明</w:t>
      </w:r>
    </w:p>
    <w:p>
      <w:pPr>
        <w:rPr>
          <w:rFonts w:ascii="仿宋" w:hAnsi="仿宋" w:eastAsia="仿宋"/>
          <w:sz w:val="32"/>
          <w:szCs w:val="32"/>
          <w:lang w:eastAsia="zh-CN"/>
        </w:rPr>
      </w:pPr>
      <w:r>
        <w:rPr>
          <w:rFonts w:hint="eastAsia" w:ascii="宋体" w:hAnsi="宋体"/>
          <w:sz w:val="32"/>
          <w:szCs w:val="32"/>
          <w:lang w:eastAsia="zh-CN"/>
        </w:rPr>
        <w:t xml:space="preserve">  </w:t>
      </w:r>
      <w:r>
        <w:rPr>
          <w:rFonts w:ascii="宋体" w:cs="宋体"/>
          <w:spacing w:val="2"/>
          <w:sz w:val="48"/>
          <w:szCs w:val="48"/>
          <w:lang w:eastAsia="zh-CN"/>
        </w:rPr>
        <w:t xml:space="preserve">  </w:t>
      </w:r>
      <w:r>
        <w:rPr>
          <w:rFonts w:ascii="仿宋" w:hAnsi="仿宋" w:eastAsia="仿宋" w:cs="宋体"/>
          <w:spacing w:val="2"/>
          <w:sz w:val="32"/>
          <w:szCs w:val="32"/>
          <w:lang w:eastAsia="zh-CN"/>
        </w:rPr>
        <w:t xml:space="preserve">  </w:t>
      </w:r>
    </w:p>
    <w:p>
      <w:pPr>
        <w:spacing w:line="360" w:lineRule="auto"/>
        <w:ind w:firstLine="648" w:firstLineChars="200"/>
        <w:rPr>
          <w:rFonts w:ascii="仿宋" w:hAnsi="仿宋" w:eastAsia="仿宋"/>
          <w:sz w:val="32"/>
          <w:szCs w:val="32"/>
          <w:lang w:eastAsia="zh-CN"/>
        </w:rPr>
      </w:pPr>
      <w:r>
        <w:rPr>
          <w:rFonts w:hint="eastAsia" w:ascii="仿宋" w:hAnsi="仿宋" w:eastAsia="仿宋" w:cs="宋体"/>
          <w:spacing w:val="2"/>
          <w:sz w:val="32"/>
          <w:szCs w:val="32"/>
          <w:lang w:eastAsia="zh-CN"/>
        </w:rPr>
        <w:t>曲阳县司法局</w:t>
      </w:r>
      <w:r>
        <w:rPr>
          <w:rFonts w:ascii="仿宋" w:hAnsi="仿宋" w:eastAsia="仿宋" w:cs="宋体"/>
          <w:spacing w:val="2"/>
          <w:sz w:val="32"/>
          <w:szCs w:val="32"/>
          <w:lang w:eastAsia="zh-CN"/>
        </w:rPr>
        <w:t>201</w:t>
      </w:r>
      <w:r>
        <w:rPr>
          <w:rFonts w:hint="eastAsia" w:ascii="仿宋" w:hAnsi="仿宋" w:eastAsia="仿宋" w:cs="宋体"/>
          <w:spacing w:val="2"/>
          <w:sz w:val="32"/>
          <w:szCs w:val="32"/>
          <w:lang w:eastAsia="zh-CN"/>
        </w:rPr>
        <w:t>7年末国有资产</w:t>
      </w:r>
      <w:r>
        <w:rPr>
          <w:rFonts w:hint="eastAsia" w:ascii="仿宋" w:hAnsi="仿宋" w:eastAsia="仿宋" w:cs="宋体"/>
          <w:spacing w:val="2"/>
          <w:sz w:val="32"/>
          <w:szCs w:val="32"/>
          <w:lang w:val="en-US" w:eastAsia="zh-CN"/>
        </w:rPr>
        <w:t>248.18</w:t>
      </w:r>
      <w:r>
        <w:rPr>
          <w:rFonts w:hint="eastAsia" w:ascii="仿宋" w:hAnsi="仿宋" w:eastAsia="仿宋" w:cs="宋体"/>
          <w:spacing w:val="2"/>
          <w:sz w:val="32"/>
          <w:szCs w:val="32"/>
          <w:lang w:eastAsia="zh-CN"/>
        </w:rPr>
        <w:t>万元,其中固定资产</w:t>
      </w:r>
      <w:r>
        <w:rPr>
          <w:rFonts w:hint="eastAsia" w:ascii="仿宋" w:hAnsi="仿宋" w:eastAsia="仿宋" w:cs="宋体"/>
          <w:spacing w:val="2"/>
          <w:sz w:val="32"/>
          <w:szCs w:val="32"/>
          <w:lang w:val="en-US" w:eastAsia="zh-CN"/>
        </w:rPr>
        <w:t>240.68万元。</w:t>
      </w:r>
      <w:r>
        <w:rPr>
          <w:rFonts w:ascii="仿宋" w:hAnsi="仿宋" w:eastAsia="仿宋" w:cs="宋体"/>
          <w:spacing w:val="2"/>
          <w:sz w:val="32"/>
          <w:szCs w:val="32"/>
          <w:lang w:eastAsia="zh-CN"/>
        </w:rPr>
        <w:t>201</w:t>
      </w:r>
      <w:r>
        <w:rPr>
          <w:rFonts w:hint="eastAsia" w:ascii="仿宋" w:hAnsi="仿宋" w:eastAsia="仿宋" w:cs="宋体"/>
          <w:spacing w:val="2"/>
          <w:sz w:val="32"/>
          <w:szCs w:val="32"/>
          <w:lang w:eastAsia="zh-CN"/>
        </w:rPr>
        <w:t>8年拟购置固定资产19.8万元,</w:t>
      </w:r>
      <w:r>
        <w:rPr>
          <w:rFonts w:hint="eastAsia" w:ascii="仿宋" w:hAnsi="仿宋" w:eastAsia="仿宋"/>
          <w:sz w:val="32"/>
          <w:szCs w:val="32"/>
          <w:lang w:eastAsia="zh-CN"/>
        </w:rPr>
        <w:t>主要为司法所业务用多功能一体机、笔记本电脑，已列入政府采购预算，详见政府采购预算表。</w:t>
      </w:r>
    </w:p>
    <w:tbl>
      <w:tblPr>
        <w:tblStyle w:val="15"/>
        <w:tblW w:w="8804" w:type="dxa"/>
        <w:tblInd w:w="93"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shd w:val="clear" w:color="auto" w:fill="auto"/>
            <w:vAlign w:val="center"/>
          </w:tcPr>
          <w:p>
            <w:pPr>
              <w:jc w:val="center"/>
              <w:rPr>
                <w:rFonts w:ascii="宋体" w:hAnsi="宋体" w:cs="宋体"/>
                <w:color w:val="000000"/>
                <w:sz w:val="28"/>
                <w:szCs w:val="28"/>
                <w:lang w:eastAsia="zh-CN"/>
              </w:rPr>
            </w:pPr>
            <w:r>
              <w:rPr>
                <w:rFonts w:hint="eastAsia" w:ascii="仿宋" w:hAnsi="仿宋" w:eastAsia="仿宋"/>
                <w:sz w:val="32"/>
                <w:szCs w:val="32"/>
                <w:lang w:eastAsia="zh-CN"/>
              </w:rPr>
              <w:t>曲阳县司法局固定资产占用情况表</w:t>
            </w:r>
          </w:p>
        </w:tc>
      </w:tr>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shd w:val="clear" w:color="auto" w:fill="auto"/>
            <w:vAlign w:val="center"/>
          </w:tcPr>
          <w:p>
            <w:pPr>
              <w:jc w:val="center"/>
              <w:rPr>
                <w:rFonts w:ascii="宋体" w:hAnsi="宋体" w:cs="宋体"/>
                <w:b/>
                <w:color w:val="000000"/>
                <w:sz w:val="28"/>
                <w:szCs w:val="28"/>
              </w:rPr>
            </w:pPr>
            <w:r>
              <w:rPr>
                <w:rFonts w:hint="eastAsia" w:ascii="宋体" w:hAnsi="宋体" w:cs="宋体"/>
                <w:b/>
                <w:bCs/>
                <w:color w:val="000000"/>
                <w:sz w:val="28"/>
                <w:szCs w:val="28"/>
              </w:rPr>
              <w:t>截止时间：201</w:t>
            </w:r>
            <w:r>
              <w:rPr>
                <w:rFonts w:hint="eastAsia" w:ascii="宋体" w:hAnsi="宋体" w:cs="宋体"/>
                <w:b/>
                <w:bCs/>
                <w:color w:val="000000"/>
                <w:sz w:val="28"/>
                <w:szCs w:val="28"/>
                <w:lang w:eastAsia="zh-CN"/>
              </w:rPr>
              <w:t>7</w:t>
            </w:r>
            <w:r>
              <w:rPr>
                <w:rFonts w:hint="eastAsia" w:ascii="宋体" w:hAnsi="宋体" w:cs="宋体"/>
                <w:b/>
                <w:bCs/>
                <w:color w:val="000000"/>
                <w:sz w:val="28"/>
                <w:szCs w:val="28"/>
              </w:rPr>
              <w:t>年12月31日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项　　目</w:t>
            </w:r>
          </w:p>
        </w:tc>
        <w:tc>
          <w:tcPr>
            <w:tcW w:w="15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价值（单位：万元）</w:t>
            </w:r>
          </w:p>
        </w:tc>
      </w:tr>
      <w:tr>
        <w:tblPrEx>
          <w:tblLayout w:type="fixed"/>
          <w:tblCellMar>
            <w:top w:w="0" w:type="dxa"/>
            <w:left w:w="108" w:type="dxa"/>
            <w:bottom w:w="0" w:type="dxa"/>
            <w:right w:w="108" w:type="dxa"/>
          </w:tblCellMar>
        </w:tblPrEx>
        <w:trPr>
          <w:trHeight w:val="600"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固定资产总额</w:t>
            </w:r>
          </w:p>
        </w:tc>
        <w:tc>
          <w:tcPr>
            <w:tcW w:w="15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000000"/>
                <w:sz w:val="24"/>
                <w:szCs w:val="24"/>
                <w:lang w:eastAsia="zh-CN"/>
              </w:rPr>
            </w:pPr>
            <w:r>
              <w:rPr>
                <w:rFonts w:hint="eastAsia" w:ascii="宋体" w:hAnsi="宋体" w:cs="宋体"/>
                <w:b/>
                <w:color w:val="000000"/>
                <w:sz w:val="24"/>
                <w:szCs w:val="24"/>
                <w:lang w:eastAsia="zh-CN"/>
              </w:rPr>
              <w:t>240.68</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1、房屋（平方米）</w:t>
            </w:r>
          </w:p>
        </w:tc>
        <w:tc>
          <w:tcPr>
            <w:tcW w:w="15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lang w:eastAsia="zh-CN"/>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lang w:eastAsia="zh-CN"/>
              </w:rPr>
            </w:pP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2、车辆（台、辆）</w:t>
            </w:r>
          </w:p>
        </w:tc>
        <w:tc>
          <w:tcPr>
            <w:tcW w:w="15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8</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lang w:eastAsia="zh-CN"/>
              </w:rPr>
            </w:pPr>
            <w:r>
              <w:rPr>
                <w:rFonts w:hint="eastAsia" w:ascii="宋体" w:hAnsi="宋体" w:cs="宋体"/>
                <w:color w:val="000000"/>
                <w:sz w:val="24"/>
                <w:szCs w:val="24"/>
                <w:lang w:eastAsia="zh-CN"/>
              </w:rPr>
              <w:t>63.46</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 xml:space="preserve">  3、其他固定资产</w:t>
            </w:r>
          </w:p>
        </w:tc>
        <w:tc>
          <w:tcPr>
            <w:tcW w:w="15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w:t>
            </w:r>
          </w:p>
        </w:tc>
        <w:tc>
          <w:tcPr>
            <w:tcW w:w="3402" w:type="dxa"/>
            <w:tcBorders>
              <w:top w:val="nil"/>
              <w:left w:val="nil"/>
              <w:bottom w:val="single" w:color="auto" w:sz="4" w:space="0"/>
              <w:right w:val="single" w:color="auto" w:sz="4" w:space="0"/>
            </w:tcBorders>
            <w:shd w:val="clear" w:color="auto" w:fill="auto"/>
            <w:vAlign w:val="center"/>
          </w:tcPr>
          <w:p>
            <w:pPr>
              <w:ind w:firstLine="1320" w:firstLineChars="550"/>
              <w:rPr>
                <w:rFonts w:ascii="宋体" w:hAnsi="宋体" w:cs="宋体"/>
                <w:color w:val="000000"/>
                <w:sz w:val="24"/>
                <w:szCs w:val="24"/>
                <w:lang w:eastAsia="zh-CN"/>
              </w:rPr>
            </w:pPr>
            <w:r>
              <w:rPr>
                <w:rFonts w:hint="eastAsia" w:ascii="宋体" w:hAnsi="宋体" w:cs="宋体"/>
                <w:color w:val="000000"/>
                <w:sz w:val="24"/>
                <w:szCs w:val="24"/>
                <w:lang w:eastAsia="zh-CN"/>
              </w:rPr>
              <w:t>177.22</w:t>
            </w:r>
          </w:p>
        </w:tc>
      </w:tr>
    </w:tbl>
    <w:p>
      <w:pPr>
        <w:spacing w:line="360" w:lineRule="auto"/>
        <w:jc w:val="center"/>
        <w:rPr>
          <w:rFonts w:ascii="黑体" w:hAnsi="黑体" w:eastAsia="黑体"/>
          <w:sz w:val="32"/>
          <w:szCs w:val="32"/>
          <w:lang w:eastAsia="zh-CN"/>
        </w:rPr>
      </w:pPr>
      <w:r>
        <w:rPr>
          <w:rFonts w:ascii="宋体" w:cs="宋体"/>
          <w:spacing w:val="2"/>
          <w:sz w:val="32"/>
          <w:szCs w:val="32"/>
          <w:lang w:eastAsia="zh-CN"/>
        </w:rPr>
        <w:br w:type="page"/>
      </w:r>
      <w:r>
        <w:rPr>
          <w:rFonts w:hint="eastAsia" w:ascii="黑体" w:hAnsi="黑体" w:eastAsia="黑体"/>
          <w:sz w:val="32"/>
          <w:szCs w:val="32"/>
          <w:lang w:eastAsia="zh-CN"/>
        </w:rPr>
        <w:t>第五部分：有关事项说明</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多年来，在县委、县政府的正确领导下，在县财政部门大力支持和指导下，曲阳县司法局根据总体规划、精心编制部门规划,圆满完成了各项规划编制任务。2017年12月在曲阳县司法局财务人员的共同努力下，较好地完成了我局2018年度部门预算的编制工作，现就2018年部门预算情况作简要说明。</w:t>
      </w:r>
    </w:p>
    <w:p>
      <w:pPr>
        <w:widowControl w:val="0"/>
        <w:numPr>
          <w:ilvl w:val="0"/>
          <w:numId w:val="2"/>
        </w:numPr>
        <w:spacing w:line="360" w:lineRule="auto"/>
        <w:jc w:val="both"/>
        <w:rPr>
          <w:rFonts w:ascii="黑体" w:hAnsi="黑体" w:eastAsia="黑体"/>
          <w:sz w:val="32"/>
          <w:szCs w:val="32"/>
          <w:lang w:eastAsia="zh-CN"/>
        </w:rPr>
      </w:pPr>
      <w:r>
        <w:rPr>
          <w:rFonts w:hint="eastAsia" w:ascii="黑体" w:hAnsi="黑体" w:eastAsia="黑体"/>
          <w:sz w:val="32"/>
          <w:szCs w:val="32"/>
          <w:lang w:eastAsia="zh-CN"/>
        </w:rPr>
        <w:t>部门预算安排的总体情况</w:t>
      </w:r>
    </w:p>
    <w:p>
      <w:pPr>
        <w:spacing w:line="360" w:lineRule="auto"/>
        <w:ind w:firstLine="640" w:firstLineChars="200"/>
        <w:rPr>
          <w:rFonts w:ascii="黑体" w:hAnsi="黑体" w:eastAsia="黑体"/>
          <w:sz w:val="32"/>
          <w:szCs w:val="32"/>
          <w:lang w:eastAsia="zh-CN"/>
        </w:rPr>
      </w:pPr>
      <w:r>
        <w:rPr>
          <w:rFonts w:hint="eastAsia" w:ascii="黑体" w:hAnsi="黑体" w:eastAsia="黑体"/>
          <w:sz w:val="32"/>
          <w:szCs w:val="32"/>
          <w:lang w:eastAsia="zh-CN"/>
        </w:rPr>
        <w:t>1、2018年部门预算收入情况</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2018年曲阳县司法局年初部门收入预算总额为448.2万元。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其中：人员经费预算241.33万元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       正常公用经费预算为34.21万元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       专项项目、公用经费预算为172.66万元</w:t>
      </w:r>
    </w:p>
    <w:p>
      <w:pPr>
        <w:spacing w:line="360" w:lineRule="auto"/>
        <w:ind w:firstLine="640" w:firstLineChars="200"/>
        <w:rPr>
          <w:rFonts w:ascii="仿宋" w:hAnsi="仿宋" w:eastAsia="仿宋"/>
          <w:sz w:val="32"/>
          <w:szCs w:val="32"/>
          <w:lang w:eastAsia="zh-CN"/>
        </w:rPr>
      </w:pPr>
      <w:r>
        <w:rPr>
          <w:rFonts w:hint="eastAsia" w:ascii="黑体" w:hAnsi="黑体" w:eastAsia="黑体"/>
          <w:sz w:val="32"/>
          <w:szCs w:val="32"/>
          <w:lang w:eastAsia="zh-CN"/>
        </w:rPr>
        <w:t>2、2018年部门预算支出情况</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2018年部门支出安排预算总额448.2万元。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基本支出  275.54万元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   其中：人员经费 241.33万元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         日常公用经费 34.21万元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项目支出   172.66万元</w:t>
      </w:r>
    </w:p>
    <w:p>
      <w:pPr>
        <w:spacing w:line="360" w:lineRule="auto"/>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   其中：本级支出 172.66万元</w:t>
      </w:r>
    </w:p>
    <w:p>
      <w:pPr>
        <w:tabs>
          <w:tab w:val="left" w:pos="916"/>
        </w:tabs>
        <w:spacing w:line="360" w:lineRule="auto"/>
        <w:ind w:firstLine="640" w:firstLineChars="200"/>
        <w:rPr>
          <w:rFonts w:hint="eastAsia" w:ascii="黑体" w:hAnsi="黑体" w:eastAsia="黑体"/>
          <w:sz w:val="32"/>
          <w:szCs w:val="32"/>
          <w:lang w:eastAsia="zh-CN"/>
        </w:rPr>
      </w:pPr>
    </w:p>
    <w:p>
      <w:pPr>
        <w:tabs>
          <w:tab w:val="left" w:pos="916"/>
        </w:tabs>
        <w:spacing w:line="360" w:lineRule="auto"/>
        <w:ind w:firstLine="640" w:firstLineChars="200"/>
        <w:rPr>
          <w:rFonts w:ascii="黑体" w:hAnsi="黑体" w:eastAsia="黑体"/>
          <w:sz w:val="32"/>
          <w:szCs w:val="32"/>
          <w:lang w:eastAsia="zh-CN"/>
        </w:rPr>
      </w:pPr>
      <w:r>
        <w:rPr>
          <w:rFonts w:hint="eastAsia" w:ascii="黑体" w:hAnsi="黑体" w:eastAsia="黑体"/>
          <w:sz w:val="32"/>
          <w:szCs w:val="32"/>
          <w:lang w:eastAsia="zh-CN"/>
        </w:rPr>
        <w:t>3、与上年增减情况</w:t>
      </w:r>
    </w:p>
    <w:p>
      <w:pPr>
        <w:tabs>
          <w:tab w:val="left" w:pos="916"/>
        </w:tabs>
        <w:spacing w:line="360" w:lineRule="auto"/>
        <w:rPr>
          <w:rFonts w:ascii="仿宋" w:hAnsi="仿宋" w:eastAsia="仿宋"/>
          <w:sz w:val="32"/>
          <w:szCs w:val="32"/>
          <w:lang w:eastAsia="zh-CN"/>
        </w:rPr>
      </w:pPr>
      <w:r>
        <w:rPr>
          <w:rFonts w:hint="eastAsia" w:ascii="仿宋" w:hAnsi="仿宋" w:eastAsia="仿宋"/>
          <w:sz w:val="32"/>
          <w:szCs w:val="32"/>
          <w:lang w:eastAsia="zh-CN"/>
        </w:rPr>
        <w:t>　　本年度预算收支安排448.2万元，较上年减少8.09万元。其中:基本支出增加2万元，主要增加工资标准；项目支出减少10.09万元，主要减少律师公证管理经费项目支出。</w:t>
      </w:r>
    </w:p>
    <w:p>
      <w:pPr>
        <w:spacing w:line="360" w:lineRule="auto"/>
        <w:ind w:firstLine="640" w:firstLineChars="200"/>
        <w:outlineLvl w:val="0"/>
        <w:rPr>
          <w:rFonts w:ascii="黑体" w:hAnsi="黑体" w:eastAsia="黑体"/>
          <w:sz w:val="32"/>
          <w:szCs w:val="32"/>
          <w:lang w:eastAsia="zh-CN"/>
        </w:rPr>
      </w:pPr>
      <w:r>
        <w:rPr>
          <w:rFonts w:hint="eastAsia" w:ascii="黑体" w:hAnsi="黑体" w:eastAsia="黑体"/>
          <w:sz w:val="32"/>
          <w:szCs w:val="32"/>
          <w:lang w:eastAsia="zh-CN"/>
        </w:rPr>
        <w:t>二、机关运行经费安排情况</w:t>
      </w:r>
    </w:p>
    <w:p>
      <w:pPr>
        <w:spacing w:line="360" w:lineRule="auto"/>
        <w:ind w:firstLine="640" w:firstLineChars="200"/>
        <w:outlineLvl w:val="0"/>
        <w:rPr>
          <w:rFonts w:ascii="仿宋" w:hAnsi="仿宋" w:eastAsia="仿宋"/>
          <w:sz w:val="32"/>
          <w:szCs w:val="32"/>
          <w:lang w:eastAsia="zh-CN"/>
        </w:rPr>
      </w:pPr>
      <w:r>
        <w:rPr>
          <w:rFonts w:hint="eastAsia" w:ascii="仿宋" w:hAnsi="仿宋" w:eastAsia="仿宋"/>
          <w:sz w:val="32"/>
          <w:szCs w:val="32"/>
          <w:lang w:eastAsia="zh-CN"/>
        </w:rPr>
        <w:t xml:space="preserve"> 曲阳县司法局机关运行经费安排34.21万元，其中办公费3.1万元，电费2万元，取暖费1.5万元，邮电费3.3万元，差旅费1.4万元，福利费2.37万元，网络费0.08万元，公务用车运行维护费2.4万元，其他交通费用支出18.06万元。</w:t>
      </w:r>
    </w:p>
    <w:p>
      <w:pPr>
        <w:spacing w:line="520" w:lineRule="exact"/>
        <w:ind w:firstLine="640" w:firstLineChars="200"/>
        <w:outlineLvl w:val="0"/>
        <w:rPr>
          <w:rFonts w:ascii="黑体" w:hAnsi="黑体" w:eastAsia="黑体"/>
          <w:sz w:val="32"/>
          <w:szCs w:val="32"/>
          <w:lang w:eastAsia="zh-CN"/>
        </w:rPr>
      </w:pPr>
      <w:r>
        <w:rPr>
          <w:rFonts w:hint="eastAsia" w:ascii="黑体" w:hAnsi="黑体" w:eastAsia="黑体"/>
          <w:sz w:val="32"/>
          <w:szCs w:val="32"/>
          <w:lang w:eastAsia="zh-CN"/>
        </w:rPr>
        <w:t>三、财政拨款“三公”经费预算情况及增加变化原因</w:t>
      </w:r>
    </w:p>
    <w:tbl>
      <w:tblPr>
        <w:tblStyle w:val="15"/>
        <w:tblW w:w="8780" w:type="dxa"/>
        <w:tblInd w:w="0" w:type="dxa"/>
        <w:tblLayout w:type="fixed"/>
        <w:tblCellMar>
          <w:top w:w="0" w:type="dxa"/>
          <w:left w:w="108" w:type="dxa"/>
          <w:bottom w:w="0" w:type="dxa"/>
          <w:right w:w="108" w:type="dxa"/>
        </w:tblCellMar>
      </w:tblPr>
      <w:tblGrid>
        <w:gridCol w:w="2136"/>
        <w:gridCol w:w="1716"/>
        <w:gridCol w:w="1716"/>
        <w:gridCol w:w="1176"/>
        <w:gridCol w:w="2036"/>
      </w:tblGrid>
      <w:tr>
        <w:tblPrEx>
          <w:tblLayout w:type="fixed"/>
          <w:tblCellMar>
            <w:top w:w="0" w:type="dxa"/>
            <w:left w:w="108" w:type="dxa"/>
            <w:bottom w:w="0" w:type="dxa"/>
            <w:right w:w="108" w:type="dxa"/>
          </w:tblCellMar>
        </w:tblPrEx>
        <w:trPr>
          <w:trHeight w:val="405" w:hRule="atLeast"/>
        </w:trPr>
        <w:tc>
          <w:tcPr>
            <w:tcW w:w="8780" w:type="dxa"/>
            <w:gridSpan w:val="5"/>
            <w:tcBorders>
              <w:top w:val="nil"/>
              <w:left w:val="nil"/>
              <w:bottom w:val="nil"/>
              <w:right w:val="nil"/>
            </w:tcBorders>
            <w:shd w:val="clear" w:color="auto" w:fill="auto"/>
            <w:vAlign w:val="center"/>
          </w:tcPr>
          <w:p>
            <w:pPr>
              <w:spacing w:line="520" w:lineRule="exact"/>
              <w:jc w:val="center"/>
              <w:rPr>
                <w:rFonts w:ascii="黑体" w:hAnsi="黑体" w:eastAsia="黑体" w:cs="宋体"/>
                <w:sz w:val="32"/>
                <w:szCs w:val="32"/>
                <w:lang w:eastAsia="zh-CN"/>
              </w:rPr>
            </w:pPr>
            <w:r>
              <w:rPr>
                <w:rFonts w:hint="eastAsia" w:ascii="黑体" w:hAnsi="黑体" w:eastAsia="黑体"/>
                <w:sz w:val="32"/>
                <w:szCs w:val="32"/>
                <w:lang w:eastAsia="zh-CN"/>
              </w:rPr>
              <w:t>“三公”经费预算情况及增减变化表</w:t>
            </w:r>
          </w:p>
        </w:tc>
      </w:tr>
      <w:tr>
        <w:tblPrEx>
          <w:tblLayout w:type="fixed"/>
          <w:tblCellMar>
            <w:top w:w="0" w:type="dxa"/>
            <w:left w:w="108" w:type="dxa"/>
            <w:bottom w:w="0" w:type="dxa"/>
            <w:right w:w="108" w:type="dxa"/>
          </w:tblCellMar>
        </w:tblPrEx>
        <w:trPr>
          <w:trHeight w:val="221" w:hRule="atLeast"/>
        </w:trPr>
        <w:tc>
          <w:tcPr>
            <w:tcW w:w="2136" w:type="dxa"/>
            <w:tcBorders>
              <w:top w:val="nil"/>
              <w:left w:val="nil"/>
              <w:bottom w:val="nil"/>
              <w:right w:val="nil"/>
            </w:tcBorders>
            <w:shd w:val="clear" w:color="auto" w:fill="auto"/>
            <w:vAlign w:val="center"/>
          </w:tcPr>
          <w:p>
            <w:pPr>
              <w:rPr>
                <w:rFonts w:ascii="宋体" w:hAnsi="宋体" w:cs="宋体"/>
                <w:sz w:val="24"/>
                <w:szCs w:val="24"/>
                <w:lang w:eastAsia="zh-CN"/>
              </w:rPr>
            </w:pPr>
          </w:p>
        </w:tc>
        <w:tc>
          <w:tcPr>
            <w:tcW w:w="1716" w:type="dxa"/>
            <w:tcBorders>
              <w:top w:val="nil"/>
              <w:left w:val="nil"/>
              <w:bottom w:val="nil"/>
              <w:right w:val="nil"/>
            </w:tcBorders>
            <w:shd w:val="clear" w:color="auto" w:fill="auto"/>
            <w:vAlign w:val="center"/>
          </w:tcPr>
          <w:p>
            <w:pPr>
              <w:rPr>
                <w:rFonts w:ascii="宋体" w:hAnsi="宋体" w:cs="宋体"/>
                <w:sz w:val="24"/>
                <w:szCs w:val="24"/>
                <w:lang w:eastAsia="zh-CN"/>
              </w:rPr>
            </w:pPr>
          </w:p>
        </w:tc>
        <w:tc>
          <w:tcPr>
            <w:tcW w:w="1716" w:type="dxa"/>
            <w:tcBorders>
              <w:top w:val="nil"/>
              <w:left w:val="nil"/>
              <w:bottom w:val="nil"/>
              <w:right w:val="nil"/>
            </w:tcBorders>
            <w:shd w:val="clear" w:color="auto" w:fill="auto"/>
            <w:vAlign w:val="center"/>
          </w:tcPr>
          <w:p>
            <w:pPr>
              <w:rPr>
                <w:rFonts w:ascii="宋体" w:hAnsi="宋体" w:cs="宋体"/>
                <w:sz w:val="24"/>
                <w:szCs w:val="24"/>
                <w:lang w:eastAsia="zh-CN"/>
              </w:rPr>
            </w:pPr>
          </w:p>
        </w:tc>
        <w:tc>
          <w:tcPr>
            <w:tcW w:w="1176" w:type="dxa"/>
            <w:tcBorders>
              <w:top w:val="nil"/>
              <w:left w:val="nil"/>
              <w:bottom w:val="nil"/>
              <w:right w:val="nil"/>
            </w:tcBorders>
            <w:shd w:val="clear" w:color="auto" w:fill="auto"/>
            <w:vAlign w:val="center"/>
          </w:tcPr>
          <w:p>
            <w:pPr>
              <w:rPr>
                <w:rFonts w:ascii="宋体" w:hAnsi="宋体" w:cs="宋体"/>
                <w:sz w:val="24"/>
                <w:szCs w:val="24"/>
                <w:lang w:eastAsia="zh-CN"/>
              </w:rPr>
            </w:pPr>
          </w:p>
        </w:tc>
        <w:tc>
          <w:tcPr>
            <w:tcW w:w="2036" w:type="dxa"/>
            <w:tcBorders>
              <w:top w:val="nil"/>
              <w:left w:val="nil"/>
              <w:bottom w:val="nil"/>
              <w:right w:val="nil"/>
            </w:tcBorders>
            <w:shd w:val="clear" w:color="auto" w:fill="auto"/>
            <w:vAlign w:val="center"/>
          </w:tcPr>
          <w:p>
            <w:pPr>
              <w:jc w:val="right"/>
              <w:rPr>
                <w:rFonts w:ascii="宋体" w:hAnsi="宋体" w:cs="宋体"/>
                <w:sz w:val="24"/>
                <w:szCs w:val="24"/>
              </w:rPr>
            </w:pPr>
            <w:r>
              <w:rPr>
                <w:rFonts w:hint="eastAsia" w:ascii="宋体" w:hAnsi="宋体" w:cs="宋体"/>
                <w:sz w:val="24"/>
                <w:szCs w:val="24"/>
              </w:rPr>
              <w:t>单位：万元</w:t>
            </w:r>
          </w:p>
        </w:tc>
      </w:tr>
      <w:tr>
        <w:tblPrEx>
          <w:tblLayout w:type="fixed"/>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项目名称</w:t>
            </w:r>
          </w:p>
        </w:tc>
        <w:tc>
          <w:tcPr>
            <w:tcW w:w="17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201</w:t>
            </w:r>
            <w:r>
              <w:rPr>
                <w:rFonts w:hint="eastAsia" w:ascii="宋体" w:hAnsi="宋体" w:cs="宋体"/>
                <w:sz w:val="24"/>
                <w:szCs w:val="24"/>
                <w:lang w:eastAsia="zh-CN"/>
              </w:rPr>
              <w:t>7</w:t>
            </w:r>
            <w:r>
              <w:rPr>
                <w:rFonts w:hint="eastAsia" w:ascii="宋体" w:hAnsi="宋体" w:cs="宋体"/>
                <w:sz w:val="24"/>
                <w:szCs w:val="24"/>
              </w:rPr>
              <w:t>年度预算</w:t>
            </w:r>
          </w:p>
        </w:tc>
        <w:tc>
          <w:tcPr>
            <w:tcW w:w="17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201</w:t>
            </w:r>
            <w:r>
              <w:rPr>
                <w:rFonts w:hint="eastAsia" w:ascii="宋体" w:hAnsi="宋体" w:cs="宋体"/>
                <w:sz w:val="24"/>
                <w:szCs w:val="24"/>
                <w:lang w:eastAsia="zh-CN"/>
              </w:rPr>
              <w:t>8</w:t>
            </w:r>
            <w:r>
              <w:rPr>
                <w:rFonts w:hint="eastAsia" w:ascii="宋体" w:hAnsi="宋体" w:cs="宋体"/>
                <w:sz w:val="24"/>
                <w:szCs w:val="24"/>
              </w:rPr>
              <w:t>年度预算</w:t>
            </w:r>
          </w:p>
        </w:tc>
        <w:tc>
          <w:tcPr>
            <w:tcW w:w="11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增减金额</w:t>
            </w:r>
          </w:p>
        </w:tc>
        <w:tc>
          <w:tcPr>
            <w:tcW w:w="20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变化原因</w:t>
            </w:r>
          </w:p>
        </w:tc>
      </w:tr>
      <w:tr>
        <w:tblPrEx>
          <w:tblLayout w:type="fixed"/>
          <w:tblCellMar>
            <w:top w:w="0" w:type="dxa"/>
            <w:left w:w="108" w:type="dxa"/>
            <w:bottom w:w="0" w:type="dxa"/>
            <w:right w:w="108" w:type="dxa"/>
          </w:tblCellMar>
        </w:tblPrEx>
        <w:trPr>
          <w:trHeight w:val="575" w:hRule="atLeast"/>
        </w:trPr>
        <w:tc>
          <w:tcPr>
            <w:tcW w:w="21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因公出国经费</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0</w:t>
            </w:r>
          </w:p>
        </w:tc>
        <w:tc>
          <w:tcPr>
            <w:tcW w:w="2036"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无增减变化</w:t>
            </w:r>
          </w:p>
        </w:tc>
      </w:tr>
      <w:tr>
        <w:tblPrEx>
          <w:tblLayout w:type="fixed"/>
          <w:tblCellMar>
            <w:top w:w="0" w:type="dxa"/>
            <w:left w:w="108" w:type="dxa"/>
            <w:bottom w:w="0" w:type="dxa"/>
            <w:right w:w="108" w:type="dxa"/>
          </w:tblCellMar>
        </w:tblPrEx>
        <w:trPr>
          <w:trHeight w:val="555" w:hRule="atLeast"/>
        </w:trPr>
        <w:tc>
          <w:tcPr>
            <w:tcW w:w="21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公务用车购置经费</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0</w:t>
            </w:r>
          </w:p>
        </w:tc>
        <w:tc>
          <w:tcPr>
            <w:tcW w:w="2036"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ascii="宋体" w:hAnsi="宋体" w:cs="宋体"/>
                <w:sz w:val="24"/>
                <w:szCs w:val="24"/>
              </w:rPr>
              <w:t>无增减变化</w:t>
            </w:r>
          </w:p>
        </w:tc>
      </w:tr>
      <w:tr>
        <w:tblPrEx>
          <w:tblLayout w:type="fixed"/>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公务用车运行经费</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10</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7</w:t>
            </w:r>
          </w:p>
        </w:tc>
        <w:tc>
          <w:tcPr>
            <w:tcW w:w="11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0</w:t>
            </w:r>
          </w:p>
        </w:tc>
        <w:tc>
          <w:tcPr>
            <w:tcW w:w="2036"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lang w:eastAsia="zh-CN"/>
              </w:rPr>
            </w:pPr>
            <w:r>
              <w:rPr>
                <w:rFonts w:hint="eastAsia" w:ascii="宋体" w:hAnsi="宋体" w:cs="宋体"/>
                <w:sz w:val="24"/>
                <w:szCs w:val="24"/>
                <w:lang w:eastAsia="zh-CN"/>
              </w:rPr>
              <w:t>厉行节约，减少支出</w:t>
            </w:r>
          </w:p>
        </w:tc>
      </w:tr>
      <w:tr>
        <w:tblPrEx>
          <w:tblLayout w:type="fixed"/>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公务接待费支出</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0</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0</w:t>
            </w:r>
          </w:p>
        </w:tc>
        <w:tc>
          <w:tcPr>
            <w:tcW w:w="11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0</w:t>
            </w:r>
          </w:p>
        </w:tc>
        <w:tc>
          <w:tcPr>
            <w:tcW w:w="2036"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lang w:eastAsia="zh-CN"/>
              </w:rPr>
            </w:pPr>
            <w:r>
              <w:rPr>
                <w:rFonts w:hint="eastAsia" w:ascii="宋体" w:hAnsi="宋体" w:cs="宋体"/>
                <w:sz w:val="24"/>
                <w:szCs w:val="24"/>
                <w:lang w:eastAsia="zh-CN"/>
              </w:rPr>
              <w:t>无增减变化</w:t>
            </w:r>
          </w:p>
        </w:tc>
      </w:tr>
      <w:tr>
        <w:tblPrEx>
          <w:tblLayout w:type="fixed"/>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合计</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10</w:t>
            </w:r>
          </w:p>
        </w:tc>
        <w:tc>
          <w:tcPr>
            <w:tcW w:w="17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7</w:t>
            </w:r>
          </w:p>
        </w:tc>
        <w:tc>
          <w:tcPr>
            <w:tcW w:w="11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lang w:eastAsia="zh-CN"/>
              </w:rPr>
            </w:pPr>
            <w:r>
              <w:rPr>
                <w:rFonts w:hint="eastAsia" w:ascii="宋体" w:hAnsi="宋体" w:cs="宋体"/>
                <w:sz w:val="24"/>
                <w:szCs w:val="24"/>
                <w:lang w:eastAsia="zh-CN"/>
              </w:rPr>
              <w:t>0</w:t>
            </w:r>
          </w:p>
        </w:tc>
        <w:tc>
          <w:tcPr>
            <w:tcW w:w="2036"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lang w:eastAsia="zh-CN"/>
              </w:rPr>
            </w:pPr>
            <w:r>
              <w:rPr>
                <w:rFonts w:hint="eastAsia" w:ascii="宋体" w:hAnsi="宋体" w:cs="宋体"/>
                <w:sz w:val="24"/>
                <w:szCs w:val="24"/>
                <w:lang w:eastAsia="zh-CN"/>
              </w:rPr>
              <w:t>厉行节约，减少支出</w:t>
            </w:r>
          </w:p>
        </w:tc>
      </w:tr>
    </w:tbl>
    <w:p>
      <w:pPr>
        <w:spacing w:line="520" w:lineRule="exact"/>
        <w:ind w:firstLine="640" w:firstLineChars="200"/>
        <w:rPr>
          <w:rFonts w:ascii="黑体" w:hAnsi="黑体" w:eastAsia="黑体"/>
          <w:sz w:val="32"/>
          <w:szCs w:val="32"/>
          <w:lang w:eastAsia="zh-CN"/>
        </w:rPr>
      </w:pPr>
    </w:p>
    <w:p>
      <w:pPr>
        <w:spacing w:line="500" w:lineRule="exact"/>
        <w:jc w:val="center"/>
        <w:outlineLvl w:val="0"/>
        <w:rPr>
          <w:rFonts w:hint="eastAsia" w:ascii="黑体" w:hAnsi="黑体" w:eastAsia="黑体"/>
          <w:sz w:val="32"/>
          <w:szCs w:val="32"/>
          <w:lang w:eastAsia="zh-CN"/>
        </w:rPr>
      </w:pPr>
    </w:p>
    <w:p>
      <w:pPr>
        <w:spacing w:line="500" w:lineRule="exact"/>
        <w:jc w:val="center"/>
        <w:outlineLvl w:val="0"/>
        <w:rPr>
          <w:rFonts w:hint="eastAsia" w:ascii="黑体" w:hAnsi="黑体" w:eastAsia="黑体"/>
          <w:sz w:val="32"/>
          <w:szCs w:val="32"/>
          <w:lang w:eastAsia="zh-CN"/>
        </w:rPr>
      </w:pPr>
    </w:p>
    <w:p>
      <w:pPr>
        <w:spacing w:line="500" w:lineRule="exact"/>
        <w:jc w:val="center"/>
        <w:outlineLvl w:val="0"/>
        <w:rPr>
          <w:rFonts w:hint="eastAsia" w:ascii="黑体" w:hAnsi="黑体" w:eastAsia="黑体"/>
          <w:sz w:val="32"/>
          <w:szCs w:val="32"/>
          <w:lang w:eastAsia="zh-CN"/>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第六部分：名词解释</w:t>
      </w:r>
    </w:p>
    <w:p>
      <w:pPr>
        <w:spacing w:line="500" w:lineRule="exact"/>
        <w:jc w:val="center"/>
        <w:outlineLvl w:val="0"/>
        <w:rPr>
          <w:rFonts w:ascii="仿宋" w:hAnsi="仿宋" w:eastAsia="仿宋"/>
          <w:b/>
          <w:sz w:val="32"/>
          <w:szCs w:val="32"/>
        </w:rPr>
      </w:pPr>
    </w:p>
    <w:p>
      <w:pPr>
        <w:spacing w:line="500" w:lineRule="exact"/>
        <w:ind w:firstLine="643" w:firstLineChars="200"/>
        <w:outlineLvl w:val="0"/>
        <w:rPr>
          <w:rFonts w:ascii="仿宋" w:hAnsi="仿宋" w:eastAsia="仿宋"/>
          <w:sz w:val="32"/>
          <w:szCs w:val="32"/>
          <w:lang w:eastAsia="zh-CN"/>
        </w:rPr>
      </w:pPr>
      <w:r>
        <w:rPr>
          <w:rFonts w:hint="eastAsia" w:ascii="仿宋" w:hAnsi="仿宋" w:eastAsia="仿宋"/>
          <w:b/>
          <w:sz w:val="32"/>
          <w:szCs w:val="32"/>
          <w:lang w:eastAsia="zh-CN"/>
        </w:rPr>
        <w:t>1、财政拨款收入：</w:t>
      </w:r>
      <w:r>
        <w:rPr>
          <w:rFonts w:hint="eastAsia" w:ascii="仿宋" w:hAnsi="仿宋" w:eastAsia="仿宋"/>
          <w:sz w:val="32"/>
          <w:szCs w:val="32"/>
          <w:lang w:eastAsia="zh-CN"/>
        </w:rPr>
        <w:t>指市级财政当年拨付的资金。</w:t>
      </w:r>
    </w:p>
    <w:p>
      <w:pPr>
        <w:spacing w:line="500" w:lineRule="exact"/>
        <w:ind w:firstLine="643" w:firstLineChars="200"/>
        <w:outlineLvl w:val="0"/>
        <w:rPr>
          <w:rFonts w:ascii="仿宋" w:hAnsi="仿宋" w:eastAsia="仿宋"/>
          <w:sz w:val="32"/>
          <w:szCs w:val="32"/>
          <w:lang w:eastAsia="zh-CN"/>
        </w:rPr>
      </w:pPr>
      <w:r>
        <w:rPr>
          <w:rFonts w:hint="eastAsia" w:ascii="仿宋" w:hAnsi="仿宋" w:eastAsia="仿宋"/>
          <w:b/>
          <w:sz w:val="32"/>
          <w:szCs w:val="32"/>
          <w:lang w:eastAsia="zh-CN"/>
        </w:rPr>
        <w:t>2、其他收入：</w:t>
      </w:r>
      <w:r>
        <w:rPr>
          <w:rFonts w:hint="eastAsia" w:ascii="仿宋" w:hAnsi="仿宋" w:eastAsia="仿宋"/>
          <w:sz w:val="32"/>
          <w:szCs w:val="32"/>
          <w:lang w:eastAsia="zh-CN"/>
        </w:rPr>
        <w:t>指除上述“财政拨款收入”、“事业收入”等以外的收入。</w:t>
      </w:r>
    </w:p>
    <w:p>
      <w:pPr>
        <w:spacing w:line="500" w:lineRule="exact"/>
        <w:ind w:firstLine="643" w:firstLineChars="200"/>
        <w:outlineLvl w:val="0"/>
        <w:rPr>
          <w:rFonts w:ascii="仿宋" w:hAnsi="仿宋" w:eastAsia="仿宋"/>
          <w:sz w:val="32"/>
          <w:szCs w:val="32"/>
          <w:lang w:eastAsia="zh-CN"/>
        </w:rPr>
      </w:pPr>
      <w:r>
        <w:rPr>
          <w:rFonts w:hint="eastAsia" w:ascii="仿宋" w:hAnsi="仿宋" w:eastAsia="仿宋"/>
          <w:b/>
          <w:sz w:val="32"/>
          <w:szCs w:val="32"/>
          <w:lang w:eastAsia="zh-CN"/>
        </w:rPr>
        <w:t>3、基本支出：</w:t>
      </w:r>
      <w:r>
        <w:rPr>
          <w:rFonts w:hint="eastAsia" w:ascii="仿宋" w:hAnsi="仿宋" w:eastAsia="仿宋"/>
          <w:sz w:val="32"/>
          <w:szCs w:val="32"/>
          <w:lang w:eastAsia="zh-CN"/>
        </w:rPr>
        <w:t>指为保障机构正常运转、完成日常工作任务而发生的人员支出和公用支出。</w:t>
      </w:r>
    </w:p>
    <w:p>
      <w:pPr>
        <w:spacing w:line="500" w:lineRule="exact"/>
        <w:ind w:firstLine="643" w:firstLineChars="200"/>
        <w:outlineLvl w:val="0"/>
        <w:rPr>
          <w:rFonts w:ascii="仿宋" w:hAnsi="仿宋" w:eastAsia="仿宋"/>
          <w:sz w:val="32"/>
          <w:szCs w:val="32"/>
          <w:lang w:eastAsia="zh-CN"/>
        </w:rPr>
      </w:pPr>
      <w:r>
        <w:rPr>
          <w:rFonts w:hint="eastAsia" w:ascii="仿宋" w:hAnsi="仿宋" w:eastAsia="仿宋"/>
          <w:b/>
          <w:sz w:val="32"/>
          <w:szCs w:val="32"/>
          <w:lang w:eastAsia="zh-CN"/>
        </w:rPr>
        <w:t>4、项目支出：</w:t>
      </w:r>
      <w:r>
        <w:rPr>
          <w:rFonts w:hint="eastAsia" w:ascii="仿宋" w:hAnsi="仿宋" w:eastAsia="仿宋"/>
          <w:sz w:val="32"/>
          <w:szCs w:val="32"/>
          <w:lang w:eastAsia="zh-CN"/>
        </w:rPr>
        <w:t>指在基本支出之外为完成特定行政任务和事业发展目标所发生的支出。</w:t>
      </w:r>
    </w:p>
    <w:p>
      <w:pPr>
        <w:spacing w:line="500" w:lineRule="exact"/>
        <w:ind w:firstLine="643" w:firstLineChars="200"/>
        <w:outlineLvl w:val="0"/>
        <w:rPr>
          <w:rFonts w:ascii="仿宋" w:hAnsi="仿宋" w:eastAsia="仿宋"/>
          <w:sz w:val="32"/>
          <w:szCs w:val="32"/>
          <w:lang w:eastAsia="zh-CN"/>
        </w:rPr>
      </w:pPr>
      <w:r>
        <w:rPr>
          <w:rFonts w:hint="eastAsia" w:ascii="仿宋" w:hAnsi="仿宋" w:eastAsia="仿宋"/>
          <w:b/>
          <w:sz w:val="32"/>
          <w:szCs w:val="32"/>
          <w:lang w:eastAsia="zh-CN"/>
        </w:rPr>
        <w:t>5、“三公”经费：</w:t>
      </w:r>
      <w:r>
        <w:rPr>
          <w:rFonts w:hint="eastAsia" w:ascii="仿宋" w:hAnsi="仿宋" w:eastAsia="仿宋"/>
          <w:sz w:val="32"/>
          <w:szCs w:val="32"/>
          <w:lang w:eastAsia="zh-CN"/>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lang w:eastAsia="zh-CN"/>
        </w:rPr>
      </w:pPr>
      <w:r>
        <w:rPr>
          <w:rFonts w:hint="eastAsia" w:ascii="仿宋" w:hAnsi="仿宋" w:eastAsia="仿宋"/>
          <w:b/>
          <w:sz w:val="32"/>
          <w:szCs w:val="32"/>
          <w:lang w:eastAsia="zh-CN"/>
        </w:rPr>
        <w:t>6、机关运行费：</w:t>
      </w:r>
      <w:r>
        <w:rPr>
          <w:rFonts w:hint="eastAsia" w:ascii="仿宋" w:hAnsi="仿宋" w:eastAsia="仿宋"/>
          <w:sz w:val="32"/>
          <w:szCs w:val="32"/>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lang w:eastAsia="zh-CN"/>
        </w:rPr>
      </w:pPr>
      <w:r>
        <w:rPr>
          <w:rFonts w:hint="eastAsia" w:ascii="仿宋" w:hAnsi="仿宋" w:eastAsia="仿宋"/>
          <w:b/>
          <w:sz w:val="32"/>
          <w:szCs w:val="32"/>
          <w:lang w:eastAsia="zh-CN"/>
        </w:rPr>
        <w:t>7、公务费：</w:t>
      </w:r>
      <w:r>
        <w:rPr>
          <w:rFonts w:hint="eastAsia" w:ascii="仿宋" w:hAnsi="仿宋" w:eastAsia="仿宋"/>
          <w:sz w:val="32"/>
          <w:szCs w:val="32"/>
          <w:lang w:eastAsia="zh-CN"/>
        </w:rPr>
        <w:t>包括办公费、水电费、邮电费、取暖费、交通费、一般会议费和物业管理费之和。</w:t>
      </w:r>
    </w:p>
    <w:p>
      <w:pPr>
        <w:spacing w:line="500" w:lineRule="exact"/>
        <w:ind w:firstLine="627" w:firstLineChars="196"/>
        <w:jc w:val="center"/>
        <w:outlineLvl w:val="0"/>
        <w:rPr>
          <w:rFonts w:ascii="黑体" w:hAnsi="黑体" w:eastAsia="黑体"/>
          <w:sz w:val="32"/>
          <w:szCs w:val="32"/>
          <w:lang w:eastAsia="zh-CN"/>
        </w:rPr>
      </w:pPr>
    </w:p>
    <w:p>
      <w:pPr>
        <w:spacing w:line="500" w:lineRule="exact"/>
        <w:jc w:val="both"/>
        <w:outlineLvl w:val="0"/>
        <w:rPr>
          <w:rFonts w:ascii="黑体" w:hAnsi="黑体" w:eastAsia="黑体"/>
          <w:sz w:val="32"/>
          <w:szCs w:val="32"/>
          <w:lang w:eastAsia="zh-CN"/>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第七部分：其他需说明的事项</w:t>
      </w:r>
    </w:p>
    <w:p>
      <w:pPr>
        <w:spacing w:line="500" w:lineRule="exact"/>
        <w:ind w:firstLine="1264" w:firstLineChars="395"/>
        <w:outlineLvl w:val="0"/>
        <w:rPr>
          <w:rFonts w:ascii="仿宋" w:hAnsi="仿宋" w:eastAsia="仿宋"/>
          <w:sz w:val="32"/>
          <w:szCs w:val="32"/>
          <w:lang w:eastAsia="zh-CN"/>
        </w:rPr>
      </w:pPr>
    </w:p>
    <w:p>
      <w:pPr>
        <w:spacing w:line="500" w:lineRule="exact"/>
        <w:ind w:firstLine="1264" w:firstLineChars="395"/>
        <w:outlineLvl w:val="0"/>
        <w:rPr>
          <w:rFonts w:ascii="仿宋" w:hAnsi="仿宋" w:eastAsia="仿宋"/>
          <w:sz w:val="32"/>
          <w:szCs w:val="32"/>
          <w:lang w:eastAsia="zh-CN"/>
        </w:rPr>
      </w:pPr>
      <w:r>
        <w:rPr>
          <w:rFonts w:hint="eastAsia" w:ascii="仿宋" w:hAnsi="仿宋" w:eastAsia="仿宋"/>
          <w:sz w:val="32"/>
          <w:szCs w:val="32"/>
          <w:lang w:eastAsia="zh-CN"/>
        </w:rPr>
        <w:t>我单位无其他需说明的事项。</w:t>
      </w:r>
    </w:p>
    <w:sectPr>
      <w:footerReference r:id="rId4" w:type="default"/>
      <w:pgSz w:w="11920" w:h="16840"/>
      <w:pgMar w:top="1503" w:right="1678" w:bottom="278" w:left="1678" w:header="0" w:footer="11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Microsoft JhengHei Ligh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w:t>
    </w:r>
    <w:r>
      <w:rPr>
        <w:lang w:val="zh-CN"/>
      </w:rPr>
      <w:fldChar w:fldCharType="end"/>
    </w:r>
  </w:p>
  <w:p>
    <w:pPr>
      <w:tabs>
        <w:tab w:val="right" w:pos="8560"/>
      </w:tabs>
      <w:spacing w:line="200" w:lineRule="exact"/>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10</w:t>
    </w:r>
    <w:r>
      <w:rPr>
        <w:lang w:val="zh-CN"/>
      </w:rPr>
      <w:fldChar w:fldCharType="end"/>
    </w:r>
  </w:p>
  <w:p>
    <w:pPr>
      <w:spacing w:line="100" w:lineRule="exact"/>
      <w:rPr>
        <w:sz w:val="10"/>
        <w:szCs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17D"/>
    <w:multiLevelType w:val="multilevel"/>
    <w:tmpl w:val="1CFD417D"/>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5AB4CF43"/>
    <w:multiLevelType w:val="singleLevel"/>
    <w:tmpl w:val="5AB4CF4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HorizontalSpacing w:val="100"/>
  <w:displayHorizontalDrawingGridEvery w:val="2"/>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D3D"/>
    <w:rsid w:val="0000638A"/>
    <w:rsid w:val="00022F96"/>
    <w:rsid w:val="00026115"/>
    <w:rsid w:val="000266B2"/>
    <w:rsid w:val="00035A2E"/>
    <w:rsid w:val="00037F1F"/>
    <w:rsid w:val="00046AA2"/>
    <w:rsid w:val="00047FC6"/>
    <w:rsid w:val="00050FEC"/>
    <w:rsid w:val="00061FE8"/>
    <w:rsid w:val="0009495F"/>
    <w:rsid w:val="000972BF"/>
    <w:rsid w:val="000A14FE"/>
    <w:rsid w:val="000A3203"/>
    <w:rsid w:val="000D33BE"/>
    <w:rsid w:val="000E1326"/>
    <w:rsid w:val="000F0DED"/>
    <w:rsid w:val="000F24FC"/>
    <w:rsid w:val="000F74ED"/>
    <w:rsid w:val="00113A4B"/>
    <w:rsid w:val="00124854"/>
    <w:rsid w:val="0013594F"/>
    <w:rsid w:val="00166F82"/>
    <w:rsid w:val="0018315D"/>
    <w:rsid w:val="001A1917"/>
    <w:rsid w:val="001A35EA"/>
    <w:rsid w:val="001A6889"/>
    <w:rsid w:val="001B125A"/>
    <w:rsid w:val="001D1510"/>
    <w:rsid w:val="001D5B3C"/>
    <w:rsid w:val="001D7172"/>
    <w:rsid w:val="001E3B3E"/>
    <w:rsid w:val="001F417B"/>
    <w:rsid w:val="001F751D"/>
    <w:rsid w:val="002102DE"/>
    <w:rsid w:val="00214D80"/>
    <w:rsid w:val="002155B2"/>
    <w:rsid w:val="00216052"/>
    <w:rsid w:val="00217973"/>
    <w:rsid w:val="00221C55"/>
    <w:rsid w:val="00240D1D"/>
    <w:rsid w:val="00244111"/>
    <w:rsid w:val="00282693"/>
    <w:rsid w:val="002841A8"/>
    <w:rsid w:val="002F47A3"/>
    <w:rsid w:val="00315C27"/>
    <w:rsid w:val="003235D2"/>
    <w:rsid w:val="003304E1"/>
    <w:rsid w:val="003541D5"/>
    <w:rsid w:val="003871E7"/>
    <w:rsid w:val="003903CF"/>
    <w:rsid w:val="003966B4"/>
    <w:rsid w:val="003C7D0E"/>
    <w:rsid w:val="003E755F"/>
    <w:rsid w:val="003F6A63"/>
    <w:rsid w:val="00405868"/>
    <w:rsid w:val="004113AE"/>
    <w:rsid w:val="00420C02"/>
    <w:rsid w:val="00432EBB"/>
    <w:rsid w:val="0044741F"/>
    <w:rsid w:val="00465127"/>
    <w:rsid w:val="004914AA"/>
    <w:rsid w:val="00491A11"/>
    <w:rsid w:val="004A698C"/>
    <w:rsid w:val="004F6A4B"/>
    <w:rsid w:val="00527040"/>
    <w:rsid w:val="0053096D"/>
    <w:rsid w:val="00545C4F"/>
    <w:rsid w:val="00551504"/>
    <w:rsid w:val="005539D7"/>
    <w:rsid w:val="00556E2E"/>
    <w:rsid w:val="00556ED3"/>
    <w:rsid w:val="005743F2"/>
    <w:rsid w:val="005A5EE3"/>
    <w:rsid w:val="005C1EC7"/>
    <w:rsid w:val="005D32D6"/>
    <w:rsid w:val="005E21FF"/>
    <w:rsid w:val="005E5643"/>
    <w:rsid w:val="005E7E9B"/>
    <w:rsid w:val="00611B6A"/>
    <w:rsid w:val="00642FC7"/>
    <w:rsid w:val="00657DE9"/>
    <w:rsid w:val="0066695D"/>
    <w:rsid w:val="00674ACB"/>
    <w:rsid w:val="006D1C9C"/>
    <w:rsid w:val="006D47C8"/>
    <w:rsid w:val="0072093E"/>
    <w:rsid w:val="0072332B"/>
    <w:rsid w:val="00754F0F"/>
    <w:rsid w:val="007714F8"/>
    <w:rsid w:val="00780CED"/>
    <w:rsid w:val="00786041"/>
    <w:rsid w:val="007A15A9"/>
    <w:rsid w:val="007C1B18"/>
    <w:rsid w:val="007D0527"/>
    <w:rsid w:val="007D47B4"/>
    <w:rsid w:val="00800EF9"/>
    <w:rsid w:val="00813783"/>
    <w:rsid w:val="00822A60"/>
    <w:rsid w:val="00823A7E"/>
    <w:rsid w:val="008305AC"/>
    <w:rsid w:val="0083423A"/>
    <w:rsid w:val="00834B42"/>
    <w:rsid w:val="00853F85"/>
    <w:rsid w:val="00880478"/>
    <w:rsid w:val="008F3769"/>
    <w:rsid w:val="009060CD"/>
    <w:rsid w:val="00914E81"/>
    <w:rsid w:val="0093181B"/>
    <w:rsid w:val="00933F25"/>
    <w:rsid w:val="00935642"/>
    <w:rsid w:val="009365EB"/>
    <w:rsid w:val="009605F5"/>
    <w:rsid w:val="00973F9A"/>
    <w:rsid w:val="0097641A"/>
    <w:rsid w:val="009C305C"/>
    <w:rsid w:val="009D1DBA"/>
    <w:rsid w:val="009E42A2"/>
    <w:rsid w:val="00A2043D"/>
    <w:rsid w:val="00A545E3"/>
    <w:rsid w:val="00A76496"/>
    <w:rsid w:val="00A80282"/>
    <w:rsid w:val="00A83638"/>
    <w:rsid w:val="00A83BEF"/>
    <w:rsid w:val="00A96FC3"/>
    <w:rsid w:val="00AA0EA1"/>
    <w:rsid w:val="00AB1951"/>
    <w:rsid w:val="00AC3E68"/>
    <w:rsid w:val="00AE1895"/>
    <w:rsid w:val="00AF7E71"/>
    <w:rsid w:val="00B00D78"/>
    <w:rsid w:val="00B3082B"/>
    <w:rsid w:val="00B30B66"/>
    <w:rsid w:val="00B804EA"/>
    <w:rsid w:val="00BA323A"/>
    <w:rsid w:val="00BA3DBD"/>
    <w:rsid w:val="00BC1C96"/>
    <w:rsid w:val="00BC336A"/>
    <w:rsid w:val="00BE33CA"/>
    <w:rsid w:val="00BF0C14"/>
    <w:rsid w:val="00C15B87"/>
    <w:rsid w:val="00C220B4"/>
    <w:rsid w:val="00C23D82"/>
    <w:rsid w:val="00C44459"/>
    <w:rsid w:val="00C61DB1"/>
    <w:rsid w:val="00C71C43"/>
    <w:rsid w:val="00C849F3"/>
    <w:rsid w:val="00C8634E"/>
    <w:rsid w:val="00CA22F2"/>
    <w:rsid w:val="00CB3ADC"/>
    <w:rsid w:val="00CF4D3D"/>
    <w:rsid w:val="00D21E69"/>
    <w:rsid w:val="00D22330"/>
    <w:rsid w:val="00D429B1"/>
    <w:rsid w:val="00D44D73"/>
    <w:rsid w:val="00D45BAD"/>
    <w:rsid w:val="00D461EB"/>
    <w:rsid w:val="00D53AC0"/>
    <w:rsid w:val="00D7399C"/>
    <w:rsid w:val="00D7693D"/>
    <w:rsid w:val="00D778EE"/>
    <w:rsid w:val="00DA5974"/>
    <w:rsid w:val="00DB051C"/>
    <w:rsid w:val="00DB73BB"/>
    <w:rsid w:val="00DC4EC8"/>
    <w:rsid w:val="00DE253E"/>
    <w:rsid w:val="00DE4D10"/>
    <w:rsid w:val="00DE6426"/>
    <w:rsid w:val="00DE6BAA"/>
    <w:rsid w:val="00DE78D7"/>
    <w:rsid w:val="00E00413"/>
    <w:rsid w:val="00E260CB"/>
    <w:rsid w:val="00E313BA"/>
    <w:rsid w:val="00E73A03"/>
    <w:rsid w:val="00E73C7F"/>
    <w:rsid w:val="00E75E0A"/>
    <w:rsid w:val="00E76911"/>
    <w:rsid w:val="00E8553A"/>
    <w:rsid w:val="00E87B87"/>
    <w:rsid w:val="00E94742"/>
    <w:rsid w:val="00EB1B7E"/>
    <w:rsid w:val="00ED6E81"/>
    <w:rsid w:val="00EE060F"/>
    <w:rsid w:val="00F11B22"/>
    <w:rsid w:val="00F226E9"/>
    <w:rsid w:val="00F41B74"/>
    <w:rsid w:val="00F575C4"/>
    <w:rsid w:val="00F84321"/>
    <w:rsid w:val="00F85364"/>
    <w:rsid w:val="00FF5B86"/>
    <w:rsid w:val="32D44275"/>
    <w:rsid w:val="36405312"/>
    <w:rsid w:val="3A201269"/>
    <w:rsid w:val="3F090E34"/>
    <w:rsid w:val="4363359A"/>
    <w:rsid w:val="51F548E6"/>
    <w:rsid w:val="5B80542E"/>
    <w:rsid w:val="72CC471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basedOn w:val="1"/>
    <w:next w:val="1"/>
    <w:link w:val="18"/>
    <w:qFormat/>
    <w:uiPriority w:val="99"/>
    <w:pPr>
      <w:keepNext/>
      <w:tabs>
        <w:tab w:val="left" w:pos="720"/>
      </w:tabs>
      <w:spacing w:before="240" w:after="60"/>
      <w:ind w:left="720" w:hanging="720"/>
      <w:outlineLvl w:val="0"/>
    </w:pPr>
    <w:rPr>
      <w:rFonts w:ascii="Cambria" w:hAnsi="Cambria" w:cs="Cambria"/>
      <w:b/>
      <w:bCs/>
      <w:kern w:val="32"/>
      <w:sz w:val="32"/>
      <w:szCs w:val="32"/>
    </w:rPr>
  </w:style>
  <w:style w:type="paragraph" w:styleId="3">
    <w:name w:val="heading 2"/>
    <w:basedOn w:val="1"/>
    <w:next w:val="1"/>
    <w:link w:val="19"/>
    <w:qFormat/>
    <w:uiPriority w:val="99"/>
    <w:pPr>
      <w:keepNext/>
      <w:tabs>
        <w:tab w:val="left" w:pos="1440"/>
      </w:tabs>
      <w:spacing w:before="240" w:after="60"/>
      <w:ind w:left="1440" w:hanging="720"/>
      <w:outlineLvl w:val="1"/>
    </w:pPr>
    <w:rPr>
      <w:rFonts w:ascii="Cambria" w:hAnsi="Cambria" w:cs="Cambria"/>
      <w:b/>
      <w:bCs/>
      <w:i/>
      <w:iCs/>
      <w:sz w:val="28"/>
      <w:szCs w:val="28"/>
    </w:rPr>
  </w:style>
  <w:style w:type="paragraph" w:styleId="4">
    <w:name w:val="heading 3"/>
    <w:basedOn w:val="1"/>
    <w:next w:val="1"/>
    <w:link w:val="20"/>
    <w:qFormat/>
    <w:uiPriority w:val="99"/>
    <w:pPr>
      <w:keepNext/>
      <w:tabs>
        <w:tab w:val="left" w:pos="2160"/>
      </w:tabs>
      <w:spacing w:before="240" w:after="60"/>
      <w:ind w:left="2160" w:hanging="720"/>
      <w:outlineLvl w:val="2"/>
    </w:pPr>
    <w:rPr>
      <w:rFonts w:ascii="Cambria" w:hAnsi="Cambria" w:cs="Cambria"/>
      <w:b/>
      <w:bCs/>
      <w:sz w:val="26"/>
      <w:szCs w:val="26"/>
    </w:rPr>
  </w:style>
  <w:style w:type="paragraph" w:styleId="5">
    <w:name w:val="heading 4"/>
    <w:basedOn w:val="1"/>
    <w:next w:val="1"/>
    <w:link w:val="21"/>
    <w:qFormat/>
    <w:uiPriority w:val="99"/>
    <w:pPr>
      <w:keepNext/>
      <w:tabs>
        <w:tab w:val="left" w:pos="2880"/>
      </w:tabs>
      <w:spacing w:before="240" w:after="60"/>
      <w:ind w:left="2880" w:hanging="720"/>
      <w:outlineLvl w:val="3"/>
    </w:pPr>
    <w:rPr>
      <w:rFonts w:ascii="Calibri" w:hAnsi="Calibri" w:cs="Calibri"/>
      <w:b/>
      <w:bCs/>
      <w:sz w:val="28"/>
      <w:szCs w:val="28"/>
    </w:rPr>
  </w:style>
  <w:style w:type="paragraph" w:styleId="6">
    <w:name w:val="heading 5"/>
    <w:basedOn w:val="1"/>
    <w:next w:val="1"/>
    <w:link w:val="22"/>
    <w:qFormat/>
    <w:uiPriority w:val="99"/>
    <w:pPr>
      <w:tabs>
        <w:tab w:val="left" w:pos="3600"/>
      </w:tabs>
      <w:spacing w:before="240" w:after="60"/>
      <w:ind w:left="3600" w:hanging="720"/>
      <w:outlineLvl w:val="4"/>
    </w:pPr>
    <w:rPr>
      <w:rFonts w:ascii="Calibri" w:hAnsi="Calibri" w:cs="Calibri"/>
      <w:b/>
      <w:bCs/>
      <w:i/>
      <w:iCs/>
      <w:sz w:val="26"/>
      <w:szCs w:val="26"/>
    </w:rPr>
  </w:style>
  <w:style w:type="paragraph" w:styleId="7">
    <w:name w:val="heading 6"/>
    <w:basedOn w:val="1"/>
    <w:next w:val="1"/>
    <w:link w:val="23"/>
    <w:qFormat/>
    <w:uiPriority w:val="99"/>
    <w:pPr>
      <w:tabs>
        <w:tab w:val="left" w:pos="4320"/>
      </w:tabs>
      <w:spacing w:before="240" w:after="60"/>
      <w:ind w:left="4320" w:hanging="720"/>
      <w:outlineLvl w:val="5"/>
    </w:pPr>
    <w:rPr>
      <w:b/>
      <w:bCs/>
      <w:sz w:val="22"/>
      <w:szCs w:val="22"/>
    </w:rPr>
  </w:style>
  <w:style w:type="paragraph" w:styleId="8">
    <w:name w:val="heading 7"/>
    <w:basedOn w:val="1"/>
    <w:next w:val="1"/>
    <w:link w:val="24"/>
    <w:qFormat/>
    <w:uiPriority w:val="99"/>
    <w:pPr>
      <w:tabs>
        <w:tab w:val="left" w:pos="5040"/>
      </w:tabs>
      <w:spacing w:before="240" w:after="60"/>
      <w:ind w:left="5040" w:hanging="720"/>
      <w:outlineLvl w:val="6"/>
    </w:pPr>
    <w:rPr>
      <w:rFonts w:ascii="Calibri" w:hAnsi="Calibri" w:cs="Calibri"/>
      <w:sz w:val="24"/>
      <w:szCs w:val="24"/>
    </w:rPr>
  </w:style>
  <w:style w:type="paragraph" w:styleId="9">
    <w:name w:val="heading 8"/>
    <w:basedOn w:val="1"/>
    <w:next w:val="1"/>
    <w:link w:val="25"/>
    <w:qFormat/>
    <w:uiPriority w:val="99"/>
    <w:pPr>
      <w:tabs>
        <w:tab w:val="left" w:pos="5760"/>
      </w:tabs>
      <w:spacing w:before="240" w:after="60"/>
      <w:ind w:left="5760" w:hanging="720"/>
      <w:outlineLvl w:val="7"/>
    </w:pPr>
    <w:rPr>
      <w:rFonts w:ascii="Calibri" w:hAnsi="Calibri" w:cs="Calibri"/>
      <w:i/>
      <w:iCs/>
      <w:sz w:val="24"/>
      <w:szCs w:val="24"/>
    </w:rPr>
  </w:style>
  <w:style w:type="paragraph" w:styleId="10">
    <w:name w:val="heading 9"/>
    <w:basedOn w:val="1"/>
    <w:next w:val="1"/>
    <w:link w:val="26"/>
    <w:qFormat/>
    <w:uiPriority w:val="99"/>
    <w:pPr>
      <w:tabs>
        <w:tab w:val="left" w:pos="6480"/>
      </w:tabs>
      <w:spacing w:before="240" w:after="60"/>
      <w:ind w:left="6480" w:hanging="720"/>
      <w:outlineLvl w:val="8"/>
    </w:pPr>
    <w:rPr>
      <w:rFonts w:ascii="Cambria" w:hAnsi="Cambria" w:cs="Cambria"/>
      <w:sz w:val="22"/>
      <w:szCs w:val="22"/>
    </w:rPr>
  </w:style>
  <w:style w:type="character" w:default="1" w:styleId="16">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11">
    <w:name w:val="Document Map"/>
    <w:basedOn w:val="1"/>
    <w:link w:val="30"/>
    <w:semiHidden/>
    <w:qFormat/>
    <w:locked/>
    <w:uiPriority w:val="99"/>
    <w:pPr>
      <w:shd w:val="clear" w:color="auto" w:fill="000080"/>
    </w:pPr>
  </w:style>
  <w:style w:type="paragraph" w:styleId="12">
    <w:name w:val="Balloon Text"/>
    <w:basedOn w:val="1"/>
    <w:link w:val="29"/>
    <w:semiHidden/>
    <w:qFormat/>
    <w:uiPriority w:val="99"/>
    <w:rPr>
      <w:sz w:val="18"/>
      <w:szCs w:val="18"/>
    </w:rPr>
  </w:style>
  <w:style w:type="paragraph" w:styleId="13">
    <w:name w:val="footer"/>
    <w:basedOn w:val="1"/>
    <w:link w:val="27"/>
    <w:qFormat/>
    <w:uiPriority w:val="99"/>
    <w:pPr>
      <w:tabs>
        <w:tab w:val="center" w:pos="4153"/>
        <w:tab w:val="right" w:pos="8306"/>
      </w:tabs>
      <w:snapToGrid w:val="0"/>
    </w:pPr>
    <w:rPr>
      <w:sz w:val="18"/>
      <w:szCs w:val="18"/>
    </w:rPr>
  </w:style>
  <w:style w:type="paragraph" w:styleId="14">
    <w:name w:val="header"/>
    <w:basedOn w:val="1"/>
    <w:link w:val="28"/>
    <w:semiHidden/>
    <w:qFormat/>
    <w:uiPriority w:val="99"/>
    <w:pPr>
      <w:pBdr>
        <w:bottom w:val="single" w:color="auto" w:sz="6" w:space="1"/>
      </w:pBdr>
      <w:tabs>
        <w:tab w:val="center" w:pos="4153"/>
        <w:tab w:val="right" w:pos="8306"/>
      </w:tabs>
      <w:snapToGrid w:val="0"/>
      <w:jc w:val="center"/>
    </w:pPr>
    <w:rPr>
      <w:sz w:val="18"/>
      <w:szCs w:val="18"/>
    </w:rPr>
  </w:style>
  <w:style w:type="character" w:styleId="17">
    <w:name w:val="page number"/>
    <w:basedOn w:val="16"/>
    <w:uiPriority w:val="99"/>
    <w:rPr>
      <w:rFonts w:cs="Times New Roman"/>
    </w:rPr>
  </w:style>
  <w:style w:type="character" w:customStyle="1" w:styleId="18">
    <w:name w:val="标题 1 Char"/>
    <w:basedOn w:val="16"/>
    <w:link w:val="2"/>
    <w:locked/>
    <w:uiPriority w:val="99"/>
    <w:rPr>
      <w:rFonts w:ascii="Cambria" w:hAnsi="Cambria" w:cs="Cambria"/>
      <w:b/>
      <w:bCs/>
      <w:kern w:val="32"/>
      <w:sz w:val="32"/>
      <w:szCs w:val="32"/>
      <w:lang w:eastAsia="en-US"/>
    </w:rPr>
  </w:style>
  <w:style w:type="character" w:customStyle="1" w:styleId="19">
    <w:name w:val="标题 2 Char"/>
    <w:basedOn w:val="16"/>
    <w:link w:val="3"/>
    <w:locked/>
    <w:uiPriority w:val="99"/>
    <w:rPr>
      <w:rFonts w:ascii="Cambria" w:hAnsi="Cambria" w:cs="Cambria"/>
      <w:b/>
      <w:bCs/>
      <w:i/>
      <w:iCs/>
      <w:kern w:val="0"/>
      <w:sz w:val="28"/>
      <w:szCs w:val="28"/>
      <w:lang w:eastAsia="en-US"/>
    </w:rPr>
  </w:style>
  <w:style w:type="character" w:customStyle="1" w:styleId="20">
    <w:name w:val="标题 3 Char"/>
    <w:basedOn w:val="16"/>
    <w:link w:val="4"/>
    <w:qFormat/>
    <w:locked/>
    <w:uiPriority w:val="99"/>
    <w:rPr>
      <w:rFonts w:ascii="Cambria" w:hAnsi="Cambria" w:cs="Cambria"/>
      <w:b/>
      <w:bCs/>
      <w:kern w:val="0"/>
      <w:sz w:val="26"/>
      <w:szCs w:val="26"/>
      <w:lang w:eastAsia="en-US"/>
    </w:rPr>
  </w:style>
  <w:style w:type="character" w:customStyle="1" w:styleId="21">
    <w:name w:val="标题 4 Char"/>
    <w:basedOn w:val="16"/>
    <w:link w:val="5"/>
    <w:qFormat/>
    <w:locked/>
    <w:uiPriority w:val="99"/>
    <w:rPr>
      <w:rFonts w:ascii="Calibri" w:hAnsi="Calibri" w:cs="Calibri"/>
      <w:b/>
      <w:bCs/>
      <w:kern w:val="0"/>
      <w:sz w:val="28"/>
      <w:szCs w:val="28"/>
      <w:lang w:eastAsia="en-US"/>
    </w:rPr>
  </w:style>
  <w:style w:type="character" w:customStyle="1" w:styleId="22">
    <w:name w:val="标题 5 Char"/>
    <w:basedOn w:val="16"/>
    <w:link w:val="6"/>
    <w:qFormat/>
    <w:locked/>
    <w:uiPriority w:val="99"/>
    <w:rPr>
      <w:rFonts w:ascii="Calibri" w:hAnsi="Calibri" w:cs="Calibri"/>
      <w:b/>
      <w:bCs/>
      <w:i/>
      <w:iCs/>
      <w:kern w:val="0"/>
      <w:sz w:val="26"/>
      <w:szCs w:val="26"/>
      <w:lang w:eastAsia="en-US"/>
    </w:rPr>
  </w:style>
  <w:style w:type="character" w:customStyle="1" w:styleId="23">
    <w:name w:val="标题 6 Char"/>
    <w:basedOn w:val="16"/>
    <w:link w:val="7"/>
    <w:qFormat/>
    <w:locked/>
    <w:uiPriority w:val="99"/>
    <w:rPr>
      <w:rFonts w:cs="Times New Roman"/>
      <w:b/>
      <w:bCs/>
      <w:kern w:val="0"/>
      <w:sz w:val="22"/>
      <w:lang w:eastAsia="en-US"/>
    </w:rPr>
  </w:style>
  <w:style w:type="character" w:customStyle="1" w:styleId="24">
    <w:name w:val="标题 7 Char"/>
    <w:basedOn w:val="16"/>
    <w:link w:val="8"/>
    <w:locked/>
    <w:uiPriority w:val="99"/>
    <w:rPr>
      <w:rFonts w:ascii="Calibri" w:hAnsi="Calibri" w:cs="Calibri"/>
      <w:kern w:val="0"/>
      <w:sz w:val="24"/>
      <w:szCs w:val="24"/>
      <w:lang w:eastAsia="en-US"/>
    </w:rPr>
  </w:style>
  <w:style w:type="character" w:customStyle="1" w:styleId="25">
    <w:name w:val="标题 8 Char"/>
    <w:basedOn w:val="16"/>
    <w:link w:val="9"/>
    <w:qFormat/>
    <w:locked/>
    <w:uiPriority w:val="99"/>
    <w:rPr>
      <w:rFonts w:ascii="Calibri" w:hAnsi="Calibri" w:cs="Calibri"/>
      <w:i/>
      <w:iCs/>
      <w:kern w:val="0"/>
      <w:sz w:val="24"/>
      <w:szCs w:val="24"/>
      <w:lang w:eastAsia="en-US"/>
    </w:rPr>
  </w:style>
  <w:style w:type="character" w:customStyle="1" w:styleId="26">
    <w:name w:val="标题 9 Char"/>
    <w:basedOn w:val="16"/>
    <w:link w:val="10"/>
    <w:locked/>
    <w:uiPriority w:val="99"/>
    <w:rPr>
      <w:rFonts w:ascii="Cambria" w:hAnsi="Cambria" w:cs="Cambria"/>
      <w:kern w:val="0"/>
      <w:sz w:val="22"/>
      <w:lang w:eastAsia="en-US"/>
    </w:rPr>
  </w:style>
  <w:style w:type="character" w:customStyle="1" w:styleId="27">
    <w:name w:val="页脚 Char"/>
    <w:basedOn w:val="16"/>
    <w:link w:val="13"/>
    <w:qFormat/>
    <w:locked/>
    <w:uiPriority w:val="99"/>
    <w:rPr>
      <w:rFonts w:cs="Times New Roman"/>
      <w:kern w:val="0"/>
      <w:sz w:val="18"/>
      <w:szCs w:val="18"/>
      <w:lang w:eastAsia="en-US"/>
    </w:rPr>
  </w:style>
  <w:style w:type="character" w:customStyle="1" w:styleId="28">
    <w:name w:val="页眉 Char"/>
    <w:basedOn w:val="16"/>
    <w:link w:val="14"/>
    <w:semiHidden/>
    <w:qFormat/>
    <w:locked/>
    <w:uiPriority w:val="99"/>
    <w:rPr>
      <w:rFonts w:cs="Times New Roman"/>
      <w:kern w:val="0"/>
      <w:sz w:val="18"/>
      <w:szCs w:val="18"/>
      <w:lang w:eastAsia="en-US"/>
    </w:rPr>
  </w:style>
  <w:style w:type="character" w:customStyle="1" w:styleId="29">
    <w:name w:val="批注框文本 Char"/>
    <w:basedOn w:val="16"/>
    <w:link w:val="12"/>
    <w:semiHidden/>
    <w:qFormat/>
    <w:locked/>
    <w:uiPriority w:val="99"/>
    <w:rPr>
      <w:rFonts w:cs="Times New Roman"/>
      <w:kern w:val="0"/>
      <w:sz w:val="18"/>
      <w:szCs w:val="18"/>
      <w:lang w:eastAsia="en-US"/>
    </w:rPr>
  </w:style>
  <w:style w:type="character" w:customStyle="1" w:styleId="30">
    <w:name w:val="文档结构图 Char"/>
    <w:basedOn w:val="16"/>
    <w:link w:val="11"/>
    <w:semiHidden/>
    <w:locked/>
    <w:uiPriority w:val="99"/>
    <w:rPr>
      <w:rFonts w:cs="Times New Roman"/>
      <w:kern w:val="0"/>
      <w:sz w:val="2"/>
      <w:lang w:eastAsia="en-US"/>
    </w:rPr>
  </w:style>
  <w:style w:type="paragraph" w:customStyle="1" w:styleId="31">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2">
    <w:name w:val="List Paragraph"/>
    <w:basedOn w:val="1"/>
    <w:qFormat/>
    <w:uiPriority w:val="34"/>
    <w:pPr>
      <w:adjustRightInd w:val="0"/>
      <w:snapToGrid w:val="0"/>
      <w:spacing w:after="200"/>
      <w:ind w:firstLine="420" w:firstLineChars="200"/>
    </w:pPr>
    <w:rPr>
      <w:rFonts w:ascii="Tahoma" w:hAnsi="Tahoma" w:eastAsia="微软雅黑"/>
      <w:sz w:val="22"/>
      <w:szCs w:val="2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5270</Words>
  <Characters>1228</Characters>
  <Lines>10</Lines>
  <Paragraphs>12</Paragraphs>
  <TotalTime>0</TotalTime>
  <ScaleCrop>false</ScaleCrop>
  <LinksUpToDate>false</LinksUpToDate>
  <CharactersWithSpaces>6486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2016-11-22T14:57:00Z</dcterms:created>
  <dc:creator>USER</dc:creator>
  <cp:lastModifiedBy>6665</cp:lastModifiedBy>
  <cp:lastPrinted>2016-11-23T03:10:00Z</cp:lastPrinted>
  <dcterms:modified xsi:type="dcterms:W3CDTF">2025-02-08T02:00:19Z</dcterms:modified>
  <dc:title>2015 年度</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-1744952623</vt:i4>
  </property>
  <property fmtid="{D5CDD505-2E9C-101B-9397-08002B2CF9AE}" pid="3" name="KSOProductBuildVer">
    <vt:lpwstr>2052-11.1.0.9021</vt:lpwstr>
  </property>
</Properties>
</file>