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rPr>
        <w:t>曲阳县文德镇人民政府</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将曲阳县文德镇人民政府</w:t>
      </w:r>
      <w:r>
        <w:rPr>
          <w:rFonts w:ascii="仿宋" w:hAnsi="仿宋" w:eastAsia="仿宋" w:cs="Times New Roman"/>
          <w:color w:val="auto"/>
          <w:sz w:val="32"/>
          <w:szCs w:val="32"/>
        </w:rPr>
        <w:t>201</w:t>
      </w:r>
      <w:r>
        <w:rPr>
          <w:rFonts w:hint="eastAsia" w:ascii="仿宋" w:hAnsi="仿宋" w:eastAsia="仿宋" w:cs="Times New Roman"/>
          <w:color w:val="auto"/>
          <w:sz w:val="32"/>
          <w:szCs w:val="32"/>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ind w:firstLine="643" w:firstLineChars="200"/>
        <w:rPr>
          <w:rFonts w:ascii="仿宋" w:hAnsi="仿宋" w:eastAsia="仿宋" w:cs="Times New Roman"/>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Times New Roman"/>
          <w:color w:val="auto"/>
          <w:sz w:val="32"/>
          <w:szCs w:val="32"/>
        </w:rPr>
        <w:t>根据曲阳县人民政府《关于印发曲阳县文德镇人民政府主要职责内设机构和人员编制规定的通知》，现将我单位部门职责说明如下：</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（一）执行本级人民代表大会的决议和上级国家行政机关的决定和命令，发布决定和命令。</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（二）执行本行政区域内经济和社会发展计划，加强公共设施的建设和管理，发展各项服务事业。</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（三）加强水利建设、土地使用管理及环境综合整治，合理利用自然资源，保护改善生活和生态环境。</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（四）依法管理乡财政，执行本级预算。</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（五）管理和发展文化、教育、科学技术、广播、体育、卫生等事业。</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（六）保护全民所有财产和劳动群众集体所有的财产，保护公民私人所有的合法财产，保障公民的人身权力、民主权利和其他权利， 保护各种经济组织的合法权益。</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（七）开展社会主义民主与法制教育，管理公安、司法行政工作，加强社会治安综合治理，调解民事纠纷，维护社会秩序。</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（八）推行计划生育，控制人口增长，保护妇女，儿童和老人的合法权益。</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（九）管理民政行政工作，发展社会福利事业，做好社会保障工作，办理兵役事项。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7"/>
        <w:tblW w:w="100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3175"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3175"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曲阳县文德镇党委</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曲阳县文德镇政府</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曲阳县文德镇人大</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曲阳县文德镇财政</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曲阳县文德镇计生</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曲阳县文德镇社会事务管理</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曲阳县文德镇乡镇企业管理</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其他</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财政性资金定额或定向补助</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rPr>
        <w:t>单位</w:t>
      </w:r>
      <w:r>
        <w:rPr>
          <w:rFonts w:ascii="Times New Roman" w:hAnsi="Times New Roman" w:eastAsia="仿宋" w:cs="Times New Roman"/>
          <w:color w:val="auto"/>
          <w:sz w:val="32"/>
          <w:szCs w:val="32"/>
        </w:rPr>
        <w:t>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反应本部门当年全部收入。2019年预算收入788.91万元，其中：一般公共预算收入788.91万元，基金预算收入0万元，财政专户核拨收入0万元，其他来源收入0万元。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文德镇人民政府年度部门预算中支出预算的总体情况。2019年部门支出预算为788.91万元，其中基本支出410.50万元，包括人员经费365.49万元和日常公用经费45.01万元；项目支出378.41万元，主要为乡镇专项经费支出17.5万元、涉军人员公益岗支出6.42万元，党组织活动经费21.84万元，村级办公经费、村干部工资和离任干部工资支出300.16万元，人大经费支出1万元，网格员生活补贴20.4万元，生态护林员补助11.09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2019年，部门预算收支安排788.91万元，较2018年减少46.30万元，其中：基本支出减少30.08万元，主要是增加人员经费；项目支出减少16.22万元，主要是由于减少</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支出。</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机关运行经费共计安排45.01万元，主要用于保证机关正常运转的办公、邮电费、差旅费、福利费、工会经费、办公用房水电费、办公用房取暖费、日常维修费、公务车运行维护费、其他交通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财政拨款“三公”经费预算安排2.4万元，其中：因公出国（境）费0万元；公务用车购置及运维费2.4万元（其中：公务用车运行维护费2.4万元，公务用车购置费0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2019年，文德镇将加强队伍建设，实施农村面貌改造提升行动，推动新农村建设，进一步建立健全农村基层干部的激励保障机制。</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1、领导经济建设，推进新农村发展。</w:t>
      </w:r>
      <w:r>
        <w:rPr>
          <w:rFonts w:hint="eastAsia" w:ascii="Times New Roman" w:hAnsi="Times New Roman" w:eastAsia="仿宋" w:cs="Times New Roman"/>
          <w:color w:val="auto"/>
          <w:sz w:val="32"/>
          <w:szCs w:val="32"/>
          <w:lang w:eastAsia="zh-CN"/>
        </w:rPr>
        <w:t>制订</w:t>
      </w:r>
      <w:r>
        <w:rPr>
          <w:rFonts w:hint="eastAsia" w:ascii="Times New Roman" w:hAnsi="Times New Roman" w:eastAsia="仿宋" w:cs="Times New Roman"/>
          <w:color w:val="auto"/>
          <w:sz w:val="32"/>
          <w:szCs w:val="32"/>
        </w:rPr>
        <w:t>本乡经济和社会发展规划，并组织实施。执行本行政区域内经济和社会发展计划，加强公共设施的建设和管理，发展各项服务事业。以煤炭产业为主导，促进产业经济规模化，园区化，结合乡实际加强环保宣传力度，并组织实施。</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2、加强文明建设，改善农村面貌。社会主义精神文明和民主法制建设，加强农村社会治安综合治理，贯彻执行党和国家的计划生育政策。贯彻</w:t>
      </w:r>
      <w:r>
        <w:rPr>
          <w:rFonts w:hint="eastAsia" w:ascii="Times New Roman" w:hAnsi="Times New Roman" w:eastAsia="仿宋" w:cs="Times New Roman"/>
          <w:color w:val="auto"/>
          <w:sz w:val="32"/>
          <w:szCs w:val="32"/>
          <w:lang w:eastAsia="zh-CN"/>
        </w:rPr>
        <w:t>习近平总书记扫黑除恶</w:t>
      </w:r>
      <w:r>
        <w:rPr>
          <w:rFonts w:hint="eastAsia" w:ascii="Times New Roman" w:hAnsi="Times New Roman" w:eastAsia="仿宋" w:cs="Times New Roman"/>
          <w:color w:val="auto"/>
          <w:sz w:val="32"/>
          <w:szCs w:val="32"/>
        </w:rPr>
        <w:t>精神，进一步健全我乡社会治安综合治理领导和办事机构，不断加强基层基础建设，贯彻执行党和国家政策。优化农村环境，清理村内街道，建设文明乡村。</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3、加强农村农业事务管理，保证补贴发放率。依法管理乡财政，执行本级预算。推进新农村建设，加快建设社会主义新农村。进一步规范村级财务管理，使得“村财乡管”完成率达标。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 xml:space="preserve">5、改善生活环境，加大生态保护。加强水利建设、土地使用管理及环境综合整治，合理利用自然资源，宣传绿色理念。做好防火工作，防治大气污染。携手各村，植树造林，净化空气。 </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6、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7、关心民众疾苦，搞好民政工作。管理和发展文化、教育、卫生等各项社会事业。做好优抚工作，严格规范办事程序。以人民群众为出发点。对于低保、五保工作加大重视，做到应保尽保，公平、公正、公开、透明。</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8、促进征兵工作，加强国防力量。完成上级交给的征兵工作任务，严格把关，做好满十八岁在青少年兵役登记工作，做好征兵工作在宣传，使得国家政策得到很好在宣传。张贴征兵标语，加大宣传力度。把高品质，高素质，高学历的兵员，送到部队。</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1、推进新农村建设</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通过实施农村面貌改造提升行动和开展新民居中心村示范点建设，加快建设社会主义新农村。改善农村环境面貌，提升农民生产生活条件。其中在选聘</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工资及各项保障机遇，发放率达100%,解除</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的后顾之忧，进一步调动</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的工作积极性。同时按时发放</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工资，补贴发放率达到100%,足额缴纳各项保险。从而，使得</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的待遇得到保障。</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2、加强农村农业事务管理</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3、规范政务管理</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32504"/>
      <w:r>
        <w:rPr>
          <w:rFonts w:hint="eastAsia" w:ascii="方正小标宋_GBK" w:eastAsia="方正小标宋_GBK"/>
          <w:color w:val="auto"/>
          <w:sz w:val="32"/>
        </w:rPr>
        <w:t>部门职责-工作活动绩效目标</w:t>
      </w:r>
      <w:r>
        <w:rPr>
          <w:rStyle w:val="11"/>
          <w:rFonts w:ascii="方正小标宋_GBK" w:eastAsia="方正小标宋_GBK"/>
          <w:color w:val="auto"/>
          <w:sz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98</w:t>
            </w:r>
            <w:r>
              <w:rPr>
                <w:rFonts w:hint="eastAsia" w:ascii="方正小标宋_GBK" w:eastAsia="方正小标宋_GBK"/>
                <w:color w:val="auto"/>
                <w:sz w:val="24"/>
              </w:rPr>
              <w:t>7曲阳县文德镇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color w:val="auto"/>
              </w:rPr>
            </w:pPr>
          </w:p>
        </w:tc>
        <w:tc>
          <w:tcPr>
            <w:tcW w:w="12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1417" w:type="dxa"/>
            <w:vMerge w:val="continue"/>
            <w:shd w:val="clear" w:color="auto" w:fill="auto"/>
            <w:vAlign w:val="center"/>
          </w:tcPr>
          <w:p>
            <w:pPr>
              <w:spacing w:line="300" w:lineRule="exact"/>
              <w:jc w:val="lef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一、选举和任免</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换届选举工作完成率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政治任务实现率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二、民族宗教事务管理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天主教神职人员补助覆盖率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维稳突出问题解决率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三、政法综治稳定和国家安全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、推进社会治安综合治理，维护社会稳定，有效地维护本乡镇的可持续稳定。同时抓好全民普法工作，推进依法治理。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w:t>
            </w:r>
            <w:r>
              <w:rPr>
                <w:rFonts w:ascii="方正书宋_GBK" w:eastAsia="方正书宋_GBK"/>
                <w:color w:val="auto"/>
              </w:rPr>
              <w:t xml:space="preserve"> </w:t>
            </w:r>
            <w:r>
              <w:rPr>
                <w:rFonts w:hint="eastAsia" w:ascii="方正书宋_GBK" w:eastAsia="方正书宋_GBK"/>
                <w:color w:val="auto"/>
              </w:rPr>
              <w:t>制度的落实，抓好中小学校的社会治安综合治理和所辖乡镇铁路治安联防护路等工作。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协调督导事项化解率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安保活动圆满完成情况</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办结率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排查率、化解率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保障铁路运输安全</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保障安全畅通</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四、社会管理与服务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rPr>
              <w:t>“</w:t>
            </w:r>
            <w:r>
              <w:rPr>
                <w:rFonts w:hint="eastAsia" w:ascii="方正书宋_GBK" w:eastAsia="方正书宋_GBK"/>
                <w:color w:val="auto"/>
              </w:rPr>
              <w:t>四个民主</w:t>
            </w:r>
            <w:r>
              <w:rPr>
                <w:rFonts w:hint="cs" w:ascii="方正书宋_GBK" w:eastAsia="方正书宋_GBK"/>
                <w:color w:val="auto"/>
              </w:rPr>
              <w:t>”</w:t>
            </w:r>
            <w:r>
              <w:rPr>
                <w:rFonts w:hint="eastAsia" w:ascii="方正书宋_GBK" w:eastAsia="方正书宋_GBK"/>
                <w:color w:val="auto"/>
              </w:rPr>
              <w:t>；按照</w:t>
            </w:r>
            <w:r>
              <w:rPr>
                <w:rFonts w:hint="cs" w:ascii="方正书宋_GBK" w:eastAsia="方正书宋_GBK"/>
                <w:color w:val="auto"/>
              </w:rPr>
              <w:t>“</w:t>
            </w:r>
            <w:r>
              <w:rPr>
                <w:rFonts w:hint="eastAsia" w:ascii="方正书宋_GBK" w:eastAsia="方正书宋_GBK"/>
                <w:color w:val="auto"/>
              </w:rPr>
              <w:t>四有一创</w:t>
            </w:r>
            <w:r>
              <w:rPr>
                <w:rFonts w:hint="cs" w:ascii="方正书宋_GBK" w:eastAsia="方正书宋_GBK"/>
                <w:color w:val="auto"/>
              </w:rPr>
              <w:t>”</w:t>
            </w:r>
            <w:r>
              <w:rPr>
                <w:rFonts w:hint="eastAsia" w:ascii="方正书宋_GBK" w:eastAsia="方正书宋_GBK"/>
                <w:color w:val="auto"/>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村民委员会换届选举率达到或超过上届水平。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社区综合设施覆盖率达到全国平均水平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五、政府专项工作服务与管理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乡镇债务风险警戒值</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全部低于财政部风险警戒标准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总体风险低于警戒标准，单项指标被风险预警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六、水利水电项目建设与管理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水利水电项目的建设与维护管理。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工程质量验收合格率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工程运行故障率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提高农业用水效率、改善农业生产条件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项目完工率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移民政策落实率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保障农村供水安全</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七、水利科技支撑和公共服务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八、城乡建设管理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加强乡镇基础设施建设</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基础设施建设工作目标完成率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乡镇建设工作考核完成率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垃圾处理率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危房改造完成率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九、交通运输基础设施建设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交通基础设施建设重点项目完成率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十、交通运输基础设施养护、维护</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rPr>
              <w:t>“</w:t>
            </w:r>
            <w:r>
              <w:rPr>
                <w:rFonts w:hint="eastAsia" w:ascii="方正书宋_GBK" w:eastAsia="方正书宋_GBK"/>
                <w:color w:val="auto"/>
              </w:rPr>
              <w:t>以奖代补</w:t>
            </w:r>
            <w:r>
              <w:rPr>
                <w:rFonts w:hint="cs" w:ascii="方正书宋_GBK" w:eastAsia="方正书宋_GBK"/>
                <w:color w:val="auto"/>
              </w:rPr>
              <w:t>”</w:t>
            </w:r>
            <w:r>
              <w:rPr>
                <w:rFonts w:hint="eastAsia" w:ascii="方正书宋_GBK" w:eastAsia="方正书宋_GBK"/>
                <w:color w:val="auto"/>
              </w:rPr>
              <w:t>。</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公路基础信息数据更新率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公路基础信息数据使用率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各项业务顺利开展，按时完成工作。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工作质量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按时完成工作，质量高</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按时完成工作，质量一般</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基本完成工作</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项目质量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合格</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十一、农村文化建设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农村公益电影放映完成率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民间交流次数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对外交流次数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全民阅读活动任务完成率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农家书屋更新完成率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老放映员补助到位率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户户通工程任务完成率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应急广播体系建设任务完成率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群众文化体育活动组织覆盖率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十二、医疗保障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有效降低城乡居民看病就医的经济负担。</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新农合参合率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十三、计划生育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十四、政务管理</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46.76</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促进乡镇机关事务管理工作科学发展。</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46.76</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综合事务保障完成率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十五、环境污染综合防治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十六、自然生态保护</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w:t>
            </w:r>
            <w:r>
              <w:rPr>
                <w:rFonts w:hint="eastAsia" w:ascii="方正书宋_GBK" w:eastAsia="方正书宋_GBK"/>
                <w:color w:val="auto"/>
              </w:rPr>
              <w:t>0.4</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加强自然生态保护。</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w:t>
            </w:r>
            <w:r>
              <w:rPr>
                <w:rFonts w:hint="eastAsia" w:ascii="方正书宋_GBK" w:eastAsia="方正书宋_GBK"/>
                <w:color w:val="auto"/>
              </w:rPr>
              <w:t>0.4</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解决农村区域性突出环境问题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十七、信访问题处理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办理人民群众来信、来访、网上信访；处理乡镇群众进京上访。</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十八、民兵训练和专武干部培训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rPr>
              <w:t>“</w:t>
            </w:r>
            <w:r>
              <w:rPr>
                <w:rFonts w:hint="eastAsia" w:ascii="方正书宋_GBK" w:eastAsia="方正书宋_GBK"/>
                <w:color w:val="auto"/>
              </w:rPr>
              <w:t>劳武</w:t>
            </w:r>
            <w:r>
              <w:rPr>
                <w:rFonts w:hint="cs" w:ascii="方正书宋_GBK" w:eastAsia="方正书宋_GBK"/>
                <w:color w:val="auto"/>
              </w:rPr>
              <w:t>”</w:t>
            </w:r>
            <w:r>
              <w:rPr>
                <w:rFonts w:hint="eastAsia" w:ascii="方正书宋_GBK" w:eastAsia="方正书宋_GBK"/>
                <w:color w:val="auto"/>
              </w:rPr>
              <w:t>两用人才的人民武装建设的基地。</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rPr>
              <w:t>“</w:t>
            </w:r>
            <w:r>
              <w:rPr>
                <w:rFonts w:hint="eastAsia" w:ascii="方正书宋_GBK" w:eastAsia="方正书宋_GBK"/>
                <w:color w:val="auto"/>
              </w:rPr>
              <w:t>严格训练、严格要求</w:t>
            </w:r>
            <w:r>
              <w:rPr>
                <w:rFonts w:hint="cs" w:ascii="方正书宋_GBK" w:eastAsia="方正书宋_GBK"/>
                <w:color w:val="auto"/>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根据上级要求，认真</w:t>
            </w:r>
            <w:r>
              <w:rPr>
                <w:rFonts w:hint="eastAsia" w:ascii="方正书宋_GBK" w:eastAsia="方正书宋_GBK"/>
                <w:color w:val="auto"/>
                <w:lang w:eastAsia="zh-CN"/>
              </w:rPr>
              <w:t>制订</w:t>
            </w:r>
            <w:r>
              <w:rPr>
                <w:rFonts w:hint="eastAsia" w:ascii="方正书宋_GBK" w:eastAsia="方正书宋_GBK"/>
                <w:color w:val="auto"/>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十九、义务教育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中小学生均校舍面积</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二十、食品药品安全管理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重大食品事故案件（个）</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重大活动餐饮服务接待单位预监督率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检验监测能力与检测需求比率相适应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二十一、安全生产综合监督管理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检查覆盖率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专项检查次数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二十二、防灾减灾救灾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实施分类救助，保障受灾群众基本生活。</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组织乡级防灾减灾及救灾活动；提高专业队伍业务素质。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组织防灾减灾及救灾准备活动次数（次）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突发灾害报灾时效性和准确性</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救灾措施到位率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二十三、扶持农产品生产</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良种补贴覆盖率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rPr>
              <w:t>“</w:t>
            </w:r>
            <w:r>
              <w:rPr>
                <w:rFonts w:hint="eastAsia" w:ascii="方正书宋_GBK" w:eastAsia="方正书宋_GBK"/>
                <w:color w:val="auto"/>
              </w:rPr>
              <w:t>菜篮子</w:t>
            </w:r>
            <w:r>
              <w:rPr>
                <w:rFonts w:hint="cs" w:ascii="方正书宋_GBK" w:eastAsia="方正书宋_GBK"/>
                <w:color w:val="auto"/>
              </w:rPr>
              <w:t>”</w:t>
            </w:r>
            <w:r>
              <w:rPr>
                <w:rFonts w:hint="eastAsia" w:ascii="方正书宋_GBK" w:eastAsia="方正书宋_GBK"/>
                <w:color w:val="auto"/>
              </w:rPr>
              <w:t>产品生产向规模化、园区化、设施化、标准化和产销一体化发展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蔬菜标准园创建完成率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二十四、完善农村经营管理体制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建设土地流转有形市场。</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土地流转提高率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完成全乡耕地面积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农村土地承包土地确权登记颁证率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50%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管理制度，指导农村经济组织健康、规范发展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村集体经济业务规范率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二十五、林业生态建设</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11.09</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完成国家下达和省委省政府</w:t>
            </w:r>
            <w:r>
              <w:rPr>
                <w:rFonts w:hint="eastAsia" w:ascii="方正书宋_GBK" w:eastAsia="方正书宋_GBK"/>
                <w:color w:val="auto"/>
                <w:lang w:eastAsia="zh-CN"/>
              </w:rPr>
              <w:t>制订</w:t>
            </w:r>
            <w:r>
              <w:rPr>
                <w:rFonts w:hint="eastAsia" w:ascii="方正书宋_GBK" w:eastAsia="方正书宋_GBK"/>
                <w:color w:val="auto"/>
              </w:rPr>
              <w:t>的造林任务及全区森林覆盖率考核目标。有效改善生态环境。</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11.09</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增加有林地面积，提高乡镇绿化水平和森林覆盖率，改善生态环境。</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全乡镇完成年初造林绿化任务。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二十六、推进新农村建设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按照统筹城乡发展要求，以</w:t>
            </w:r>
            <w:r>
              <w:rPr>
                <w:rFonts w:hint="cs" w:ascii="方正书宋_GBK" w:eastAsia="方正书宋_GBK"/>
                <w:color w:val="auto"/>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rPr>
              <w:t>”</w:t>
            </w:r>
            <w:r>
              <w:rPr>
                <w:rFonts w:hint="eastAsia" w:ascii="方正书宋_GBK" w:eastAsia="方正书宋_GBK"/>
                <w:color w:val="auto"/>
              </w:rPr>
              <w:t>为重点，组织实施农村面貌改造提升行动。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重点村改造提升完成率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、美丽乡村建设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按照市、县统筹城乡发展的要求，以</w:t>
            </w:r>
            <w:r>
              <w:rPr>
                <w:rFonts w:hint="cs" w:ascii="方正书宋_GBK" w:eastAsia="方正书宋_GBK"/>
                <w:color w:val="auto"/>
              </w:rPr>
              <w:t>“</w:t>
            </w:r>
            <w:r>
              <w:rPr>
                <w:rFonts w:hint="eastAsia" w:ascii="方正书宋_GBK" w:eastAsia="方正书宋_GBK"/>
                <w:color w:val="auto"/>
              </w:rPr>
              <w:t>环境美、产业美、精神美、生态美</w:t>
            </w:r>
            <w:r>
              <w:rPr>
                <w:rFonts w:hint="cs" w:ascii="方正书宋_GBK" w:eastAsia="方正书宋_GBK"/>
                <w:color w:val="auto"/>
              </w:rPr>
              <w:t>”</w:t>
            </w:r>
            <w:r>
              <w:rPr>
                <w:rFonts w:hint="eastAsia" w:ascii="方正书宋_GBK" w:eastAsia="方正书宋_GBK"/>
                <w:color w:val="auto"/>
              </w:rPr>
              <w:t>为重点，大力推进美丽乡村建设。</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美丽乡村建设重点村任务完成率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村民满意度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二十七、农村农业事务管理</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300.16</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300.16</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spacing w:line="300" w:lineRule="exact"/>
        <w:jc w:val="left"/>
        <w:outlineLvl w:val="0"/>
        <w:rPr>
          <w:color w:val="auto"/>
        </w:rPr>
        <w:sectPr>
          <w:pgSz w:w="16839" w:h="11907" w:orient="landscape"/>
          <w:pgMar w:top="1020" w:right="1361" w:bottom="1020" w:left="1361"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我部门</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rPr>
        <w:t>5</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32510"/>
      <w:r>
        <w:rPr>
          <w:rFonts w:hint="eastAsia" w:ascii="方正小标宋_GBK" w:eastAsia="方正小标宋_GBK"/>
          <w:color w:val="auto"/>
          <w:sz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w:t>
            </w:r>
            <w:r>
              <w:rPr>
                <w:rFonts w:hint="eastAsia" w:ascii="方正小标宋_GBK" w:eastAsia="方正小标宋_GBK"/>
                <w:color w:val="auto"/>
                <w:sz w:val="24"/>
              </w:rPr>
              <w:t>87曲阳县文德镇</w:t>
            </w:r>
          </w:p>
        </w:tc>
        <w:tc>
          <w:tcPr>
            <w:tcW w:w="66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shd w:val="clear" w:color="auto" w:fill="auto"/>
            <w:vAlign w:val="center"/>
          </w:tcPr>
          <w:p>
            <w:pPr>
              <w:spacing w:line="300" w:lineRule="exact"/>
              <w:jc w:val="left"/>
              <w:outlineLvl w:val="0"/>
              <w:rPr>
                <w:color w:val="auto"/>
              </w:rPr>
            </w:pPr>
          </w:p>
        </w:tc>
        <w:tc>
          <w:tcPr>
            <w:tcW w:w="1099" w:type="dxa"/>
            <w:vMerge w:val="continue"/>
            <w:shd w:val="clear" w:color="auto" w:fill="auto"/>
            <w:vAlign w:val="center"/>
          </w:tcPr>
          <w:p>
            <w:pPr>
              <w:spacing w:line="300" w:lineRule="exact"/>
              <w:jc w:val="left"/>
              <w:outlineLvl w:val="0"/>
              <w:rPr>
                <w:color w:val="auto"/>
              </w:rPr>
            </w:pP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continue"/>
            <w:shd w:val="clear" w:color="auto" w:fill="auto"/>
            <w:vAlign w:val="center"/>
          </w:tcPr>
          <w:p>
            <w:pPr>
              <w:spacing w:line="300" w:lineRule="exact"/>
              <w:jc w:val="left"/>
              <w:outlineLvl w:val="0"/>
              <w:rPr>
                <w:color w:val="auto"/>
              </w:rPr>
            </w:pP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shd w:val="clear" w:color="auto" w:fill="auto"/>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color w:val="auto"/>
              </w:rPr>
              <w:t>5.00</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color w:val="auto"/>
              </w:rPr>
              <w:t>5.00</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color w:val="auto"/>
              </w:rPr>
              <w:t>5.00</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曲阳县文德镇（政府）小计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color w:val="auto"/>
              </w:rPr>
              <w:t>5.00</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color w:val="auto"/>
              </w:rPr>
              <w:t>5.00</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color w:val="auto"/>
              </w:rPr>
              <w:t>5.00</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乡镇专项经费</w:t>
            </w:r>
          </w:p>
        </w:tc>
        <w:tc>
          <w:tcPr>
            <w:tcW w:w="1099"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17.5</w:t>
            </w:r>
          </w:p>
        </w:tc>
        <w:tc>
          <w:tcPr>
            <w:tcW w:w="974"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办公消耗用品及类似物品</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w:t>
            </w:r>
            <w:r>
              <w:rPr>
                <w:rFonts w:hint="eastAsia" w:ascii="方正书宋_GBK" w:eastAsia="方正书宋_GBK"/>
                <w:color w:val="auto"/>
              </w:rPr>
              <w:t>90</w:t>
            </w:r>
          </w:p>
        </w:tc>
        <w:tc>
          <w:tcPr>
            <w:tcW w:w="760" w:type="dxa"/>
            <w:shd w:val="clear" w:color="auto" w:fill="auto"/>
            <w:vAlign w:val="center"/>
          </w:tcPr>
          <w:p>
            <w:pPr>
              <w:spacing w:line="300" w:lineRule="exact"/>
              <w:jc w:val="left"/>
              <w:rPr>
                <w:rFonts w:ascii="方正书宋_GBK" w:eastAsia="方正书宋_GBK"/>
                <w:color w:val="auto"/>
              </w:rPr>
            </w:pP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5.00</w:t>
            </w:r>
          </w:p>
        </w:tc>
        <w:tc>
          <w:tcPr>
            <w:tcW w:w="961"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5.00</w:t>
            </w:r>
          </w:p>
        </w:tc>
        <w:tc>
          <w:tcPr>
            <w:tcW w:w="961"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5.00</w:t>
            </w:r>
          </w:p>
        </w:tc>
        <w:tc>
          <w:tcPr>
            <w:tcW w:w="961"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5.00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曲阳县文德镇人民政府</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rPr>
        <w:t>230.5581</w:t>
      </w:r>
      <w:r>
        <w:rPr>
          <w:rFonts w:ascii="Times New Roman" w:hAnsi="Times New Roman" w:eastAsia="仿宋" w:cs="Times New Roman"/>
          <w:color w:val="auto"/>
          <w:sz w:val="32"/>
          <w:szCs w:val="32"/>
        </w:rPr>
        <w:t>万元（详见下表），本年度拟购置固定资产</w:t>
      </w:r>
      <w:r>
        <w:rPr>
          <w:rFonts w:hint="eastAsia" w:ascii="Times New Roman" w:hAnsi="Times New Roman" w:eastAsia="仿宋" w:cs="Times New Roman"/>
          <w:color w:val="auto"/>
          <w:sz w:val="32"/>
          <w:szCs w:val="32"/>
        </w:rPr>
        <w:t>总额为0</w:t>
      </w:r>
      <w:r>
        <w:rPr>
          <w:rFonts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曲阳县文德镇人民政府固定资产占用情况表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rPr>
              <w:t>曲阳县文德镇人民政府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230.5581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1435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200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1435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200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20.5581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w:t>
            </w:r>
            <w:r>
              <w:rPr>
                <w:rFonts w:hint="eastAsia" w:ascii="Times New Roman" w:hAnsi="Times New Roman" w:eastAsia="仿宋" w:cs="Times New Roman"/>
                <w:color w:val="auto"/>
                <w:kern w:val="0"/>
                <w:sz w:val="22"/>
              </w:rPr>
              <w:t>无形</w:t>
            </w:r>
            <w:r>
              <w:rPr>
                <w:rFonts w:ascii="Times New Roman" w:hAnsi="Times New Roman" w:eastAsia="仿宋" w:cs="Times New Roman"/>
                <w:color w:val="auto"/>
                <w:kern w:val="0"/>
                <w:sz w:val="22"/>
              </w:rPr>
              <w:t>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1、一般预算收入：县级财政当年拨付的资金。</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swiss"/>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1"/>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733F"/>
    <w:rsid w:val="0000256C"/>
    <w:rsid w:val="00040FBA"/>
    <w:rsid w:val="0004490B"/>
    <w:rsid w:val="000604DF"/>
    <w:rsid w:val="00085DDC"/>
    <w:rsid w:val="000B6658"/>
    <w:rsid w:val="0013228E"/>
    <w:rsid w:val="001604CC"/>
    <w:rsid w:val="002049F3"/>
    <w:rsid w:val="0027733F"/>
    <w:rsid w:val="002C7CD5"/>
    <w:rsid w:val="002E4731"/>
    <w:rsid w:val="003277EC"/>
    <w:rsid w:val="00366C7F"/>
    <w:rsid w:val="00447CDB"/>
    <w:rsid w:val="00456D84"/>
    <w:rsid w:val="00482E01"/>
    <w:rsid w:val="00545703"/>
    <w:rsid w:val="00554D13"/>
    <w:rsid w:val="005E1CA7"/>
    <w:rsid w:val="00621DB1"/>
    <w:rsid w:val="00657CF5"/>
    <w:rsid w:val="006C0475"/>
    <w:rsid w:val="006D7083"/>
    <w:rsid w:val="007B0F2A"/>
    <w:rsid w:val="008003BA"/>
    <w:rsid w:val="00817B30"/>
    <w:rsid w:val="0085745B"/>
    <w:rsid w:val="0086344A"/>
    <w:rsid w:val="00884399"/>
    <w:rsid w:val="008C091D"/>
    <w:rsid w:val="008C1D8E"/>
    <w:rsid w:val="009D1D78"/>
    <w:rsid w:val="009F7D7C"/>
    <w:rsid w:val="00A05578"/>
    <w:rsid w:val="00A15D9C"/>
    <w:rsid w:val="00A54B7A"/>
    <w:rsid w:val="00A934DF"/>
    <w:rsid w:val="00AB46BD"/>
    <w:rsid w:val="00AF4029"/>
    <w:rsid w:val="00B1157F"/>
    <w:rsid w:val="00B16045"/>
    <w:rsid w:val="00BC708E"/>
    <w:rsid w:val="00BD5885"/>
    <w:rsid w:val="00C20366"/>
    <w:rsid w:val="00C23685"/>
    <w:rsid w:val="00C4663E"/>
    <w:rsid w:val="00C93EDF"/>
    <w:rsid w:val="00D170EE"/>
    <w:rsid w:val="00D231FF"/>
    <w:rsid w:val="00DC681A"/>
    <w:rsid w:val="00DD3E4D"/>
    <w:rsid w:val="00DE4302"/>
    <w:rsid w:val="00E03E6D"/>
    <w:rsid w:val="00E57005"/>
    <w:rsid w:val="00E90476"/>
    <w:rsid w:val="00EB2BEA"/>
    <w:rsid w:val="00EC0BF1"/>
    <w:rsid w:val="00F027EB"/>
    <w:rsid w:val="00F171F2"/>
    <w:rsid w:val="00F632A7"/>
    <w:rsid w:val="00FC112A"/>
    <w:rsid w:val="146F6BEC"/>
    <w:rsid w:val="154430C2"/>
    <w:rsid w:val="1EE6543F"/>
    <w:rsid w:val="254B3185"/>
    <w:rsid w:val="3F3D4521"/>
    <w:rsid w:val="42DE4ED4"/>
    <w:rsid w:val="4F031CEC"/>
    <w:rsid w:val="51610297"/>
    <w:rsid w:val="597D591F"/>
    <w:rsid w:val="7F0C2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semiHidden/>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styleId="11">
    <w:name w:val="footnote reference"/>
    <w:basedOn w:val="8"/>
    <w:semiHidden/>
    <w:qFormat/>
    <w:uiPriority w:val="0"/>
    <w:rPr>
      <w:vertAlign w:val="superscript"/>
    </w:rPr>
  </w:style>
  <w:style w:type="character" w:customStyle="1" w:styleId="12">
    <w:name w:val="页脚 Char"/>
    <w:link w:val="2"/>
    <w:semiHidden/>
    <w:qFormat/>
    <w:uiPriority w:val="0"/>
    <w:rPr>
      <w:rFonts w:ascii="Times New Roman" w:hAnsi="Times New Roman" w:eastAsia="宋体" w:cs="Times New Roman"/>
      <w:sz w:val="18"/>
      <w:szCs w:val="18"/>
    </w:rPr>
  </w:style>
  <w:style w:type="character" w:customStyle="1" w:styleId="13">
    <w:name w:val="页眉 Char"/>
    <w:link w:val="3"/>
    <w:semiHidden/>
    <w:qFormat/>
    <w:uiPriority w:val="0"/>
    <w:rPr>
      <w:rFonts w:ascii="Times New Roman" w:hAnsi="Times New Roman" w:eastAsia="宋体" w:cs="Times New Roman"/>
      <w:sz w:val="18"/>
      <w:szCs w:val="18"/>
    </w:rPr>
  </w:style>
  <w:style w:type="paragraph" w:customStyle="1" w:styleId="14">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2349</Words>
  <Characters>13390</Characters>
  <Lines>111</Lines>
  <Paragraphs>31</Paragraphs>
  <TotalTime>3</TotalTime>
  <ScaleCrop>false</ScaleCrop>
  <LinksUpToDate>false</LinksUpToDate>
  <CharactersWithSpaces>15708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2025-02-08T02:32:58Z</dcterms:modified>
  <dc:title>Administrator</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