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202曲阳县信访局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224.33</w:t>
            </w:r>
          </w:p>
        </w:tc>
        <w:tc>
          <w:tcPr>
            <w:tcW w:w="4535" w:type="dxa"/>
            <w:vAlign w:val="center"/>
          </w:tcPr>
          <w:p>
            <w:pPr>
              <w:pStyle w:val="13"/>
            </w:pPr>
            <w:r>
              <w:t>一、一般公共服务支出</w:t>
            </w:r>
          </w:p>
        </w:tc>
        <w:tc>
          <w:tcPr>
            <w:tcW w:w="2126" w:type="dxa"/>
            <w:vAlign w:val="center"/>
          </w:tcPr>
          <w:p>
            <w:pPr>
              <w:pStyle w:val="12"/>
            </w:pPr>
            <w:r>
              <w:t>206.63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224.33</w:t>
            </w:r>
          </w:p>
        </w:tc>
        <w:tc>
          <w:tcPr>
            <w:tcW w:w="4535" w:type="dxa"/>
            <w:vAlign w:val="center"/>
          </w:tcPr>
          <w:p>
            <w:pPr>
              <w:pStyle w:val="15"/>
            </w:pPr>
            <w:r>
              <w:t>本年支出合计</w:t>
            </w:r>
          </w:p>
        </w:tc>
        <w:tc>
          <w:tcPr>
            <w:tcW w:w="2126" w:type="dxa"/>
            <w:vAlign w:val="center"/>
          </w:tcPr>
          <w:p>
            <w:pPr>
              <w:pStyle w:val="16"/>
            </w:pPr>
            <w:r>
              <w:t>224.33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224.33</w:t>
            </w:r>
          </w:p>
        </w:tc>
        <w:tc>
          <w:tcPr>
            <w:tcW w:w="4535" w:type="dxa"/>
            <w:vAlign w:val="center"/>
          </w:tcPr>
          <w:p>
            <w:pPr>
              <w:pStyle w:val="15"/>
            </w:pPr>
            <w:r>
              <w:t>支出总计</w:t>
            </w:r>
          </w:p>
        </w:tc>
        <w:tc>
          <w:tcPr>
            <w:tcW w:w="2126" w:type="dxa"/>
            <w:vAlign w:val="center"/>
          </w:tcPr>
          <w:p>
            <w:pPr>
              <w:pStyle w:val="16"/>
            </w:pPr>
            <w:r>
              <w:t>224.33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202曲阳县信访局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224.33</w:t>
            </w:r>
          </w:p>
        </w:tc>
        <w:tc>
          <w:tcPr>
            <w:tcW w:w="1134" w:type="dxa"/>
            <w:vAlign w:val="center"/>
          </w:tcPr>
          <w:p>
            <w:pPr>
              <w:pStyle w:val="16"/>
            </w:pPr>
            <w:r>
              <w:t>224.33</w:t>
            </w:r>
          </w:p>
        </w:tc>
        <w:tc>
          <w:tcPr>
            <w:tcW w:w="1134" w:type="dxa"/>
            <w:vAlign w:val="center"/>
          </w:tcPr>
          <w:p>
            <w:pPr>
              <w:pStyle w:val="16"/>
            </w:pPr>
            <w:r>
              <w:t>224.33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206.63</w:t>
            </w:r>
          </w:p>
        </w:tc>
        <w:tc>
          <w:tcPr>
            <w:tcW w:w="1134" w:type="dxa"/>
            <w:vAlign w:val="center"/>
          </w:tcPr>
          <w:p>
            <w:pPr>
              <w:pStyle w:val="12"/>
            </w:pPr>
            <w:r>
              <w:t>206.63</w:t>
            </w:r>
          </w:p>
        </w:tc>
        <w:tc>
          <w:tcPr>
            <w:tcW w:w="1134" w:type="dxa"/>
            <w:vAlign w:val="center"/>
          </w:tcPr>
          <w:p>
            <w:pPr>
              <w:pStyle w:val="12"/>
            </w:pPr>
            <w:r>
              <w:t>206.63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206.63</w:t>
            </w:r>
          </w:p>
        </w:tc>
        <w:tc>
          <w:tcPr>
            <w:tcW w:w="1134" w:type="dxa"/>
            <w:vAlign w:val="center"/>
          </w:tcPr>
          <w:p>
            <w:pPr>
              <w:pStyle w:val="12"/>
            </w:pPr>
            <w:r>
              <w:t>206.63</w:t>
            </w:r>
          </w:p>
        </w:tc>
        <w:tc>
          <w:tcPr>
            <w:tcW w:w="1134" w:type="dxa"/>
            <w:vAlign w:val="center"/>
          </w:tcPr>
          <w:p>
            <w:pPr>
              <w:pStyle w:val="12"/>
            </w:pPr>
            <w:r>
              <w:t>206.63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91.26</w:t>
            </w:r>
          </w:p>
        </w:tc>
        <w:tc>
          <w:tcPr>
            <w:tcW w:w="1134" w:type="dxa"/>
            <w:vAlign w:val="center"/>
          </w:tcPr>
          <w:p>
            <w:pPr>
              <w:pStyle w:val="12"/>
            </w:pPr>
            <w:r>
              <w:t>91.26</w:t>
            </w:r>
          </w:p>
        </w:tc>
        <w:tc>
          <w:tcPr>
            <w:tcW w:w="1134" w:type="dxa"/>
            <w:vAlign w:val="center"/>
          </w:tcPr>
          <w:p>
            <w:pPr>
              <w:pStyle w:val="12"/>
            </w:pPr>
            <w:r>
              <w:t>91.26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2013602</w:t>
            </w:r>
          </w:p>
        </w:tc>
        <w:tc>
          <w:tcPr>
            <w:tcW w:w="1559" w:type="dxa"/>
            <w:vAlign w:val="center"/>
          </w:tcPr>
          <w:p>
            <w:pPr>
              <w:pStyle w:val="13"/>
            </w:pPr>
            <w:r>
              <w:t>一般行政管理事务</w:t>
            </w:r>
          </w:p>
        </w:tc>
        <w:tc>
          <w:tcPr>
            <w:tcW w:w="1134" w:type="dxa"/>
            <w:vAlign w:val="center"/>
          </w:tcPr>
          <w:p>
            <w:pPr>
              <w:pStyle w:val="12"/>
            </w:pPr>
            <w:r>
              <w:t>104.03</w:t>
            </w:r>
          </w:p>
        </w:tc>
        <w:tc>
          <w:tcPr>
            <w:tcW w:w="1134" w:type="dxa"/>
            <w:vAlign w:val="center"/>
          </w:tcPr>
          <w:p>
            <w:pPr>
              <w:pStyle w:val="12"/>
            </w:pPr>
            <w:r>
              <w:t>104.03</w:t>
            </w:r>
          </w:p>
        </w:tc>
        <w:tc>
          <w:tcPr>
            <w:tcW w:w="1134" w:type="dxa"/>
            <w:vAlign w:val="center"/>
          </w:tcPr>
          <w:p>
            <w:pPr>
              <w:pStyle w:val="12"/>
            </w:pPr>
            <w:r>
              <w:t>104.03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2013650</w:t>
            </w:r>
          </w:p>
        </w:tc>
        <w:tc>
          <w:tcPr>
            <w:tcW w:w="1559" w:type="dxa"/>
            <w:vAlign w:val="center"/>
          </w:tcPr>
          <w:p>
            <w:pPr>
              <w:pStyle w:val="13"/>
            </w:pPr>
            <w:r>
              <w:t>事业运行</w:t>
            </w:r>
          </w:p>
        </w:tc>
        <w:tc>
          <w:tcPr>
            <w:tcW w:w="1134" w:type="dxa"/>
            <w:vAlign w:val="center"/>
          </w:tcPr>
          <w:p>
            <w:pPr>
              <w:pStyle w:val="12"/>
            </w:pPr>
            <w:r>
              <w:t>11.34</w:t>
            </w:r>
          </w:p>
        </w:tc>
        <w:tc>
          <w:tcPr>
            <w:tcW w:w="1134" w:type="dxa"/>
            <w:vAlign w:val="center"/>
          </w:tcPr>
          <w:p>
            <w:pPr>
              <w:pStyle w:val="12"/>
            </w:pPr>
            <w:r>
              <w:t>11.34</w:t>
            </w:r>
          </w:p>
        </w:tc>
        <w:tc>
          <w:tcPr>
            <w:tcW w:w="1134" w:type="dxa"/>
            <w:vAlign w:val="center"/>
          </w:tcPr>
          <w:p>
            <w:pPr>
              <w:pStyle w:val="12"/>
            </w:pPr>
            <w:r>
              <w:t>11.34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17.70</w:t>
            </w:r>
          </w:p>
        </w:tc>
        <w:tc>
          <w:tcPr>
            <w:tcW w:w="1134" w:type="dxa"/>
            <w:vAlign w:val="center"/>
          </w:tcPr>
          <w:p>
            <w:pPr>
              <w:pStyle w:val="12"/>
            </w:pPr>
            <w:r>
              <w:t>17.70</w:t>
            </w:r>
          </w:p>
        </w:tc>
        <w:tc>
          <w:tcPr>
            <w:tcW w:w="1134" w:type="dxa"/>
            <w:vAlign w:val="center"/>
          </w:tcPr>
          <w:p>
            <w:pPr>
              <w:pStyle w:val="12"/>
            </w:pPr>
            <w:r>
              <w:t>17.70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17.70</w:t>
            </w:r>
          </w:p>
        </w:tc>
        <w:tc>
          <w:tcPr>
            <w:tcW w:w="1134" w:type="dxa"/>
            <w:vAlign w:val="center"/>
          </w:tcPr>
          <w:p>
            <w:pPr>
              <w:pStyle w:val="12"/>
            </w:pPr>
            <w:r>
              <w:t>17.70</w:t>
            </w:r>
          </w:p>
        </w:tc>
        <w:tc>
          <w:tcPr>
            <w:tcW w:w="1134" w:type="dxa"/>
            <w:vAlign w:val="center"/>
          </w:tcPr>
          <w:p>
            <w:pPr>
              <w:pStyle w:val="12"/>
            </w:pPr>
            <w:r>
              <w:t>17.70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17.70</w:t>
            </w:r>
          </w:p>
        </w:tc>
        <w:tc>
          <w:tcPr>
            <w:tcW w:w="1134" w:type="dxa"/>
            <w:vAlign w:val="center"/>
          </w:tcPr>
          <w:p>
            <w:pPr>
              <w:pStyle w:val="12"/>
            </w:pPr>
            <w:r>
              <w:t>17.70</w:t>
            </w:r>
          </w:p>
        </w:tc>
        <w:tc>
          <w:tcPr>
            <w:tcW w:w="1134" w:type="dxa"/>
            <w:vAlign w:val="center"/>
          </w:tcPr>
          <w:p>
            <w:pPr>
              <w:pStyle w:val="12"/>
            </w:pPr>
            <w:r>
              <w:t>17.70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202曲阳县信访局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224.33</w:t>
            </w:r>
          </w:p>
        </w:tc>
        <w:tc>
          <w:tcPr>
            <w:tcW w:w="1361" w:type="dxa"/>
            <w:vAlign w:val="center"/>
          </w:tcPr>
          <w:p>
            <w:pPr>
              <w:pStyle w:val="16"/>
            </w:pPr>
            <w:r>
              <w:t>120.30</w:t>
            </w:r>
          </w:p>
        </w:tc>
        <w:tc>
          <w:tcPr>
            <w:tcW w:w="1361" w:type="dxa"/>
            <w:vAlign w:val="center"/>
          </w:tcPr>
          <w:p>
            <w:pPr>
              <w:pStyle w:val="16"/>
            </w:pPr>
            <w:r>
              <w:t>104.03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206.63</w:t>
            </w:r>
          </w:p>
        </w:tc>
        <w:tc>
          <w:tcPr>
            <w:tcW w:w="1361" w:type="dxa"/>
            <w:vAlign w:val="center"/>
          </w:tcPr>
          <w:p>
            <w:pPr>
              <w:pStyle w:val="12"/>
            </w:pPr>
            <w:r>
              <w:t>102.60</w:t>
            </w:r>
          </w:p>
        </w:tc>
        <w:tc>
          <w:tcPr>
            <w:tcW w:w="1361" w:type="dxa"/>
            <w:vAlign w:val="center"/>
          </w:tcPr>
          <w:p>
            <w:pPr>
              <w:pStyle w:val="12"/>
            </w:pPr>
            <w:r>
              <w:t>104.03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206.63</w:t>
            </w:r>
          </w:p>
        </w:tc>
        <w:tc>
          <w:tcPr>
            <w:tcW w:w="1361" w:type="dxa"/>
            <w:vAlign w:val="center"/>
          </w:tcPr>
          <w:p>
            <w:pPr>
              <w:pStyle w:val="12"/>
            </w:pPr>
            <w:r>
              <w:t>102.60</w:t>
            </w:r>
          </w:p>
        </w:tc>
        <w:tc>
          <w:tcPr>
            <w:tcW w:w="1361" w:type="dxa"/>
            <w:vAlign w:val="center"/>
          </w:tcPr>
          <w:p>
            <w:pPr>
              <w:pStyle w:val="12"/>
            </w:pPr>
            <w:r>
              <w:t>104.03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91.26</w:t>
            </w:r>
          </w:p>
        </w:tc>
        <w:tc>
          <w:tcPr>
            <w:tcW w:w="1361" w:type="dxa"/>
            <w:vAlign w:val="center"/>
          </w:tcPr>
          <w:p>
            <w:pPr>
              <w:pStyle w:val="12"/>
            </w:pPr>
            <w:r>
              <w:t>91.26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2013602</w:t>
            </w:r>
          </w:p>
        </w:tc>
        <w:tc>
          <w:tcPr>
            <w:tcW w:w="4535" w:type="dxa"/>
            <w:vAlign w:val="center"/>
          </w:tcPr>
          <w:p>
            <w:pPr>
              <w:pStyle w:val="13"/>
            </w:pPr>
            <w:r>
              <w:t>一般行政管理事务</w:t>
            </w:r>
          </w:p>
        </w:tc>
        <w:tc>
          <w:tcPr>
            <w:tcW w:w="1361" w:type="dxa"/>
            <w:vAlign w:val="center"/>
          </w:tcPr>
          <w:p>
            <w:pPr>
              <w:pStyle w:val="12"/>
            </w:pPr>
            <w:r>
              <w:t>104.03</w:t>
            </w:r>
          </w:p>
        </w:tc>
        <w:tc>
          <w:tcPr>
            <w:tcW w:w="1361" w:type="dxa"/>
            <w:vAlign w:val="center"/>
          </w:tcPr>
          <w:p>
            <w:pPr>
              <w:pStyle w:val="12"/>
            </w:pPr>
          </w:p>
        </w:tc>
        <w:tc>
          <w:tcPr>
            <w:tcW w:w="1361" w:type="dxa"/>
            <w:vAlign w:val="center"/>
          </w:tcPr>
          <w:p>
            <w:pPr>
              <w:pStyle w:val="12"/>
            </w:pPr>
            <w:r>
              <w:t>104.03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2013650</w:t>
            </w:r>
          </w:p>
        </w:tc>
        <w:tc>
          <w:tcPr>
            <w:tcW w:w="4535" w:type="dxa"/>
            <w:vAlign w:val="center"/>
          </w:tcPr>
          <w:p>
            <w:pPr>
              <w:pStyle w:val="13"/>
            </w:pPr>
            <w:r>
              <w:t>事业运行</w:t>
            </w:r>
          </w:p>
        </w:tc>
        <w:tc>
          <w:tcPr>
            <w:tcW w:w="1361" w:type="dxa"/>
            <w:vAlign w:val="center"/>
          </w:tcPr>
          <w:p>
            <w:pPr>
              <w:pStyle w:val="12"/>
            </w:pPr>
            <w:r>
              <w:t>11.34</w:t>
            </w:r>
          </w:p>
        </w:tc>
        <w:tc>
          <w:tcPr>
            <w:tcW w:w="1361" w:type="dxa"/>
            <w:vAlign w:val="center"/>
          </w:tcPr>
          <w:p>
            <w:pPr>
              <w:pStyle w:val="12"/>
            </w:pPr>
            <w:r>
              <w:t>11.34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17.70</w:t>
            </w:r>
          </w:p>
        </w:tc>
        <w:tc>
          <w:tcPr>
            <w:tcW w:w="1361" w:type="dxa"/>
            <w:vAlign w:val="center"/>
          </w:tcPr>
          <w:p>
            <w:pPr>
              <w:pStyle w:val="12"/>
            </w:pPr>
            <w:r>
              <w:t>17.70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17.70</w:t>
            </w:r>
          </w:p>
        </w:tc>
        <w:tc>
          <w:tcPr>
            <w:tcW w:w="1361" w:type="dxa"/>
            <w:vAlign w:val="center"/>
          </w:tcPr>
          <w:p>
            <w:pPr>
              <w:pStyle w:val="12"/>
            </w:pPr>
            <w:r>
              <w:t>17.70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17.70</w:t>
            </w:r>
          </w:p>
        </w:tc>
        <w:tc>
          <w:tcPr>
            <w:tcW w:w="1361" w:type="dxa"/>
            <w:vAlign w:val="center"/>
          </w:tcPr>
          <w:p>
            <w:pPr>
              <w:pStyle w:val="12"/>
            </w:pPr>
            <w:r>
              <w:t>17.70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202曲阳县信访局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224.33</w:t>
            </w:r>
          </w:p>
        </w:tc>
        <w:tc>
          <w:tcPr>
            <w:tcW w:w="3402" w:type="dxa"/>
            <w:vAlign w:val="center"/>
          </w:tcPr>
          <w:p>
            <w:pPr>
              <w:pStyle w:val="13"/>
            </w:pPr>
            <w:r>
              <w:t>一、一般公共服务支出</w:t>
            </w:r>
          </w:p>
        </w:tc>
        <w:tc>
          <w:tcPr>
            <w:tcW w:w="1474" w:type="dxa"/>
            <w:vAlign w:val="center"/>
          </w:tcPr>
          <w:p>
            <w:pPr>
              <w:pStyle w:val="12"/>
            </w:pPr>
            <w:r>
              <w:t>206.63</w:t>
            </w:r>
          </w:p>
        </w:tc>
        <w:tc>
          <w:tcPr>
            <w:tcW w:w="1474" w:type="dxa"/>
            <w:vAlign w:val="center"/>
          </w:tcPr>
          <w:p>
            <w:pPr>
              <w:pStyle w:val="12"/>
            </w:pPr>
            <w:r>
              <w:t>206.63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17.70</w:t>
            </w:r>
          </w:p>
        </w:tc>
        <w:tc>
          <w:tcPr>
            <w:tcW w:w="1474" w:type="dxa"/>
            <w:vAlign w:val="center"/>
          </w:tcPr>
          <w:p>
            <w:pPr>
              <w:pStyle w:val="12"/>
            </w:pPr>
            <w:r>
              <w:t>17.70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224.33</w:t>
            </w:r>
          </w:p>
        </w:tc>
        <w:tc>
          <w:tcPr>
            <w:tcW w:w="3402" w:type="dxa"/>
            <w:vAlign w:val="center"/>
          </w:tcPr>
          <w:p>
            <w:pPr>
              <w:pStyle w:val="15"/>
            </w:pPr>
            <w:r>
              <w:t>本年支出合计</w:t>
            </w:r>
          </w:p>
        </w:tc>
        <w:tc>
          <w:tcPr>
            <w:tcW w:w="1474" w:type="dxa"/>
            <w:vAlign w:val="center"/>
          </w:tcPr>
          <w:p>
            <w:pPr>
              <w:pStyle w:val="16"/>
            </w:pPr>
            <w:r>
              <w:t>224.33</w:t>
            </w:r>
          </w:p>
        </w:tc>
        <w:tc>
          <w:tcPr>
            <w:tcW w:w="1474" w:type="dxa"/>
            <w:vAlign w:val="center"/>
          </w:tcPr>
          <w:p>
            <w:pPr>
              <w:pStyle w:val="16"/>
            </w:pPr>
            <w:r>
              <w:t>224.33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224.33</w:t>
            </w:r>
          </w:p>
        </w:tc>
        <w:tc>
          <w:tcPr>
            <w:tcW w:w="3402" w:type="dxa"/>
            <w:vAlign w:val="center"/>
          </w:tcPr>
          <w:p>
            <w:pPr>
              <w:pStyle w:val="15"/>
            </w:pPr>
            <w:r>
              <w:t>支出总计</w:t>
            </w:r>
          </w:p>
        </w:tc>
        <w:tc>
          <w:tcPr>
            <w:tcW w:w="1474" w:type="dxa"/>
            <w:vAlign w:val="center"/>
          </w:tcPr>
          <w:p>
            <w:pPr>
              <w:pStyle w:val="16"/>
            </w:pPr>
            <w:r>
              <w:t>224.33</w:t>
            </w:r>
          </w:p>
        </w:tc>
        <w:tc>
          <w:tcPr>
            <w:tcW w:w="1474" w:type="dxa"/>
            <w:vAlign w:val="center"/>
          </w:tcPr>
          <w:p>
            <w:pPr>
              <w:pStyle w:val="16"/>
            </w:pPr>
            <w:r>
              <w:t>224.33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202曲阳县信访局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224.33</w:t>
            </w:r>
          </w:p>
        </w:tc>
        <w:tc>
          <w:tcPr>
            <w:tcW w:w="2551" w:type="dxa"/>
            <w:vAlign w:val="center"/>
          </w:tcPr>
          <w:p>
            <w:pPr>
              <w:pStyle w:val="16"/>
            </w:pPr>
            <w:r>
              <w:t>120.30</w:t>
            </w:r>
          </w:p>
        </w:tc>
        <w:tc>
          <w:tcPr>
            <w:tcW w:w="2551" w:type="dxa"/>
            <w:vAlign w:val="center"/>
          </w:tcPr>
          <w:p>
            <w:pPr>
              <w:pStyle w:val="16"/>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206.63</w:t>
            </w:r>
          </w:p>
        </w:tc>
        <w:tc>
          <w:tcPr>
            <w:tcW w:w="2551" w:type="dxa"/>
            <w:vAlign w:val="center"/>
          </w:tcPr>
          <w:p>
            <w:pPr>
              <w:pStyle w:val="12"/>
            </w:pPr>
            <w:r>
              <w:t>102.60</w:t>
            </w:r>
          </w:p>
        </w:tc>
        <w:tc>
          <w:tcPr>
            <w:tcW w:w="2551" w:type="dxa"/>
            <w:vAlign w:val="center"/>
          </w:tcPr>
          <w:p>
            <w:pPr>
              <w:pStyle w:val="12"/>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206.63</w:t>
            </w:r>
          </w:p>
        </w:tc>
        <w:tc>
          <w:tcPr>
            <w:tcW w:w="2551" w:type="dxa"/>
            <w:vAlign w:val="center"/>
          </w:tcPr>
          <w:p>
            <w:pPr>
              <w:pStyle w:val="12"/>
            </w:pPr>
            <w:r>
              <w:t>102.60</w:t>
            </w:r>
          </w:p>
        </w:tc>
        <w:tc>
          <w:tcPr>
            <w:tcW w:w="2551" w:type="dxa"/>
            <w:vAlign w:val="center"/>
          </w:tcPr>
          <w:p>
            <w:pPr>
              <w:pStyle w:val="12"/>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91.26</w:t>
            </w:r>
          </w:p>
        </w:tc>
        <w:tc>
          <w:tcPr>
            <w:tcW w:w="2551" w:type="dxa"/>
            <w:vAlign w:val="center"/>
          </w:tcPr>
          <w:p>
            <w:pPr>
              <w:pStyle w:val="12"/>
            </w:pPr>
            <w:r>
              <w:t>91.26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2013602</w:t>
            </w:r>
          </w:p>
        </w:tc>
        <w:tc>
          <w:tcPr>
            <w:tcW w:w="4535" w:type="dxa"/>
            <w:vAlign w:val="center"/>
          </w:tcPr>
          <w:p>
            <w:pPr>
              <w:pStyle w:val="13"/>
            </w:pPr>
            <w:r>
              <w:t>一般行政管理事务</w:t>
            </w:r>
          </w:p>
        </w:tc>
        <w:tc>
          <w:tcPr>
            <w:tcW w:w="2551" w:type="dxa"/>
            <w:vAlign w:val="center"/>
          </w:tcPr>
          <w:p>
            <w:pPr>
              <w:pStyle w:val="12"/>
            </w:pPr>
            <w:r>
              <w:t>104.03</w:t>
            </w:r>
          </w:p>
        </w:tc>
        <w:tc>
          <w:tcPr>
            <w:tcW w:w="2551" w:type="dxa"/>
            <w:vAlign w:val="center"/>
          </w:tcPr>
          <w:p>
            <w:pPr>
              <w:pStyle w:val="12"/>
            </w:pPr>
          </w:p>
        </w:tc>
        <w:tc>
          <w:tcPr>
            <w:tcW w:w="2551" w:type="dxa"/>
            <w:vAlign w:val="center"/>
          </w:tcPr>
          <w:p>
            <w:pPr>
              <w:pStyle w:val="12"/>
            </w:pPr>
            <w:r>
              <w:t>104.03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2013650</w:t>
            </w:r>
          </w:p>
        </w:tc>
        <w:tc>
          <w:tcPr>
            <w:tcW w:w="4535" w:type="dxa"/>
            <w:vAlign w:val="center"/>
          </w:tcPr>
          <w:p>
            <w:pPr>
              <w:pStyle w:val="13"/>
            </w:pPr>
            <w:r>
              <w:t>事业运行</w:t>
            </w:r>
          </w:p>
        </w:tc>
        <w:tc>
          <w:tcPr>
            <w:tcW w:w="2551" w:type="dxa"/>
            <w:vAlign w:val="center"/>
          </w:tcPr>
          <w:p>
            <w:pPr>
              <w:pStyle w:val="12"/>
            </w:pPr>
            <w:r>
              <w:t>11.34</w:t>
            </w:r>
          </w:p>
        </w:tc>
        <w:tc>
          <w:tcPr>
            <w:tcW w:w="2551" w:type="dxa"/>
            <w:vAlign w:val="center"/>
          </w:tcPr>
          <w:p>
            <w:pPr>
              <w:pStyle w:val="12"/>
            </w:pPr>
            <w:r>
              <w:t>11.34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17.70</w:t>
            </w:r>
          </w:p>
        </w:tc>
        <w:tc>
          <w:tcPr>
            <w:tcW w:w="2551" w:type="dxa"/>
            <w:vAlign w:val="center"/>
          </w:tcPr>
          <w:p>
            <w:pPr>
              <w:pStyle w:val="12"/>
            </w:pPr>
            <w:r>
              <w:t>17.70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17.70</w:t>
            </w:r>
          </w:p>
        </w:tc>
        <w:tc>
          <w:tcPr>
            <w:tcW w:w="2551" w:type="dxa"/>
            <w:vAlign w:val="center"/>
          </w:tcPr>
          <w:p>
            <w:pPr>
              <w:pStyle w:val="12"/>
            </w:pPr>
            <w:r>
              <w:t>17.70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17.70</w:t>
            </w:r>
          </w:p>
        </w:tc>
        <w:tc>
          <w:tcPr>
            <w:tcW w:w="2551" w:type="dxa"/>
            <w:vAlign w:val="center"/>
          </w:tcPr>
          <w:p>
            <w:pPr>
              <w:pStyle w:val="12"/>
            </w:pPr>
            <w:r>
              <w:t>17.70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202曲阳县信访局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120.30</w:t>
            </w:r>
          </w:p>
        </w:tc>
        <w:tc>
          <w:tcPr>
            <w:tcW w:w="2551" w:type="dxa"/>
            <w:vAlign w:val="center"/>
          </w:tcPr>
          <w:p>
            <w:pPr>
              <w:pStyle w:val="16"/>
            </w:pPr>
            <w:r>
              <w:t>96.49</w:t>
            </w:r>
          </w:p>
        </w:tc>
        <w:tc>
          <w:tcPr>
            <w:tcW w:w="2551" w:type="dxa"/>
            <w:vAlign w:val="center"/>
          </w:tcPr>
          <w:p>
            <w:pPr>
              <w:pStyle w:val="16"/>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78.79</w:t>
            </w:r>
          </w:p>
        </w:tc>
        <w:tc>
          <w:tcPr>
            <w:tcW w:w="2551" w:type="dxa"/>
            <w:vAlign w:val="center"/>
          </w:tcPr>
          <w:p>
            <w:pPr>
              <w:pStyle w:val="12"/>
            </w:pPr>
            <w:r>
              <w:t>78.79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31.29</w:t>
            </w:r>
          </w:p>
        </w:tc>
        <w:tc>
          <w:tcPr>
            <w:tcW w:w="2551" w:type="dxa"/>
            <w:vAlign w:val="center"/>
          </w:tcPr>
          <w:p>
            <w:pPr>
              <w:pStyle w:val="12"/>
            </w:pPr>
            <w:r>
              <w:t>31.29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8.95</w:t>
            </w:r>
          </w:p>
        </w:tc>
        <w:tc>
          <w:tcPr>
            <w:tcW w:w="2551" w:type="dxa"/>
            <w:vAlign w:val="center"/>
          </w:tcPr>
          <w:p>
            <w:pPr>
              <w:pStyle w:val="12"/>
            </w:pPr>
            <w:r>
              <w:t>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7.84</w:t>
            </w:r>
          </w:p>
        </w:tc>
        <w:tc>
          <w:tcPr>
            <w:tcW w:w="2551" w:type="dxa"/>
            <w:vAlign w:val="center"/>
          </w:tcPr>
          <w:p>
            <w:pPr>
              <w:pStyle w:val="12"/>
            </w:pPr>
            <w:r>
              <w:t>7.84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3.73</w:t>
            </w:r>
          </w:p>
        </w:tc>
        <w:tc>
          <w:tcPr>
            <w:tcW w:w="2551" w:type="dxa"/>
            <w:vAlign w:val="center"/>
          </w:tcPr>
          <w:p>
            <w:pPr>
              <w:pStyle w:val="12"/>
            </w:pPr>
            <w:r>
              <w:t>3.73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2.26</w:t>
            </w:r>
          </w:p>
        </w:tc>
        <w:tc>
          <w:tcPr>
            <w:tcW w:w="2551" w:type="dxa"/>
            <w:vAlign w:val="center"/>
          </w:tcPr>
          <w:p>
            <w:pPr>
              <w:pStyle w:val="12"/>
            </w:pPr>
            <w:r>
              <w:t>2.26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0.36</w:t>
            </w:r>
          </w:p>
        </w:tc>
        <w:tc>
          <w:tcPr>
            <w:tcW w:w="2551" w:type="dxa"/>
            <w:vAlign w:val="center"/>
          </w:tcPr>
          <w:p>
            <w:pPr>
              <w:pStyle w:val="12"/>
            </w:pPr>
            <w:r>
              <w:t>0.36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5.86</w:t>
            </w:r>
          </w:p>
        </w:tc>
        <w:tc>
          <w:tcPr>
            <w:tcW w:w="2551" w:type="dxa"/>
            <w:vAlign w:val="center"/>
          </w:tcPr>
          <w:p>
            <w:pPr>
              <w:pStyle w:val="12"/>
            </w:pPr>
            <w:r>
              <w:t>5.86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23.81</w:t>
            </w:r>
          </w:p>
        </w:tc>
        <w:tc>
          <w:tcPr>
            <w:tcW w:w="2551" w:type="dxa"/>
            <w:vAlign w:val="center"/>
          </w:tcPr>
          <w:p>
            <w:pPr>
              <w:pStyle w:val="12"/>
            </w:pPr>
          </w:p>
        </w:tc>
        <w:tc>
          <w:tcPr>
            <w:tcW w:w="2551" w:type="dxa"/>
            <w:vAlign w:val="center"/>
          </w:tcPr>
          <w:p>
            <w:pPr>
              <w:pStyle w:val="12"/>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0.68</w:t>
            </w:r>
          </w:p>
        </w:tc>
        <w:tc>
          <w:tcPr>
            <w:tcW w:w="2551" w:type="dxa"/>
            <w:vAlign w:val="center"/>
          </w:tcPr>
          <w:p>
            <w:pPr>
              <w:pStyle w:val="12"/>
            </w:pPr>
          </w:p>
        </w:tc>
        <w:tc>
          <w:tcPr>
            <w:tcW w:w="2551"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1.14</w:t>
            </w:r>
          </w:p>
        </w:tc>
        <w:tc>
          <w:tcPr>
            <w:tcW w:w="2551" w:type="dxa"/>
            <w:vAlign w:val="center"/>
          </w:tcPr>
          <w:p>
            <w:pPr>
              <w:pStyle w:val="12"/>
            </w:pPr>
          </w:p>
        </w:tc>
        <w:tc>
          <w:tcPr>
            <w:tcW w:w="2551" w:type="dxa"/>
            <w:vAlign w:val="center"/>
          </w:tcPr>
          <w:p>
            <w:pPr>
              <w:pStyle w:val="12"/>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8.10</w:t>
            </w:r>
          </w:p>
        </w:tc>
        <w:tc>
          <w:tcPr>
            <w:tcW w:w="2551" w:type="dxa"/>
            <w:vAlign w:val="center"/>
          </w:tcPr>
          <w:p>
            <w:pPr>
              <w:pStyle w:val="12"/>
            </w:pPr>
          </w:p>
        </w:tc>
        <w:tc>
          <w:tcPr>
            <w:tcW w:w="2551" w:type="dxa"/>
            <w:vAlign w:val="center"/>
          </w:tcPr>
          <w:p>
            <w:pPr>
              <w:pStyle w:val="12"/>
            </w:pPr>
            <w:r>
              <w:t>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1.58</w:t>
            </w:r>
          </w:p>
        </w:tc>
        <w:tc>
          <w:tcPr>
            <w:tcW w:w="2551" w:type="dxa"/>
            <w:vAlign w:val="center"/>
          </w:tcPr>
          <w:p>
            <w:pPr>
              <w:pStyle w:val="12"/>
            </w:pPr>
          </w:p>
        </w:tc>
        <w:tc>
          <w:tcPr>
            <w:tcW w:w="2551" w:type="dxa"/>
            <w:vAlign w:val="center"/>
          </w:tcPr>
          <w:p>
            <w:pPr>
              <w:pStyle w:val="12"/>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6.42</w:t>
            </w:r>
          </w:p>
        </w:tc>
        <w:tc>
          <w:tcPr>
            <w:tcW w:w="2551" w:type="dxa"/>
            <w:vAlign w:val="center"/>
          </w:tcPr>
          <w:p>
            <w:pPr>
              <w:pStyle w:val="12"/>
            </w:pPr>
          </w:p>
        </w:tc>
        <w:tc>
          <w:tcPr>
            <w:tcW w:w="2551" w:type="dxa"/>
            <w:vAlign w:val="center"/>
          </w:tcPr>
          <w:p>
            <w:pPr>
              <w:pStyle w:val="12"/>
            </w:pPr>
            <w:r>
              <w:t>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4.08</w:t>
            </w:r>
          </w:p>
        </w:tc>
        <w:tc>
          <w:tcPr>
            <w:tcW w:w="2551" w:type="dxa"/>
            <w:vAlign w:val="center"/>
          </w:tcPr>
          <w:p>
            <w:pPr>
              <w:pStyle w:val="12"/>
            </w:pPr>
          </w:p>
        </w:tc>
        <w:tc>
          <w:tcPr>
            <w:tcW w:w="2551" w:type="dxa"/>
            <w:vAlign w:val="center"/>
          </w:tcPr>
          <w:p>
            <w:pPr>
              <w:pStyle w:val="12"/>
            </w:pPr>
            <w:r>
              <w:t>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17.70</w:t>
            </w:r>
          </w:p>
        </w:tc>
        <w:tc>
          <w:tcPr>
            <w:tcW w:w="2551" w:type="dxa"/>
            <w:vAlign w:val="center"/>
          </w:tcPr>
          <w:p>
            <w:pPr>
              <w:pStyle w:val="12"/>
            </w:pPr>
            <w:r>
              <w:t>17.70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17.70</w:t>
            </w:r>
          </w:p>
        </w:tc>
        <w:tc>
          <w:tcPr>
            <w:tcW w:w="2551" w:type="dxa"/>
            <w:vAlign w:val="center"/>
          </w:tcPr>
          <w:p>
            <w:pPr>
              <w:pStyle w:val="12"/>
            </w:pPr>
            <w:r>
              <w:t>17.70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202曲阳县信访局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202曲阳县信访局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202曲阳县信访局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曲阳县信访局2025年部门预算信息公开情况说明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曲阳县信访局2025年部门预算信息公开情况说明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按照《中华人民共和国预算法》、《地方预决算公开操作规程》和《关于进一步推进预算公开工作的实施意见》规定，现将曲阳县信访局2025年部门预算公开如下：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(一)研究提出全县信访工作的思路，拟定信访工作方针政策和地方性法规。</w:t>
      </w:r>
    </w:p>
    <w:p>
      <w:pPr>
        <w:pStyle w:val="18"/>
      </w:pPr>
      <w:r>
        <w:t>（二）办理人民群众来信，接待群众来访，查办信访案件；负责县委、县政府人民群众建议征集工作。</w:t>
      </w:r>
    </w:p>
    <w:p>
      <w:pPr>
        <w:pStyle w:val="18"/>
      </w:pPr>
      <w:r>
        <w:t>（三）调查研究和综合分析全县信访形势及信访工作状况，总结推广各地各部门信访工作经验，提出改进和加强信访工作的意见和建议。</w:t>
      </w:r>
    </w:p>
    <w:p>
      <w:pPr>
        <w:pStyle w:val="18"/>
      </w:pPr>
      <w:r>
        <w:t>（四）参与组织、协调、指导全县社会治安综合治理和维护社会政治稳定工作，协助保障国家和县、市、县重大政治活动顺利进行，参与处理影响社会政治稳定的突发性、群体性事件。</w:t>
      </w:r>
    </w:p>
    <w:p>
      <w:pPr>
        <w:pStyle w:val="18"/>
      </w:pPr>
      <w:r>
        <w:t>（五）督导检查和指导各乡镇党委、政府和县直部门的信访工作。对各乡镇党委、政府和限制有关部门信访工作年度责任目标进行考核，对全县社会治安综合治理和维护社会政治稳定年度责任目标中有关信访工作进行考核。</w:t>
      </w:r>
    </w:p>
    <w:p>
      <w:pPr>
        <w:pStyle w:val="18"/>
      </w:pPr>
      <w:r>
        <w:t>（六）协助国家信访局处理曲阳县群众进京上访工作，综合协调处理跨地区、跨部门、跨行业的重要信访问题，协助公安机关维护县委、县政府机关正常工作秩序。</w:t>
      </w:r>
    </w:p>
    <w:p>
      <w:pPr>
        <w:pStyle w:val="18"/>
      </w:pPr>
      <w:r>
        <w:t>（七）负责县级领导和县直部门领导公安接访和包联案件的组织协调工作。</w:t>
      </w:r>
    </w:p>
    <w:p>
      <w:pPr>
        <w:pStyle w:val="18"/>
      </w:pPr>
      <w:r>
        <w:t>（八）承担县信访局信访工作联席会议的日常工作，督促落实联席会议决定的事项。</w:t>
      </w:r>
    </w:p>
    <w:p>
      <w:pPr>
        <w:pStyle w:val="18"/>
      </w:pPr>
      <w:r>
        <w:t>（九）完成县委、县政府及上级交办的其他任务。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曲阳县信访局本级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按照预算管理有关规定，目前部门预算的编制实行综合预算管理，即全部收入和支出都反映在预算中。曲阳县信访局机关及所属事业单位的收支包含在部门预算中。</w:t>
      </w:r>
    </w:p>
    <w:p>
      <w:pPr>
        <w:pStyle w:val="19"/>
      </w:pPr>
      <w:r>
        <w:t>1、收入说明</w:t>
      </w:r>
    </w:p>
    <w:p>
      <w:pPr>
        <w:pStyle w:val="19"/>
      </w:pPr>
      <w:r>
        <w:t>反映本部门当年全部收入。2025年预算收入224.33万元，其中：一般公共预算收入224.33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信访局年度部门预算中支出预算的总体情况。2025年支出预算224.33万元，其中基本支出120.30万元，包括人员经费96.49万元和日常公用经费23.81万元；项目支出104.03万元，主要为劳务派遣人员经费项目50.03万元，群众工作中心运行项目经费24万元，驻访专项业务经费项目30万元。</w:t>
      </w:r>
    </w:p>
    <w:p>
      <w:pPr>
        <w:pStyle w:val="19"/>
      </w:pPr>
      <w:r>
        <w:t>3、比上年增减情况</w:t>
      </w:r>
    </w:p>
    <w:p>
      <w:pPr>
        <w:pStyle w:val="19"/>
      </w:pPr>
      <w:r>
        <w:t>2025年预算收支安排224.33万元，较2024年预算减少51.08万元，其中：基本支出减少8.32万元，主要为本年度较上年人员减少，人员工资及各项保险减少，车补、通讯费等各项补贴、办公费、福利费等公用经费减少。项目支出减少42.76万元，主要为劳务派遣人员减少，项目经费减少，群众工作中心运行经费电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23.81万元，主要用于日常维修、办公用房水电费、办公用房取暖费、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我单位无公车，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们将紧紧围绕“北京不去、河北不聚、外省不串、网上不炒”的总要求，围绕持续创建“全国信访工作示范县”目标任务，大力推进“一和四化”信访工作模式，突出解决问题，突出做好稳控，突出依法打击，突出规范信访秩序，大幅减存量，严格控增量，确保重要敏感期不发生进京赴省集体访，不发生影响稳定的群体性事件，不发生利益群体大规模有影响的进京赴省集体访事件，使全县信访稳定形势进一步好转，全市排名进一步提升，为建设现代化中国雕刻文化名城提供坚强保障，为全县经济社会发展营造和谐安宁的社会环境。强化业务能力。加强对群众工作中心入驻工作人员进行业务知识培训，提高入驻部门工作人员的业务水平，减少上访群众的权益受到损害，加强对信访部门交办案件的督办协调加强值班队伍力量。继续安排人员驻京、赴省值班，加强值班力量，减少越级访对我县造成的不良影响，维护我县的外部形象。加强队伍建设。我单位将继续组织县直各部门、各乡镇认真开展党的群众路线教育实践活动；组织开展信访队伍素质提升和活动，加强信访队伍领导班子、思想政治建设，努力提升“五个能力”；坚持从严治访，改进工作作风，严格落实中央、省、市县相关纪律要求，切实解决信访队伍中存在的突出问题。</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1.扎实做好安保，确保不出问题。</w:t>
      </w:r>
    </w:p>
    <w:p>
      <w:pPr>
        <w:pStyle w:val="23"/>
      </w:pPr>
      <w:r>
        <w:t>绩效目标：通过保障信访人员工作的开展，妥善解决和发现信访隐患，维护社会安定，保护群众利益。</w:t>
      </w:r>
    </w:p>
    <w:p>
      <w:pPr>
        <w:pStyle w:val="23"/>
      </w:pPr>
      <w:r>
        <w:t>绩效指标：合理安排驻北京、石家庄值班力量，安排20多个部门入驻县群众工作中心集中办公，落实“三级调处”，确保了全国两会、“一带一路”高峰论坛等重大活动和敏感时期不出问题。</w:t>
      </w:r>
    </w:p>
    <w:p>
      <w:pPr>
        <w:pStyle w:val="23"/>
      </w:pPr>
      <w:r>
        <w:t>2.做好信访局日常工作。</w:t>
      </w:r>
    </w:p>
    <w:p>
      <w:pPr>
        <w:pStyle w:val="23"/>
      </w:pPr>
      <w:r>
        <w:t>绩效目标：通过为我单位9名劳务派遣及时足额发放工资、缴纳各项保险，保障劳务派遣人员日常生活和工作需要。通过对9名劳务派遣人员的日常管理和培训，使劳务派遣人员的尽职尽责。</w:t>
      </w:r>
    </w:p>
    <w:p>
      <w:pPr>
        <w:pStyle w:val="23"/>
      </w:pPr>
      <w:r>
        <w:t>绩效指标：劳务派遣人员的尽职尽责率达到98%，提高劳务派遣人员工作能力，确保人员按时出勤，积极主动工作，将分配给他们的工作保质保量完成。</w:t>
      </w:r>
    </w:p>
    <w:p>
      <w:pPr>
        <w:pStyle w:val="23"/>
      </w:pPr>
      <w:r>
        <w:t>3.保障群众工作中心社会治理中心有序开展工作。</w:t>
      </w:r>
    </w:p>
    <w:p>
      <w:pPr>
        <w:pStyle w:val="23"/>
      </w:pPr>
      <w:r>
        <w:t>绩效目标：通过及时发放8名保安、保洁工资，保障人员利益，使其更好的完成承担的工作任务。</w:t>
      </w:r>
    </w:p>
    <w:p>
      <w:pPr>
        <w:pStyle w:val="23"/>
      </w:pPr>
      <w:r>
        <w:t>绩效指标：保安、保洁尽职尽责率高达95%，群众工作中心社会治理中心环境卫生得到了提升，上访人员秩序明显改变。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领导，提高认识。我局要高度重视群众来信来访工作，切实加强领导，要以对人民群众高度负责的精神，树立服务思想，热情耐心地做好来信来访接待处理工作。对群众反映的问题，符合政策法规应予以解决的，要尽快解决;一时解决不了的要解释清楚，争取理解要求不合理的或无理取闹的，要在宣传政策的同时予以批评教商。主要领导要经常对本机关的信访工作进行检查、指导，处理重大信访问题，其他成员要负责处理分管工作的信访问题。</w:t>
      </w:r>
    </w:p>
    <w:p>
      <w:pPr>
        <w:pStyle w:val="24"/>
      </w:pPr>
      <w:r>
        <w:t>2、加大《国家信访条例》及《河北省信访条例》的宣传和学习力度。我局要高度重视对《信访条例》的宣传工作，进一步提高人民群众的信访意识，逐步教商和引导群众学法、懂法、法、用法，指导群众通过合法途径表达自己的利益诉求，使群众初步了解《信访条例》对保障群众民主权利、加强党和政府与人民的密切联系的重要意义。</w:t>
      </w:r>
    </w:p>
    <w:p>
      <w:pPr>
        <w:pStyle w:val="24"/>
      </w:pPr>
      <w:r>
        <w:t>3、建立健全信访案件登记督办制度。指定专门人员参加全国信访信息系统的培训，并熟练操作，收到群众信访信件要进行认真登记，及时上报负责领导，对负责处理信访事件的业务处室进行严格督办，并及时反债办理结果。重要的信访案件，要整理归档，立卷保存，做到件件有着落，事事有回信。</w:t>
      </w:r>
    </w:p>
    <w:p>
      <w:pPr>
        <w:pStyle w:val="24"/>
      </w:pPr>
      <w:r>
        <w:t>4、建立健全矛盾纠纷排查调处工作机制。我局要认真做好各种矛盾的排查和超前化解工作，把工作重点从事后处置转到事前预防上。要特别重视集体上访群众反映的问题，热情做好接待工作，做解释巅导工作，避免矛盾激化。</w:t>
      </w:r>
    </w:p>
    <w:p>
      <w:pPr>
        <w:pStyle w:val="24"/>
        <w:sectPr>
          <w:pgSz w:w="16840" w:h="11900" w:orient="landscape"/>
          <w:pgMar w:top="1361" w:right="1020" w:bottom="1361" w:left="1020" w:header="720" w:footer="720" w:gutter="0"/>
        </w:sectPr>
      </w:pPr>
      <w:r>
        <w:t>5、加强驻京、驻省值班力度。减少人员外出方访，维护好我县良好的外部形象，保障信访人的合法权益。</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1、信访局劳务派遣人员经费项目绩效目标表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13063425P004C4910239J</w:t>
            </w:r>
          </w:p>
        </w:tc>
        <w:tc>
          <w:tcPr>
            <w:tcW w:w="2835" w:type="dxa"/>
            <w:vAlign w:val="center"/>
          </w:tcPr>
          <w:p>
            <w:pPr>
              <w:pStyle w:val="11"/>
            </w:pPr>
            <w:r>
              <w:t>项目名称</w:t>
            </w:r>
          </w:p>
        </w:tc>
        <w:tc>
          <w:tcPr>
            <w:tcW w:w="6095" w:type="dxa"/>
            <w:gridSpan w:val="3"/>
            <w:vAlign w:val="center"/>
          </w:tcPr>
          <w:p>
            <w:pPr>
              <w:pStyle w:val="13"/>
            </w:pPr>
            <w:r>
              <w:t>信访局劳务派遣人员经费项目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50.03</w:t>
            </w:r>
          </w:p>
        </w:tc>
        <w:tc>
          <w:tcPr>
            <w:tcW w:w="2835" w:type="dxa"/>
            <w:vAlign w:val="center"/>
          </w:tcPr>
          <w:p>
            <w:pPr>
              <w:pStyle w:val="11"/>
            </w:pPr>
            <w:r>
              <w:t>其中：财政    资金</w:t>
            </w:r>
          </w:p>
        </w:tc>
        <w:tc>
          <w:tcPr>
            <w:tcW w:w="2551" w:type="dxa"/>
            <w:vAlign w:val="center"/>
          </w:tcPr>
          <w:p>
            <w:pPr>
              <w:pStyle w:val="13"/>
            </w:pPr>
            <w:r>
              <w:t>50.03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预算数为50.03万元，其中县财政资金50.03万元，主要用于我单位劳务派遣人员工资及保险，按月及时发放资金。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12.5</w:t>
            </w:r>
          </w:p>
        </w:tc>
        <w:tc>
          <w:tcPr>
            <w:tcW w:w="2835" w:type="dxa"/>
            <w:vAlign w:val="center"/>
          </w:tcPr>
          <w:p>
            <w:pPr>
              <w:pStyle w:val="14"/>
              <w:rPr>
                <w:rFonts w:hint="default" w:eastAsia="方正书宋_GBK"/>
                <w:lang w:val="en-US" w:eastAsia="zh-CN"/>
              </w:rPr>
            </w:pPr>
            <w:r>
              <w:rPr>
                <w:rFonts w:hint="eastAsia"/>
                <w:lang w:val="en-US" w:eastAsia="zh-CN"/>
              </w:rPr>
              <w:t>25</w:t>
            </w:r>
          </w:p>
        </w:tc>
        <w:tc>
          <w:tcPr>
            <w:tcW w:w="2551" w:type="dxa"/>
            <w:vAlign w:val="center"/>
          </w:tcPr>
          <w:p>
            <w:pPr>
              <w:pStyle w:val="14"/>
              <w:rPr>
                <w:rFonts w:hint="default" w:eastAsia="方正书宋_GBK"/>
                <w:lang w:val="en-US" w:eastAsia="zh-CN"/>
              </w:rPr>
            </w:pPr>
            <w:r>
              <w:rPr>
                <w:rFonts w:hint="eastAsia"/>
                <w:lang w:val="en-US" w:eastAsia="zh-CN"/>
              </w:rPr>
              <w:t>37.5</w:t>
            </w:r>
          </w:p>
        </w:tc>
        <w:tc>
          <w:tcPr>
            <w:tcW w:w="3544" w:type="dxa"/>
            <w:gridSpan w:val="2"/>
            <w:vAlign w:val="center"/>
          </w:tcPr>
          <w:p>
            <w:pPr>
              <w:pStyle w:val="14"/>
              <w:rPr>
                <w:rFonts w:hint="default" w:eastAsia="方正书宋_GBK"/>
                <w:lang w:val="en-US" w:eastAsia="zh-CN"/>
              </w:rPr>
            </w:pPr>
            <w:r>
              <w:rPr>
                <w:rFonts w:hint="eastAsia"/>
                <w:lang w:val="en-US" w:eastAsia="zh-CN"/>
              </w:rPr>
              <w:t>50.03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1.通过对劳务派遣人员及时足额发放工资、缴纳保险，保障个人利益，使其更好的完成单位工作。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劳务派遣补助发放时间</w:t>
            </w:r>
          </w:p>
        </w:tc>
        <w:tc>
          <w:tcPr>
            <w:tcW w:w="5386" w:type="dxa"/>
            <w:vAlign w:val="center"/>
          </w:tcPr>
          <w:p>
            <w:pPr>
              <w:pStyle w:val="13"/>
            </w:pPr>
            <w:r>
              <w:t xml:space="preserve">  劳务派遣补助发放时间</w:t>
            </w:r>
          </w:p>
        </w:tc>
        <w:tc>
          <w:tcPr>
            <w:tcW w:w="2268" w:type="dxa"/>
            <w:vAlign w:val="center"/>
          </w:tcPr>
          <w:p>
            <w:pPr>
              <w:pStyle w:val="13"/>
            </w:pPr>
            <w:r>
              <w:t>每月25日</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劳务派遣人均补助成本</w:t>
            </w:r>
          </w:p>
        </w:tc>
        <w:tc>
          <w:tcPr>
            <w:tcW w:w="2268" w:type="dxa"/>
            <w:vAlign w:val="center"/>
          </w:tcPr>
          <w:p>
            <w:pPr>
              <w:pStyle w:val="13"/>
            </w:pPr>
            <w:r>
              <w:t>≥3100元/月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增加就业岗位</w:t>
            </w:r>
          </w:p>
        </w:tc>
        <w:tc>
          <w:tcPr>
            <w:tcW w:w="5386" w:type="dxa"/>
            <w:vAlign w:val="center"/>
          </w:tcPr>
          <w:p>
            <w:pPr>
              <w:pStyle w:val="13"/>
            </w:pPr>
            <w:r>
              <w:t>增加就业岗位</w:t>
            </w:r>
          </w:p>
        </w:tc>
        <w:tc>
          <w:tcPr>
            <w:tcW w:w="2268" w:type="dxa"/>
            <w:vAlign w:val="center"/>
          </w:tcPr>
          <w:p>
            <w:pPr>
              <w:pStyle w:val="13"/>
            </w:pPr>
            <w:r>
              <w:t>9个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2、信访局群众工作中心运行经费绩效目标表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13063425P00K6CL10005E</w:t>
            </w:r>
          </w:p>
        </w:tc>
        <w:tc>
          <w:tcPr>
            <w:tcW w:w="2835" w:type="dxa"/>
            <w:vAlign w:val="center"/>
          </w:tcPr>
          <w:p>
            <w:pPr>
              <w:pStyle w:val="11"/>
            </w:pPr>
            <w:r>
              <w:t>项目名称</w:t>
            </w:r>
          </w:p>
        </w:tc>
        <w:tc>
          <w:tcPr>
            <w:tcW w:w="6095" w:type="dxa"/>
            <w:gridSpan w:val="3"/>
            <w:vAlign w:val="center"/>
          </w:tcPr>
          <w:p>
            <w:pPr>
              <w:pStyle w:val="13"/>
            </w:pPr>
            <w:r>
              <w:t>信访局群众工作中心运行经费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预算数为24万元，其中县级财政资金为24万元，主要用于保安、保洁工资，按月及时发放资金。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eastAsia" w:eastAsia="方正书宋_GBK"/>
                <w:lang w:val="en-US" w:eastAsia="zh-CN"/>
              </w:rPr>
            </w:pPr>
            <w:r>
              <w:rPr>
                <w:rFonts w:hint="eastAsia"/>
                <w:lang w:val="en-US" w:eastAsia="zh-CN"/>
              </w:rPr>
              <w:t>6</w:t>
            </w:r>
          </w:p>
        </w:tc>
        <w:tc>
          <w:tcPr>
            <w:tcW w:w="2835" w:type="dxa"/>
            <w:vAlign w:val="center"/>
          </w:tcPr>
          <w:p>
            <w:pPr>
              <w:pStyle w:val="14"/>
              <w:rPr>
                <w:rFonts w:hint="default" w:eastAsia="方正书宋_GBK"/>
                <w:lang w:val="en-US" w:eastAsia="zh-CN"/>
              </w:rPr>
            </w:pPr>
            <w:r>
              <w:rPr>
                <w:rFonts w:hint="eastAsia"/>
                <w:lang w:val="en-US" w:eastAsia="zh-CN"/>
              </w:rPr>
              <w:t>12</w:t>
            </w:r>
          </w:p>
        </w:tc>
        <w:tc>
          <w:tcPr>
            <w:tcW w:w="2551" w:type="dxa"/>
            <w:vAlign w:val="center"/>
          </w:tcPr>
          <w:p>
            <w:pPr>
              <w:pStyle w:val="14"/>
              <w:rPr>
                <w:rFonts w:hint="default" w:eastAsia="方正书宋_GBK"/>
                <w:lang w:val="en-US" w:eastAsia="zh-CN"/>
              </w:rPr>
            </w:pPr>
            <w:r>
              <w:rPr>
                <w:rFonts w:hint="eastAsia"/>
                <w:lang w:val="en-US" w:eastAsia="zh-CN"/>
              </w:rPr>
              <w:t>18</w:t>
            </w:r>
          </w:p>
        </w:tc>
        <w:tc>
          <w:tcPr>
            <w:tcW w:w="3544" w:type="dxa"/>
            <w:gridSpan w:val="2"/>
            <w:vAlign w:val="center"/>
          </w:tcPr>
          <w:p>
            <w:pPr>
              <w:pStyle w:val="14"/>
              <w:rPr>
                <w:rFonts w:hint="default" w:eastAsia="方正书宋_GBK"/>
                <w:lang w:val="en-US" w:eastAsia="zh-CN"/>
              </w:rPr>
            </w:pPr>
            <w:r>
              <w:rPr>
                <w:rFonts w:hint="eastAsia"/>
                <w:lang w:val="en-US" w:eastAsia="zh-CN"/>
              </w:rPr>
              <w:t>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1.通过办公环境的改善，使信访接待工作更好的开展，为群众提供更好的服务。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劳务人员数量</w:t>
            </w:r>
          </w:p>
        </w:tc>
        <w:tc>
          <w:tcPr>
            <w:tcW w:w="5386" w:type="dxa"/>
            <w:vAlign w:val="center"/>
          </w:tcPr>
          <w:p>
            <w:pPr>
              <w:pStyle w:val="13"/>
            </w:pPr>
            <w:r>
              <w:t>劳务人员数量</w:t>
            </w:r>
          </w:p>
        </w:tc>
        <w:tc>
          <w:tcPr>
            <w:tcW w:w="2268" w:type="dxa"/>
            <w:vAlign w:val="center"/>
          </w:tcPr>
          <w:p>
            <w:pPr>
              <w:pStyle w:val="13"/>
            </w:pPr>
            <w:r>
              <w:t>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综合事务管理工作完成率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保安保洁工资发放时间</w:t>
            </w:r>
          </w:p>
        </w:tc>
        <w:tc>
          <w:tcPr>
            <w:tcW w:w="5386" w:type="dxa"/>
            <w:vAlign w:val="center"/>
          </w:tcPr>
          <w:p>
            <w:pPr>
              <w:pStyle w:val="13"/>
            </w:pPr>
            <w:r>
              <w:t xml:space="preserve">  保安保洁工资发放时间</w:t>
            </w:r>
          </w:p>
          <w:p>
            <w:pPr>
              <w:pStyle w:val="13"/>
            </w:pPr>
          </w:p>
        </w:tc>
        <w:tc>
          <w:tcPr>
            <w:tcW w:w="2268" w:type="dxa"/>
            <w:vAlign w:val="center"/>
          </w:tcPr>
          <w:p>
            <w:pPr>
              <w:pStyle w:val="13"/>
            </w:pPr>
            <w:r>
              <w:t>每月25日</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月人均补助成本</w:t>
            </w:r>
          </w:p>
        </w:tc>
        <w:tc>
          <w:tcPr>
            <w:tcW w:w="5386" w:type="dxa"/>
            <w:vAlign w:val="center"/>
          </w:tcPr>
          <w:p>
            <w:pPr>
              <w:pStyle w:val="13"/>
            </w:pPr>
            <w:r>
              <w:t>保安等人月人均补助成本</w:t>
            </w:r>
          </w:p>
        </w:tc>
        <w:tc>
          <w:tcPr>
            <w:tcW w:w="2268" w:type="dxa"/>
            <w:vAlign w:val="center"/>
          </w:tcPr>
          <w:p>
            <w:pPr>
              <w:pStyle w:val="13"/>
            </w:pPr>
            <w:r>
              <w:t>2400元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饮用桶装水成本</w:t>
            </w:r>
          </w:p>
        </w:tc>
        <w:tc>
          <w:tcPr>
            <w:tcW w:w="5386" w:type="dxa"/>
            <w:vAlign w:val="center"/>
          </w:tcPr>
          <w:p>
            <w:pPr>
              <w:pStyle w:val="13"/>
            </w:pPr>
            <w:r>
              <w:t>饮用桶装水成本</w:t>
            </w:r>
          </w:p>
        </w:tc>
        <w:tc>
          <w:tcPr>
            <w:tcW w:w="2268" w:type="dxa"/>
            <w:vAlign w:val="center"/>
          </w:tcPr>
          <w:p>
            <w:pPr>
              <w:pStyle w:val="13"/>
            </w:pPr>
            <w:r>
              <w:t>7元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办公环境提升率</w:t>
            </w:r>
          </w:p>
        </w:tc>
        <w:tc>
          <w:tcPr>
            <w:tcW w:w="5386" w:type="dxa"/>
            <w:vAlign w:val="center"/>
          </w:tcPr>
          <w:p>
            <w:pPr>
              <w:pStyle w:val="13"/>
            </w:pPr>
            <w:r>
              <w:t>单位办公环境较去年得到提升的比率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3、信访局驻访专项业务经费绩效目标表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13063425P00118310005U</w:t>
            </w:r>
          </w:p>
        </w:tc>
        <w:tc>
          <w:tcPr>
            <w:tcW w:w="2835" w:type="dxa"/>
            <w:vAlign w:val="center"/>
          </w:tcPr>
          <w:p>
            <w:pPr>
              <w:pStyle w:val="11"/>
            </w:pPr>
            <w:r>
              <w:t>项目名称</w:t>
            </w:r>
          </w:p>
        </w:tc>
        <w:tc>
          <w:tcPr>
            <w:tcW w:w="6095" w:type="dxa"/>
            <w:gridSpan w:val="3"/>
            <w:vAlign w:val="center"/>
          </w:tcPr>
          <w:p>
            <w:pPr>
              <w:pStyle w:val="13"/>
            </w:pPr>
            <w:r>
              <w:t>信访局驻访专项业务经费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预算数为30万元，其中县级财政资金为30万元，主要用于信访工作人员工作经费，按月及时发放资金。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7.5</w:t>
            </w:r>
          </w:p>
        </w:tc>
        <w:tc>
          <w:tcPr>
            <w:tcW w:w="2835" w:type="dxa"/>
            <w:vAlign w:val="center"/>
          </w:tcPr>
          <w:p>
            <w:pPr>
              <w:pStyle w:val="14"/>
              <w:rPr>
                <w:rFonts w:hint="default" w:eastAsia="方正书宋_GBK"/>
                <w:lang w:val="en-US" w:eastAsia="zh-CN"/>
              </w:rPr>
            </w:pPr>
            <w:r>
              <w:rPr>
                <w:rFonts w:hint="eastAsia"/>
                <w:lang w:val="en-US" w:eastAsia="zh-CN"/>
              </w:rPr>
              <w:t>15</w:t>
            </w:r>
          </w:p>
        </w:tc>
        <w:tc>
          <w:tcPr>
            <w:tcW w:w="2551" w:type="dxa"/>
            <w:vAlign w:val="center"/>
          </w:tcPr>
          <w:p>
            <w:pPr>
              <w:pStyle w:val="14"/>
              <w:rPr>
                <w:rFonts w:hint="default" w:eastAsia="方正书宋_GBK"/>
                <w:lang w:val="en-US" w:eastAsia="zh-CN"/>
              </w:rPr>
            </w:pPr>
            <w:r>
              <w:rPr>
                <w:rFonts w:hint="eastAsia"/>
                <w:lang w:val="en-US" w:eastAsia="zh-CN"/>
              </w:rPr>
              <w:t>22.5</w:t>
            </w:r>
          </w:p>
        </w:tc>
        <w:tc>
          <w:tcPr>
            <w:tcW w:w="3544" w:type="dxa"/>
            <w:gridSpan w:val="2"/>
            <w:vAlign w:val="center"/>
          </w:tcPr>
          <w:p>
            <w:pPr>
              <w:pStyle w:val="14"/>
              <w:rPr>
                <w:rFonts w:hint="default" w:eastAsia="方正书宋_GBK"/>
                <w:lang w:val="en-US" w:eastAsia="zh-CN"/>
              </w:rPr>
            </w:pPr>
            <w:r>
              <w:rPr>
                <w:rFonts w:hint="eastAsia"/>
                <w:lang w:val="en-US" w:eastAsia="zh-CN"/>
              </w:rPr>
              <w:t>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1.通过保障信访人员工作的开展，妥善解决和发现信访隐患，维护社会安定，保护群众利益。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外出值班天数</w:t>
            </w:r>
          </w:p>
        </w:tc>
        <w:tc>
          <w:tcPr>
            <w:tcW w:w="5386" w:type="dxa"/>
            <w:vAlign w:val="center"/>
          </w:tcPr>
          <w:p>
            <w:pPr>
              <w:pStyle w:val="13"/>
            </w:pPr>
            <w:r>
              <w:t>外出值班天数</w:t>
            </w:r>
          </w:p>
        </w:tc>
        <w:tc>
          <w:tcPr>
            <w:tcW w:w="2268" w:type="dxa"/>
            <w:vAlign w:val="center"/>
          </w:tcPr>
          <w:p>
            <w:pPr>
              <w:pStyle w:val="13"/>
            </w:pPr>
            <w:r>
              <w:t>≥330天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越级信访人员成功劝返率</w:t>
            </w:r>
          </w:p>
        </w:tc>
        <w:tc>
          <w:tcPr>
            <w:tcW w:w="5386" w:type="dxa"/>
            <w:vAlign w:val="center"/>
          </w:tcPr>
          <w:p>
            <w:pPr>
              <w:pStyle w:val="13"/>
            </w:pPr>
            <w:r>
              <w:t>越级信访人员成功劝返率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进京赴省差旅费发放时间</w:t>
            </w:r>
          </w:p>
        </w:tc>
        <w:tc>
          <w:tcPr>
            <w:tcW w:w="5386" w:type="dxa"/>
            <w:vAlign w:val="center"/>
          </w:tcPr>
          <w:p>
            <w:pPr>
              <w:pStyle w:val="13"/>
            </w:pPr>
            <w:r>
              <w:t xml:space="preserve"> 进京赴省差旅费发放时间</w:t>
            </w:r>
          </w:p>
        </w:tc>
        <w:tc>
          <w:tcPr>
            <w:tcW w:w="2268" w:type="dxa"/>
            <w:vAlign w:val="center"/>
          </w:tcPr>
          <w:p>
            <w:pPr>
              <w:pStyle w:val="13"/>
            </w:pPr>
            <w:r>
              <w:t>每月25日</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赴省差旅费标准</w:t>
            </w:r>
          </w:p>
        </w:tc>
        <w:tc>
          <w:tcPr>
            <w:tcW w:w="5386" w:type="dxa"/>
            <w:vAlign w:val="center"/>
          </w:tcPr>
          <w:p>
            <w:pPr>
              <w:pStyle w:val="13"/>
            </w:pPr>
            <w:r>
              <w:t>赴省差旅费标准</w:t>
            </w:r>
          </w:p>
        </w:tc>
        <w:tc>
          <w:tcPr>
            <w:tcW w:w="2268" w:type="dxa"/>
            <w:vAlign w:val="center"/>
          </w:tcPr>
          <w:p>
            <w:pPr>
              <w:pStyle w:val="13"/>
            </w:pPr>
            <w:r>
              <w:t>240元/天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进京差旅费标准</w:t>
            </w:r>
          </w:p>
        </w:tc>
        <w:tc>
          <w:tcPr>
            <w:tcW w:w="5386" w:type="dxa"/>
            <w:vAlign w:val="center"/>
          </w:tcPr>
          <w:p>
            <w:pPr>
              <w:pStyle w:val="13"/>
            </w:pPr>
            <w:r>
              <w:t>进京差旅费标准</w:t>
            </w:r>
          </w:p>
        </w:tc>
        <w:tc>
          <w:tcPr>
            <w:tcW w:w="2268" w:type="dxa"/>
            <w:vAlign w:val="center"/>
          </w:tcPr>
          <w:p>
            <w:pPr>
              <w:pStyle w:val="13"/>
            </w:pPr>
            <w:r>
              <w:t>300元/天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化解矛盾率(%)</w:t>
            </w:r>
          </w:p>
        </w:tc>
        <w:tc>
          <w:tcPr>
            <w:tcW w:w="5386" w:type="dxa"/>
            <w:vAlign w:val="center"/>
          </w:tcPr>
          <w:p>
            <w:pPr>
              <w:pStyle w:val="13"/>
            </w:pPr>
            <w:r>
              <w:t>化解矛盾率(%)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群众的满意程度</w:t>
            </w:r>
          </w:p>
        </w:tc>
        <w:tc>
          <w:tcPr>
            <w:tcW w:w="5386" w:type="dxa"/>
            <w:vAlign w:val="center"/>
          </w:tcPr>
          <w:p>
            <w:pPr>
              <w:pStyle w:val="13"/>
            </w:pPr>
            <w:r>
              <w:t>群众满意人数占调查人数的比例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bookmarkStart w:id="20" w:name="_GoBack"/>
      <w:bookmarkEnd w:id="20"/>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202曲阳县信访局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3.84</w:t>
            </w:r>
          </w:p>
        </w:tc>
        <w:tc>
          <w:tcPr>
            <w:tcW w:w="964" w:type="dxa"/>
            <w:vAlign w:val="center"/>
          </w:tcPr>
          <w:p>
            <w:pPr>
              <w:pStyle w:val="16"/>
            </w:pPr>
            <w:r>
              <w:t>3.84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曲阳县信访局本级小计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3.84</w:t>
            </w:r>
          </w:p>
        </w:tc>
        <w:tc>
          <w:tcPr>
            <w:tcW w:w="964" w:type="dxa"/>
            <w:vAlign w:val="center"/>
          </w:tcPr>
          <w:p>
            <w:pPr>
              <w:pStyle w:val="16"/>
            </w:pPr>
            <w:r>
              <w:t>3.84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17.06</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件</w:t>
            </w:r>
          </w:p>
        </w:tc>
        <w:tc>
          <w:tcPr>
            <w:tcW w:w="850" w:type="dxa"/>
            <w:vAlign w:val="center"/>
          </w:tcPr>
          <w:p>
            <w:pPr>
              <w:pStyle w:val="12"/>
            </w:pPr>
            <w:r>
              <w:t>34</w:t>
            </w:r>
          </w:p>
        </w:tc>
        <w:tc>
          <w:tcPr>
            <w:tcW w:w="850" w:type="dxa"/>
            <w:vAlign w:val="center"/>
          </w:tcPr>
          <w:p>
            <w:pPr>
              <w:pStyle w:val="12"/>
            </w:pPr>
            <w:r>
              <w:t>0.02</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17.06</w:t>
            </w:r>
          </w:p>
        </w:tc>
        <w:tc>
          <w:tcPr>
            <w:tcW w:w="1134" w:type="dxa"/>
            <w:vAlign w:val="center"/>
          </w:tcPr>
          <w:p>
            <w:pPr>
              <w:pStyle w:val="13"/>
            </w:pPr>
            <w:r>
              <w:t>基础电信服务</w:t>
            </w:r>
          </w:p>
        </w:tc>
        <w:tc>
          <w:tcPr>
            <w:tcW w:w="1134" w:type="dxa"/>
            <w:vAlign w:val="center"/>
          </w:tcPr>
          <w:p>
            <w:pPr>
              <w:pStyle w:val="13"/>
            </w:pPr>
            <w:r>
              <w:t>C17010100</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信访局群众工作中心运行经费</w:t>
            </w:r>
          </w:p>
        </w:tc>
        <w:tc>
          <w:tcPr>
            <w:tcW w:w="964" w:type="dxa"/>
            <w:vAlign w:val="center"/>
          </w:tcPr>
          <w:p>
            <w:pPr>
              <w:pStyle w:val="12"/>
            </w:pPr>
            <w:r>
              <w:t>24.00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件</w:t>
            </w:r>
          </w:p>
        </w:tc>
        <w:tc>
          <w:tcPr>
            <w:tcW w:w="850" w:type="dxa"/>
            <w:vAlign w:val="center"/>
          </w:tcPr>
          <w:p>
            <w:pPr>
              <w:pStyle w:val="12"/>
            </w:pPr>
            <w:r>
              <w:t>34</w:t>
            </w:r>
          </w:p>
        </w:tc>
        <w:tc>
          <w:tcPr>
            <w:tcW w:w="850" w:type="dxa"/>
            <w:vAlign w:val="center"/>
          </w:tcPr>
          <w:p>
            <w:pPr>
              <w:pStyle w:val="12"/>
            </w:pPr>
            <w:r>
              <w:t>0.02</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信访局驻访专项业务经费</w:t>
            </w:r>
          </w:p>
        </w:tc>
        <w:tc>
          <w:tcPr>
            <w:tcW w:w="964" w:type="dxa"/>
            <w:vAlign w:val="center"/>
          </w:tcPr>
          <w:p>
            <w:pPr>
              <w:pStyle w:val="12"/>
            </w:pPr>
            <w:r>
              <w:t>30.00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件</w:t>
            </w:r>
          </w:p>
        </w:tc>
        <w:tc>
          <w:tcPr>
            <w:tcW w:w="850" w:type="dxa"/>
            <w:vAlign w:val="center"/>
          </w:tcPr>
          <w:p>
            <w:pPr>
              <w:pStyle w:val="12"/>
            </w:pPr>
            <w:r>
              <w:t>95</w:t>
            </w:r>
          </w:p>
        </w:tc>
        <w:tc>
          <w:tcPr>
            <w:tcW w:w="850" w:type="dxa"/>
            <w:vAlign w:val="center"/>
          </w:tcPr>
          <w:p>
            <w:pPr>
              <w:pStyle w:val="12"/>
            </w:pPr>
            <w:r>
              <w:t>0.02</w:t>
            </w:r>
          </w:p>
        </w:tc>
        <w:tc>
          <w:tcPr>
            <w:tcW w:w="964" w:type="dxa"/>
            <w:vAlign w:val="center"/>
          </w:tcPr>
          <w:p>
            <w:pPr>
              <w:pStyle w:val="12"/>
            </w:pPr>
            <w:r>
              <w:t>2.28</w:t>
            </w:r>
          </w:p>
        </w:tc>
        <w:tc>
          <w:tcPr>
            <w:tcW w:w="964" w:type="dxa"/>
            <w:vAlign w:val="center"/>
          </w:tcPr>
          <w:p>
            <w:pPr>
              <w:pStyle w:val="12"/>
            </w:pPr>
            <w:r>
              <w:t>2.28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曲阳县信访局（含所属单位）上年末固定资产金额为0.00万元（详见下表）。本年度拟购置固定资产总额为0.00万元，已按要求列入政府采购预算，详见政府采购预算表。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202曲阳县信访局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375D4"/>
    <w:rsid w:val="67A21FA6"/>
    <w:rsid w:val="79061CA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2025-02-05T10:08:00Z</dcterms:created>
  <dc:creator>Administrator</dc:creator>
  <cp:lastModifiedBy>Ydh</cp:lastModifiedBy>
  <dcterms:modified xsi:type="dcterms:W3CDTF">2025-02-06T07:20:13Z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