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_Toc30941 </w:instrText>
      </w:r>
      <w:r>
        <w:fldChar w:fldCharType="separate"/>
      </w:r>
      <w:r>
        <w:t>一、部门职责及机构设置情况</w:t>
      </w:r>
      <w:r>
        <w:tab/>
      </w:r>
      <w:r>
        <w:fldChar w:fldCharType="begin"/>
      </w:r>
      <w:r>
        <w:instrText xml:space="preserve"> PAGEREF _Toc30941 </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_Toc24738 </w:instrText>
      </w:r>
      <w:r>
        <w:fldChar w:fldCharType="separate"/>
      </w:r>
      <w:r>
        <w:t>二、部门预算安排的总体情况</w:t>
      </w:r>
      <w:r>
        <w:tab/>
      </w:r>
      <w:r>
        <w:fldChar w:fldCharType="begin"/>
      </w:r>
      <w:r>
        <w:instrText xml:space="preserve"> PAGEREF _Toc24738 </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_Toc30197 </w:instrText>
      </w:r>
      <w:r>
        <w:fldChar w:fldCharType="separate"/>
      </w:r>
      <w:r>
        <w:t>三、机关运行经费安排情况</w:t>
      </w:r>
      <w:r>
        <w:tab/>
      </w:r>
      <w:r>
        <w:fldChar w:fldCharType="begin"/>
      </w:r>
      <w:r>
        <w:instrText xml:space="preserve"> PAGEREF _Toc30197 </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_Toc20551 </w:instrText>
      </w:r>
      <w:r>
        <w:fldChar w:fldCharType="separate"/>
      </w:r>
      <w:r>
        <w:t>四、财政拨款“三公”经费预算情况及增减变化原因</w:t>
      </w:r>
      <w:r>
        <w:tab/>
      </w:r>
      <w:r>
        <w:fldChar w:fldCharType="begin"/>
      </w:r>
      <w:r>
        <w:instrText xml:space="preserve"> PAGEREF _Toc20551 </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_Toc12774 </w:instrText>
      </w:r>
      <w:r>
        <w:fldChar w:fldCharType="separate"/>
      </w:r>
      <w:r>
        <w:t>五、部门整体绩效目标</w:t>
      </w:r>
      <w:r>
        <w:tab/>
      </w:r>
      <w:r>
        <w:fldChar w:fldCharType="begin"/>
      </w:r>
      <w:r>
        <w:instrText xml:space="preserve"> PAGEREF _Toc12774 </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_Toc15611 </w:instrText>
      </w:r>
      <w:r>
        <w:fldChar w:fldCharType="separate"/>
      </w:r>
      <w:r>
        <w:t>六、部门主管专项资金预算安排情况及绩效目标</w:t>
      </w:r>
      <w:r>
        <w:tab/>
      </w:r>
      <w:r>
        <w:fldChar w:fldCharType="begin"/>
      </w:r>
      <w:r>
        <w:instrText xml:space="preserve"> PAGEREF _Toc15611 </w:instrText>
      </w:r>
      <w:r>
        <w:fldChar w:fldCharType="separate"/>
      </w:r>
      <w:r>
        <w:t>23</w:t>
      </w:r>
      <w:r>
        <w:fldChar w:fldCharType="end"/>
      </w:r>
      <w:r>
        <w:fldChar w:fldCharType="end"/>
      </w:r>
    </w:p>
    <w:p>
      <w:pPr>
        <w:pStyle w:val="3"/>
        <w:tabs>
          <w:tab w:val="right" w:leader="dot" w:pos="14562"/>
        </w:tabs>
      </w:pPr>
      <w:bookmarkStart w:id="22" w:name="_GoBack"/>
      <w:bookmarkEnd w:id="22"/>
      <w:r>
        <w:fldChar w:fldCharType="begin"/>
      </w:r>
      <w:r>
        <w:instrText xml:space="preserve"> HYPERLINK \l _Toc14119 </w:instrText>
      </w:r>
      <w:r>
        <w:fldChar w:fldCharType="separate"/>
      </w:r>
      <w:r>
        <w:rPr>
          <w:rFonts w:hint="eastAsia"/>
          <w:lang w:val="en-US" w:eastAsia="zh-CN"/>
        </w:rPr>
        <w:t>七</w:t>
      </w:r>
      <w:r>
        <w:t>、部门项目预算安排情况及绩效目标</w:t>
      </w:r>
      <w:r>
        <w:tab/>
      </w:r>
      <w:r>
        <w:fldChar w:fldCharType="begin"/>
      </w:r>
      <w:r>
        <w:instrText xml:space="preserve"> PAGEREF _Toc14119 </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_Toc20222 </w:instrText>
      </w:r>
      <w:r>
        <w:fldChar w:fldCharType="separate"/>
      </w:r>
      <w:r>
        <w:rPr>
          <w:rFonts w:hint="eastAsia"/>
          <w:lang w:val="en-US" w:eastAsia="zh-CN"/>
        </w:rPr>
        <w:t>八</w:t>
      </w:r>
      <w:r>
        <w:t>、政府采购预算情况</w:t>
      </w:r>
      <w:r>
        <w:tab/>
      </w:r>
      <w:r>
        <w:fldChar w:fldCharType="begin"/>
      </w:r>
      <w:r>
        <w:instrText xml:space="preserve"> PAGEREF _Toc20222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_Toc21960 </w:instrText>
      </w:r>
      <w:r>
        <w:fldChar w:fldCharType="separate"/>
      </w:r>
      <w:r>
        <w:rPr>
          <w:rFonts w:hint="eastAsia"/>
          <w:lang w:val="en-US" w:eastAsia="zh-CN"/>
        </w:rPr>
        <w:t>九</w:t>
      </w:r>
      <w:r>
        <w:t>、国有资产信息</w:t>
      </w:r>
      <w:r>
        <w:tab/>
      </w:r>
      <w:r>
        <w:fldChar w:fldCharType="begin"/>
      </w:r>
      <w:r>
        <w:instrText xml:space="preserve"> PAGEREF _Toc21960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_Toc31847 </w:instrText>
      </w:r>
      <w:r>
        <w:fldChar w:fldCharType="separate"/>
      </w:r>
      <w:r>
        <w:rPr>
          <w:rFonts w:hint="eastAsia"/>
          <w:lang w:val="en-US" w:eastAsia="zh-CN"/>
        </w:rPr>
        <w:t>十</w:t>
      </w:r>
      <w:r>
        <w:t>、名词解释</w:t>
      </w:r>
      <w:r>
        <w:tab/>
      </w:r>
      <w:r>
        <w:fldChar w:fldCharType="begin"/>
      </w:r>
      <w:r>
        <w:instrText xml:space="preserve"> PAGEREF _Toc31847 </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_Toc9664 </w:instrText>
      </w:r>
      <w:r>
        <w:fldChar w:fldCharType="separate"/>
      </w:r>
      <w:r>
        <w:t>十</w:t>
      </w:r>
      <w:r>
        <w:rPr>
          <w:rFonts w:hint="eastAsia"/>
          <w:lang w:val="en-US" w:eastAsia="zh-CN"/>
        </w:rPr>
        <w:t>一</w:t>
      </w:r>
      <w:r>
        <w:t>、其他需要说明的事项</w:t>
      </w:r>
      <w:r>
        <w:tab/>
      </w:r>
      <w:r>
        <w:fldChar w:fldCharType="begin"/>
      </w:r>
      <w:r>
        <w:instrText xml:space="preserve"> PAGEREF _Toc9664 </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68.26</w:t>
            </w:r>
          </w:p>
        </w:tc>
        <w:tc>
          <w:tcPr>
            <w:tcW w:w="4535" w:type="dxa"/>
            <w:vAlign w:val="center"/>
          </w:tcPr>
          <w:p>
            <w:pPr>
              <w:pStyle w:val="13"/>
            </w:pPr>
            <w:r>
              <w:t>一、一般公共服务支出</w:t>
            </w:r>
          </w:p>
        </w:tc>
        <w:tc>
          <w:tcPr>
            <w:tcW w:w="2126" w:type="dxa"/>
            <w:vAlign w:val="center"/>
          </w:tcPr>
          <w:p>
            <w:pPr>
              <w:pStyle w:val="12"/>
            </w:pPr>
            <w:r>
              <w:t>48.04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68.26</w:t>
            </w:r>
          </w:p>
        </w:tc>
        <w:tc>
          <w:tcPr>
            <w:tcW w:w="4535" w:type="dxa"/>
            <w:vAlign w:val="center"/>
          </w:tcPr>
          <w:p>
            <w:pPr>
              <w:pStyle w:val="15"/>
            </w:pPr>
            <w:r>
              <w:t>本年支出合计</w:t>
            </w:r>
          </w:p>
        </w:tc>
        <w:tc>
          <w:tcPr>
            <w:tcW w:w="2126" w:type="dxa"/>
            <w:vAlign w:val="center"/>
          </w:tcPr>
          <w:p>
            <w:pPr>
              <w:pStyle w:val="16"/>
            </w:pPr>
            <w:r>
              <w:t>68.26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68.26</w:t>
            </w:r>
          </w:p>
        </w:tc>
        <w:tc>
          <w:tcPr>
            <w:tcW w:w="4535" w:type="dxa"/>
            <w:vAlign w:val="center"/>
          </w:tcPr>
          <w:p>
            <w:pPr>
              <w:pStyle w:val="15"/>
            </w:pPr>
            <w:r>
              <w:t>支出总计</w:t>
            </w:r>
          </w:p>
        </w:tc>
        <w:tc>
          <w:tcPr>
            <w:tcW w:w="2126" w:type="dxa"/>
            <w:vAlign w:val="center"/>
          </w:tcPr>
          <w:p>
            <w:pPr>
              <w:pStyle w:val="16"/>
            </w:pPr>
            <w:r>
              <w:t>68.26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68.26</w:t>
            </w:r>
          </w:p>
        </w:tc>
        <w:tc>
          <w:tcPr>
            <w:tcW w:w="1134" w:type="dxa"/>
            <w:vAlign w:val="center"/>
          </w:tcPr>
          <w:p>
            <w:pPr>
              <w:pStyle w:val="16"/>
            </w:pPr>
            <w:r>
              <w:t>68.26</w:t>
            </w:r>
          </w:p>
        </w:tc>
        <w:tc>
          <w:tcPr>
            <w:tcW w:w="1134" w:type="dxa"/>
            <w:vAlign w:val="center"/>
          </w:tcPr>
          <w:p>
            <w:pPr>
              <w:pStyle w:val="16"/>
            </w:pPr>
            <w:r>
              <w:t>68.26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39.42</w:t>
            </w:r>
          </w:p>
        </w:tc>
        <w:tc>
          <w:tcPr>
            <w:tcW w:w="1134" w:type="dxa"/>
            <w:vAlign w:val="center"/>
          </w:tcPr>
          <w:p>
            <w:pPr>
              <w:pStyle w:val="12"/>
            </w:pPr>
            <w:r>
              <w:t>39.42</w:t>
            </w:r>
          </w:p>
        </w:tc>
        <w:tc>
          <w:tcPr>
            <w:tcW w:w="1134" w:type="dxa"/>
            <w:vAlign w:val="center"/>
          </w:tcPr>
          <w:p>
            <w:pPr>
              <w:pStyle w:val="12"/>
            </w:pPr>
            <w:r>
              <w:t>39.42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8.62</w:t>
            </w:r>
          </w:p>
        </w:tc>
        <w:tc>
          <w:tcPr>
            <w:tcW w:w="1134" w:type="dxa"/>
            <w:vAlign w:val="center"/>
          </w:tcPr>
          <w:p>
            <w:pPr>
              <w:pStyle w:val="12"/>
            </w:pPr>
            <w:r>
              <w:t>8.62</w:t>
            </w:r>
          </w:p>
        </w:tc>
        <w:tc>
          <w:tcPr>
            <w:tcW w:w="1134" w:type="dxa"/>
            <w:vAlign w:val="center"/>
          </w:tcPr>
          <w:p>
            <w:pPr>
              <w:pStyle w:val="12"/>
            </w:pPr>
            <w:r>
              <w:t>8.62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13.21</w:t>
            </w:r>
          </w:p>
        </w:tc>
        <w:tc>
          <w:tcPr>
            <w:tcW w:w="1134" w:type="dxa"/>
            <w:vAlign w:val="center"/>
          </w:tcPr>
          <w:p>
            <w:pPr>
              <w:pStyle w:val="12"/>
            </w:pPr>
            <w:r>
              <w:t>13.21</w:t>
            </w:r>
          </w:p>
        </w:tc>
        <w:tc>
          <w:tcPr>
            <w:tcW w:w="1134" w:type="dxa"/>
            <w:vAlign w:val="center"/>
          </w:tcPr>
          <w:p>
            <w:pPr>
              <w:pStyle w:val="12"/>
            </w:pPr>
            <w:r>
              <w:t>13.21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13.21</w:t>
            </w:r>
          </w:p>
        </w:tc>
        <w:tc>
          <w:tcPr>
            <w:tcW w:w="1134" w:type="dxa"/>
            <w:vAlign w:val="center"/>
          </w:tcPr>
          <w:p>
            <w:pPr>
              <w:pStyle w:val="12"/>
            </w:pPr>
            <w:r>
              <w:t>13.21</w:t>
            </w:r>
          </w:p>
        </w:tc>
        <w:tc>
          <w:tcPr>
            <w:tcW w:w="1134" w:type="dxa"/>
            <w:vAlign w:val="center"/>
          </w:tcPr>
          <w:p>
            <w:pPr>
              <w:pStyle w:val="12"/>
            </w:pPr>
            <w:r>
              <w:t>13.21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8.68</w:t>
            </w:r>
          </w:p>
        </w:tc>
        <w:tc>
          <w:tcPr>
            <w:tcW w:w="1134" w:type="dxa"/>
            <w:vAlign w:val="center"/>
          </w:tcPr>
          <w:p>
            <w:pPr>
              <w:pStyle w:val="12"/>
            </w:pPr>
            <w:r>
              <w:t>8.68</w:t>
            </w:r>
          </w:p>
        </w:tc>
        <w:tc>
          <w:tcPr>
            <w:tcW w:w="1134" w:type="dxa"/>
            <w:vAlign w:val="center"/>
          </w:tcPr>
          <w:p>
            <w:pPr>
              <w:pStyle w:val="12"/>
            </w:pPr>
            <w:r>
              <w:t>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r>
              <w:t>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3.60</w:t>
            </w:r>
          </w:p>
        </w:tc>
        <w:tc>
          <w:tcPr>
            <w:tcW w:w="1134" w:type="dxa"/>
            <w:vAlign w:val="center"/>
          </w:tcPr>
          <w:p>
            <w:pPr>
              <w:pStyle w:val="12"/>
            </w:pPr>
            <w:r>
              <w:t>3.60</w:t>
            </w:r>
          </w:p>
        </w:tc>
        <w:tc>
          <w:tcPr>
            <w:tcW w:w="1134" w:type="dxa"/>
            <w:vAlign w:val="center"/>
          </w:tcPr>
          <w:p>
            <w:pPr>
              <w:pStyle w:val="12"/>
            </w:pPr>
            <w:r>
              <w:t>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3.60</w:t>
            </w:r>
          </w:p>
        </w:tc>
        <w:tc>
          <w:tcPr>
            <w:tcW w:w="1134" w:type="dxa"/>
            <w:vAlign w:val="center"/>
          </w:tcPr>
          <w:p>
            <w:pPr>
              <w:pStyle w:val="12"/>
            </w:pPr>
            <w:r>
              <w:t>3.60</w:t>
            </w:r>
          </w:p>
        </w:tc>
        <w:tc>
          <w:tcPr>
            <w:tcW w:w="1134" w:type="dxa"/>
            <w:vAlign w:val="center"/>
          </w:tcPr>
          <w:p>
            <w:pPr>
              <w:pStyle w:val="12"/>
            </w:pPr>
            <w:r>
              <w:t>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2.33</w:t>
            </w:r>
          </w:p>
        </w:tc>
        <w:tc>
          <w:tcPr>
            <w:tcW w:w="1134" w:type="dxa"/>
            <w:vAlign w:val="center"/>
          </w:tcPr>
          <w:p>
            <w:pPr>
              <w:pStyle w:val="12"/>
            </w:pPr>
            <w:r>
              <w:t>2.33</w:t>
            </w:r>
          </w:p>
        </w:tc>
        <w:tc>
          <w:tcPr>
            <w:tcW w:w="1134" w:type="dxa"/>
            <w:vAlign w:val="center"/>
          </w:tcPr>
          <w:p>
            <w:pPr>
              <w:pStyle w:val="12"/>
            </w:pPr>
            <w:r>
              <w:t>2.33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1.27</w:t>
            </w:r>
          </w:p>
        </w:tc>
        <w:tc>
          <w:tcPr>
            <w:tcW w:w="1134" w:type="dxa"/>
            <w:vAlign w:val="center"/>
          </w:tcPr>
          <w:p>
            <w:pPr>
              <w:pStyle w:val="12"/>
            </w:pPr>
            <w:r>
              <w:t>1.27</w:t>
            </w:r>
          </w:p>
        </w:tc>
        <w:tc>
          <w:tcPr>
            <w:tcW w:w="1134" w:type="dxa"/>
            <w:vAlign w:val="center"/>
          </w:tcPr>
          <w:p>
            <w:pPr>
              <w:pStyle w:val="12"/>
            </w:pPr>
            <w:r>
              <w:t>1.27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68.26</w:t>
            </w:r>
          </w:p>
        </w:tc>
        <w:tc>
          <w:tcPr>
            <w:tcW w:w="1361" w:type="dxa"/>
            <w:vAlign w:val="center"/>
          </w:tcPr>
          <w:p>
            <w:pPr>
              <w:pStyle w:val="16"/>
            </w:pPr>
            <w:r>
              <w:t>59.64</w:t>
            </w:r>
          </w:p>
        </w:tc>
        <w:tc>
          <w:tcPr>
            <w:tcW w:w="1361" w:type="dxa"/>
            <w:vAlign w:val="center"/>
          </w:tcPr>
          <w:p>
            <w:pPr>
              <w:pStyle w:val="16"/>
            </w:pPr>
            <w:r>
              <w:t>8.62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48.04</w:t>
            </w:r>
          </w:p>
        </w:tc>
        <w:tc>
          <w:tcPr>
            <w:tcW w:w="1361" w:type="dxa"/>
            <w:vAlign w:val="center"/>
          </w:tcPr>
          <w:p>
            <w:pPr>
              <w:pStyle w:val="12"/>
            </w:pPr>
            <w:r>
              <w:t>39.42</w:t>
            </w:r>
          </w:p>
        </w:tc>
        <w:tc>
          <w:tcPr>
            <w:tcW w:w="1361" w:type="dxa"/>
            <w:vAlign w:val="center"/>
          </w:tcPr>
          <w:p>
            <w:pPr>
              <w:pStyle w:val="12"/>
            </w:pPr>
            <w:r>
              <w:t>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48.04</w:t>
            </w:r>
          </w:p>
        </w:tc>
        <w:tc>
          <w:tcPr>
            <w:tcW w:w="1361" w:type="dxa"/>
            <w:vAlign w:val="center"/>
          </w:tcPr>
          <w:p>
            <w:pPr>
              <w:pStyle w:val="12"/>
            </w:pPr>
            <w:r>
              <w:t>39.42</w:t>
            </w:r>
          </w:p>
        </w:tc>
        <w:tc>
          <w:tcPr>
            <w:tcW w:w="1361" w:type="dxa"/>
            <w:vAlign w:val="center"/>
          </w:tcPr>
          <w:p>
            <w:pPr>
              <w:pStyle w:val="12"/>
            </w:pPr>
            <w:r>
              <w:t>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39.42</w:t>
            </w:r>
          </w:p>
        </w:tc>
        <w:tc>
          <w:tcPr>
            <w:tcW w:w="1361" w:type="dxa"/>
            <w:vAlign w:val="center"/>
          </w:tcPr>
          <w:p>
            <w:pPr>
              <w:pStyle w:val="12"/>
            </w:pPr>
            <w:r>
              <w:t>39.42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8.62</w:t>
            </w:r>
          </w:p>
        </w:tc>
        <w:tc>
          <w:tcPr>
            <w:tcW w:w="1361" w:type="dxa"/>
            <w:vAlign w:val="center"/>
          </w:tcPr>
          <w:p>
            <w:pPr>
              <w:pStyle w:val="12"/>
            </w:pPr>
          </w:p>
        </w:tc>
        <w:tc>
          <w:tcPr>
            <w:tcW w:w="1361" w:type="dxa"/>
            <w:vAlign w:val="center"/>
          </w:tcPr>
          <w:p>
            <w:pPr>
              <w:pStyle w:val="12"/>
            </w:pPr>
            <w:r>
              <w:t>8.62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13.21</w:t>
            </w:r>
          </w:p>
        </w:tc>
        <w:tc>
          <w:tcPr>
            <w:tcW w:w="1361" w:type="dxa"/>
            <w:vAlign w:val="center"/>
          </w:tcPr>
          <w:p>
            <w:pPr>
              <w:pStyle w:val="12"/>
            </w:pPr>
            <w:r>
              <w:t>13.21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13.21</w:t>
            </w:r>
          </w:p>
        </w:tc>
        <w:tc>
          <w:tcPr>
            <w:tcW w:w="1361" w:type="dxa"/>
            <w:vAlign w:val="center"/>
          </w:tcPr>
          <w:p>
            <w:pPr>
              <w:pStyle w:val="12"/>
            </w:pPr>
            <w:r>
              <w:t>13.21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8.68</w:t>
            </w:r>
          </w:p>
        </w:tc>
        <w:tc>
          <w:tcPr>
            <w:tcW w:w="1361" w:type="dxa"/>
            <w:vAlign w:val="center"/>
          </w:tcPr>
          <w:p>
            <w:pPr>
              <w:pStyle w:val="12"/>
            </w:pPr>
            <w:r>
              <w:t>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4.53</w:t>
            </w:r>
          </w:p>
        </w:tc>
        <w:tc>
          <w:tcPr>
            <w:tcW w:w="1361" w:type="dxa"/>
            <w:vAlign w:val="center"/>
          </w:tcPr>
          <w:p>
            <w:pPr>
              <w:pStyle w:val="12"/>
            </w:pPr>
            <w:r>
              <w:t>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3.60</w:t>
            </w:r>
          </w:p>
        </w:tc>
        <w:tc>
          <w:tcPr>
            <w:tcW w:w="1361" w:type="dxa"/>
            <w:vAlign w:val="center"/>
          </w:tcPr>
          <w:p>
            <w:pPr>
              <w:pStyle w:val="12"/>
            </w:pPr>
            <w:r>
              <w:t>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3.60</w:t>
            </w:r>
          </w:p>
        </w:tc>
        <w:tc>
          <w:tcPr>
            <w:tcW w:w="1361" w:type="dxa"/>
            <w:vAlign w:val="center"/>
          </w:tcPr>
          <w:p>
            <w:pPr>
              <w:pStyle w:val="12"/>
            </w:pPr>
            <w:r>
              <w:t>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2.33</w:t>
            </w:r>
          </w:p>
        </w:tc>
        <w:tc>
          <w:tcPr>
            <w:tcW w:w="1361" w:type="dxa"/>
            <w:vAlign w:val="center"/>
          </w:tcPr>
          <w:p>
            <w:pPr>
              <w:pStyle w:val="12"/>
            </w:pPr>
            <w:r>
              <w:t>2.33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1.27</w:t>
            </w:r>
          </w:p>
        </w:tc>
        <w:tc>
          <w:tcPr>
            <w:tcW w:w="1361" w:type="dxa"/>
            <w:vAlign w:val="center"/>
          </w:tcPr>
          <w:p>
            <w:pPr>
              <w:pStyle w:val="12"/>
            </w:pPr>
            <w:r>
              <w:t>1.27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3.41</w:t>
            </w:r>
          </w:p>
        </w:tc>
        <w:tc>
          <w:tcPr>
            <w:tcW w:w="1361" w:type="dxa"/>
            <w:vAlign w:val="center"/>
          </w:tcPr>
          <w:p>
            <w:pPr>
              <w:pStyle w:val="12"/>
            </w:pPr>
            <w:r>
              <w:t>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3.41</w:t>
            </w:r>
          </w:p>
        </w:tc>
        <w:tc>
          <w:tcPr>
            <w:tcW w:w="1361" w:type="dxa"/>
            <w:vAlign w:val="center"/>
          </w:tcPr>
          <w:p>
            <w:pPr>
              <w:pStyle w:val="12"/>
            </w:pPr>
            <w:r>
              <w:t>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3.41</w:t>
            </w:r>
          </w:p>
        </w:tc>
        <w:tc>
          <w:tcPr>
            <w:tcW w:w="1361" w:type="dxa"/>
            <w:vAlign w:val="center"/>
          </w:tcPr>
          <w:p>
            <w:pPr>
              <w:pStyle w:val="12"/>
            </w:pPr>
            <w:r>
              <w:t>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68.26</w:t>
            </w:r>
          </w:p>
        </w:tc>
        <w:tc>
          <w:tcPr>
            <w:tcW w:w="3402" w:type="dxa"/>
            <w:vAlign w:val="center"/>
          </w:tcPr>
          <w:p>
            <w:pPr>
              <w:pStyle w:val="13"/>
            </w:pPr>
            <w:r>
              <w:t>一、一般公共服务支出</w:t>
            </w:r>
          </w:p>
        </w:tc>
        <w:tc>
          <w:tcPr>
            <w:tcW w:w="1474" w:type="dxa"/>
            <w:vAlign w:val="center"/>
          </w:tcPr>
          <w:p>
            <w:pPr>
              <w:pStyle w:val="12"/>
            </w:pPr>
            <w:r>
              <w:t>48.04</w:t>
            </w:r>
          </w:p>
        </w:tc>
        <w:tc>
          <w:tcPr>
            <w:tcW w:w="1474" w:type="dxa"/>
            <w:vAlign w:val="center"/>
          </w:tcPr>
          <w:p>
            <w:pPr>
              <w:pStyle w:val="12"/>
            </w:pPr>
            <w:r>
              <w:t>48.04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13.21</w:t>
            </w:r>
          </w:p>
        </w:tc>
        <w:tc>
          <w:tcPr>
            <w:tcW w:w="1474" w:type="dxa"/>
            <w:vAlign w:val="center"/>
          </w:tcPr>
          <w:p>
            <w:pPr>
              <w:pStyle w:val="12"/>
            </w:pPr>
            <w:r>
              <w:t>13.21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3.60</w:t>
            </w:r>
          </w:p>
        </w:tc>
        <w:tc>
          <w:tcPr>
            <w:tcW w:w="1474" w:type="dxa"/>
            <w:vAlign w:val="center"/>
          </w:tcPr>
          <w:p>
            <w:pPr>
              <w:pStyle w:val="12"/>
            </w:pPr>
            <w:r>
              <w:t>3.60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3.41</w:t>
            </w:r>
          </w:p>
        </w:tc>
        <w:tc>
          <w:tcPr>
            <w:tcW w:w="1474" w:type="dxa"/>
            <w:vAlign w:val="center"/>
          </w:tcPr>
          <w:p>
            <w:pPr>
              <w:pStyle w:val="12"/>
            </w:pPr>
            <w:r>
              <w:t>3.41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68.26</w:t>
            </w:r>
          </w:p>
        </w:tc>
        <w:tc>
          <w:tcPr>
            <w:tcW w:w="3402" w:type="dxa"/>
            <w:vAlign w:val="center"/>
          </w:tcPr>
          <w:p>
            <w:pPr>
              <w:pStyle w:val="15"/>
            </w:pPr>
            <w:r>
              <w:t>本年支出合计</w:t>
            </w:r>
          </w:p>
        </w:tc>
        <w:tc>
          <w:tcPr>
            <w:tcW w:w="1474" w:type="dxa"/>
            <w:vAlign w:val="center"/>
          </w:tcPr>
          <w:p>
            <w:pPr>
              <w:pStyle w:val="16"/>
            </w:pPr>
            <w:r>
              <w:t>68.26</w:t>
            </w:r>
          </w:p>
        </w:tc>
        <w:tc>
          <w:tcPr>
            <w:tcW w:w="1474" w:type="dxa"/>
            <w:vAlign w:val="center"/>
          </w:tcPr>
          <w:p>
            <w:pPr>
              <w:pStyle w:val="16"/>
            </w:pPr>
            <w:r>
              <w:t>68.26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68.26</w:t>
            </w:r>
          </w:p>
        </w:tc>
        <w:tc>
          <w:tcPr>
            <w:tcW w:w="3402" w:type="dxa"/>
            <w:vAlign w:val="center"/>
          </w:tcPr>
          <w:p>
            <w:pPr>
              <w:pStyle w:val="15"/>
            </w:pPr>
            <w:r>
              <w:t>支出总计</w:t>
            </w:r>
          </w:p>
        </w:tc>
        <w:tc>
          <w:tcPr>
            <w:tcW w:w="1474" w:type="dxa"/>
            <w:vAlign w:val="center"/>
          </w:tcPr>
          <w:p>
            <w:pPr>
              <w:pStyle w:val="16"/>
            </w:pPr>
            <w:r>
              <w:t>68.26</w:t>
            </w:r>
          </w:p>
        </w:tc>
        <w:tc>
          <w:tcPr>
            <w:tcW w:w="1474" w:type="dxa"/>
            <w:vAlign w:val="center"/>
          </w:tcPr>
          <w:p>
            <w:pPr>
              <w:pStyle w:val="16"/>
            </w:pPr>
            <w:r>
              <w:t>68.26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68.26</w:t>
            </w:r>
          </w:p>
        </w:tc>
        <w:tc>
          <w:tcPr>
            <w:tcW w:w="2551" w:type="dxa"/>
            <w:vAlign w:val="center"/>
          </w:tcPr>
          <w:p>
            <w:pPr>
              <w:pStyle w:val="16"/>
            </w:pPr>
            <w:r>
              <w:t>59.64</w:t>
            </w:r>
          </w:p>
        </w:tc>
        <w:tc>
          <w:tcPr>
            <w:tcW w:w="2551" w:type="dxa"/>
            <w:vAlign w:val="center"/>
          </w:tcPr>
          <w:p>
            <w:pPr>
              <w:pStyle w:val="16"/>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48.04</w:t>
            </w:r>
          </w:p>
        </w:tc>
        <w:tc>
          <w:tcPr>
            <w:tcW w:w="2551" w:type="dxa"/>
            <w:vAlign w:val="center"/>
          </w:tcPr>
          <w:p>
            <w:pPr>
              <w:pStyle w:val="12"/>
            </w:pPr>
            <w:r>
              <w:t>39.42</w:t>
            </w:r>
          </w:p>
        </w:tc>
        <w:tc>
          <w:tcPr>
            <w:tcW w:w="2551" w:type="dxa"/>
            <w:vAlign w:val="center"/>
          </w:tcPr>
          <w:p>
            <w:pPr>
              <w:pStyle w:val="12"/>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48.04</w:t>
            </w:r>
          </w:p>
        </w:tc>
        <w:tc>
          <w:tcPr>
            <w:tcW w:w="2551" w:type="dxa"/>
            <w:vAlign w:val="center"/>
          </w:tcPr>
          <w:p>
            <w:pPr>
              <w:pStyle w:val="12"/>
            </w:pPr>
            <w:r>
              <w:t>39.42</w:t>
            </w:r>
          </w:p>
        </w:tc>
        <w:tc>
          <w:tcPr>
            <w:tcW w:w="2551" w:type="dxa"/>
            <w:vAlign w:val="center"/>
          </w:tcPr>
          <w:p>
            <w:pPr>
              <w:pStyle w:val="12"/>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39.42</w:t>
            </w:r>
          </w:p>
        </w:tc>
        <w:tc>
          <w:tcPr>
            <w:tcW w:w="2551" w:type="dxa"/>
            <w:vAlign w:val="center"/>
          </w:tcPr>
          <w:p>
            <w:pPr>
              <w:pStyle w:val="12"/>
            </w:pPr>
            <w:r>
              <w:t>39.42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8.62</w:t>
            </w:r>
          </w:p>
        </w:tc>
        <w:tc>
          <w:tcPr>
            <w:tcW w:w="2551" w:type="dxa"/>
            <w:vAlign w:val="center"/>
          </w:tcPr>
          <w:p>
            <w:pPr>
              <w:pStyle w:val="12"/>
            </w:pPr>
          </w:p>
        </w:tc>
        <w:tc>
          <w:tcPr>
            <w:tcW w:w="2551" w:type="dxa"/>
            <w:vAlign w:val="center"/>
          </w:tcPr>
          <w:p>
            <w:pPr>
              <w:pStyle w:val="12"/>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13.21</w:t>
            </w:r>
          </w:p>
        </w:tc>
        <w:tc>
          <w:tcPr>
            <w:tcW w:w="2551" w:type="dxa"/>
            <w:vAlign w:val="center"/>
          </w:tcPr>
          <w:p>
            <w:pPr>
              <w:pStyle w:val="12"/>
            </w:pPr>
            <w:r>
              <w:t>13.21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13.21</w:t>
            </w:r>
          </w:p>
        </w:tc>
        <w:tc>
          <w:tcPr>
            <w:tcW w:w="2551" w:type="dxa"/>
            <w:vAlign w:val="center"/>
          </w:tcPr>
          <w:p>
            <w:pPr>
              <w:pStyle w:val="12"/>
            </w:pPr>
            <w:r>
              <w:t>13.21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8.68</w:t>
            </w:r>
          </w:p>
        </w:tc>
        <w:tc>
          <w:tcPr>
            <w:tcW w:w="2551" w:type="dxa"/>
            <w:vAlign w:val="center"/>
          </w:tcPr>
          <w:p>
            <w:pPr>
              <w:pStyle w:val="12"/>
            </w:pPr>
            <w:r>
              <w:t>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3.60</w:t>
            </w:r>
          </w:p>
        </w:tc>
        <w:tc>
          <w:tcPr>
            <w:tcW w:w="2551" w:type="dxa"/>
            <w:vAlign w:val="center"/>
          </w:tcPr>
          <w:p>
            <w:pPr>
              <w:pStyle w:val="12"/>
            </w:pPr>
            <w:r>
              <w:t>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3.60</w:t>
            </w:r>
          </w:p>
        </w:tc>
        <w:tc>
          <w:tcPr>
            <w:tcW w:w="2551" w:type="dxa"/>
            <w:vAlign w:val="center"/>
          </w:tcPr>
          <w:p>
            <w:pPr>
              <w:pStyle w:val="12"/>
            </w:pPr>
            <w:r>
              <w:t>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2.33</w:t>
            </w:r>
          </w:p>
        </w:tc>
        <w:tc>
          <w:tcPr>
            <w:tcW w:w="2551" w:type="dxa"/>
            <w:vAlign w:val="center"/>
          </w:tcPr>
          <w:p>
            <w:pPr>
              <w:pStyle w:val="12"/>
            </w:pPr>
            <w:r>
              <w:t>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1.27</w:t>
            </w:r>
          </w:p>
        </w:tc>
        <w:tc>
          <w:tcPr>
            <w:tcW w:w="2551" w:type="dxa"/>
            <w:vAlign w:val="center"/>
          </w:tcPr>
          <w:p>
            <w:pPr>
              <w:pStyle w:val="12"/>
            </w:pPr>
            <w:r>
              <w:t>1.27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59.64</w:t>
            </w:r>
          </w:p>
        </w:tc>
        <w:tc>
          <w:tcPr>
            <w:tcW w:w="2551" w:type="dxa"/>
            <w:vAlign w:val="center"/>
          </w:tcPr>
          <w:p>
            <w:pPr>
              <w:pStyle w:val="16"/>
            </w:pPr>
            <w:r>
              <w:t>53.55</w:t>
            </w:r>
          </w:p>
        </w:tc>
        <w:tc>
          <w:tcPr>
            <w:tcW w:w="2551" w:type="dxa"/>
            <w:vAlign w:val="center"/>
          </w:tcPr>
          <w:p>
            <w:pPr>
              <w:pStyle w:val="16"/>
            </w:pPr>
            <w:r>
              <w:t>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44.87</w:t>
            </w:r>
          </w:p>
        </w:tc>
        <w:tc>
          <w:tcPr>
            <w:tcW w:w="2551" w:type="dxa"/>
            <w:vAlign w:val="center"/>
          </w:tcPr>
          <w:p>
            <w:pPr>
              <w:pStyle w:val="12"/>
            </w:pPr>
            <w:r>
              <w:t>44.87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17.49</w:t>
            </w:r>
          </w:p>
        </w:tc>
        <w:tc>
          <w:tcPr>
            <w:tcW w:w="2551" w:type="dxa"/>
            <w:vAlign w:val="center"/>
          </w:tcPr>
          <w:p>
            <w:pPr>
              <w:pStyle w:val="12"/>
            </w:pPr>
            <w:r>
              <w:t>17.49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9.38</w:t>
            </w:r>
          </w:p>
        </w:tc>
        <w:tc>
          <w:tcPr>
            <w:tcW w:w="2551" w:type="dxa"/>
            <w:vAlign w:val="center"/>
          </w:tcPr>
          <w:p>
            <w:pPr>
              <w:pStyle w:val="12"/>
            </w:pPr>
            <w:r>
              <w:t>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6.28</w:t>
            </w:r>
          </w:p>
        </w:tc>
        <w:tc>
          <w:tcPr>
            <w:tcW w:w="2551" w:type="dxa"/>
            <w:vAlign w:val="center"/>
          </w:tcPr>
          <w:p>
            <w:pPr>
              <w:pStyle w:val="12"/>
            </w:pPr>
            <w:r>
              <w:t>6.28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2.33</w:t>
            </w:r>
          </w:p>
        </w:tc>
        <w:tc>
          <w:tcPr>
            <w:tcW w:w="2551" w:type="dxa"/>
            <w:vAlign w:val="center"/>
          </w:tcPr>
          <w:p>
            <w:pPr>
              <w:pStyle w:val="12"/>
            </w:pPr>
            <w:r>
              <w:t>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1.27</w:t>
            </w:r>
          </w:p>
        </w:tc>
        <w:tc>
          <w:tcPr>
            <w:tcW w:w="2551" w:type="dxa"/>
            <w:vAlign w:val="center"/>
          </w:tcPr>
          <w:p>
            <w:pPr>
              <w:pStyle w:val="12"/>
            </w:pPr>
            <w:r>
              <w:t>1.27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0.18</w:t>
            </w:r>
          </w:p>
        </w:tc>
        <w:tc>
          <w:tcPr>
            <w:tcW w:w="2551" w:type="dxa"/>
            <w:vAlign w:val="center"/>
          </w:tcPr>
          <w:p>
            <w:pPr>
              <w:pStyle w:val="12"/>
            </w:pPr>
            <w:r>
              <w:t>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6.09</w:t>
            </w:r>
          </w:p>
        </w:tc>
        <w:tc>
          <w:tcPr>
            <w:tcW w:w="2551" w:type="dxa"/>
            <w:vAlign w:val="center"/>
          </w:tcPr>
          <w:p>
            <w:pPr>
              <w:pStyle w:val="12"/>
            </w:pPr>
          </w:p>
        </w:tc>
        <w:tc>
          <w:tcPr>
            <w:tcW w:w="2551" w:type="dxa"/>
            <w:vAlign w:val="center"/>
          </w:tcPr>
          <w:p>
            <w:pPr>
              <w:pStyle w:val="12"/>
            </w:pPr>
            <w:r>
              <w:t>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1.52</w:t>
            </w:r>
          </w:p>
        </w:tc>
        <w:tc>
          <w:tcPr>
            <w:tcW w:w="2551" w:type="dxa"/>
            <w:vAlign w:val="center"/>
          </w:tcPr>
          <w:p>
            <w:pPr>
              <w:pStyle w:val="12"/>
            </w:pPr>
          </w:p>
        </w:tc>
        <w:tc>
          <w:tcPr>
            <w:tcW w:w="2551" w:type="dxa"/>
            <w:vAlign w:val="center"/>
          </w:tcPr>
          <w:p>
            <w:pPr>
              <w:pStyle w:val="12"/>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2.94</w:t>
            </w:r>
          </w:p>
        </w:tc>
        <w:tc>
          <w:tcPr>
            <w:tcW w:w="2551" w:type="dxa"/>
            <w:vAlign w:val="center"/>
          </w:tcPr>
          <w:p>
            <w:pPr>
              <w:pStyle w:val="12"/>
            </w:pPr>
          </w:p>
        </w:tc>
        <w:tc>
          <w:tcPr>
            <w:tcW w:w="2551" w:type="dxa"/>
            <w:vAlign w:val="center"/>
          </w:tcPr>
          <w:p>
            <w:pPr>
              <w:pStyle w:val="12"/>
            </w:pPr>
            <w: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8.68</w:t>
            </w:r>
          </w:p>
        </w:tc>
        <w:tc>
          <w:tcPr>
            <w:tcW w:w="2551" w:type="dxa"/>
            <w:vAlign w:val="center"/>
          </w:tcPr>
          <w:p>
            <w:pPr>
              <w:pStyle w:val="12"/>
            </w:pPr>
            <w:r>
              <w:t>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8.68</w:t>
            </w:r>
          </w:p>
        </w:tc>
        <w:tc>
          <w:tcPr>
            <w:tcW w:w="2551" w:type="dxa"/>
            <w:vAlign w:val="center"/>
          </w:tcPr>
          <w:p>
            <w:pPr>
              <w:pStyle w:val="12"/>
            </w:pPr>
            <w:r>
              <w:t>8.68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中共曲阳县委县直机关工作委员会2025年部门预算信息公开情况说明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中共曲阳县委县直机关工作委员会2025年部门预算信息公开情况说明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按照《中华人民共和国预算法》、《地方预决算公开操作规程》和《关于进一步推进预算公开工作的实施意见》规定，现将中共曲阳县委县直机关工作委员会2025年部门预算公开如下：</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9" w:name="_Toc30941"/>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9"/>
      </w:pPr>
      <w:r>
        <w:rPr>
          <w:rFonts w:ascii="方正楷体_GBK" w:hAnsi="方正楷体_GBK" w:eastAsia="方正楷体_GBK" w:cs="方正楷体_GBK"/>
          <w:b/>
          <w:color w:val="000000"/>
          <w:sz w:val="32"/>
        </w:rPr>
        <w:t>部门职责：</w:t>
      </w:r>
    </w:p>
    <w:p>
      <w:pPr>
        <w:pStyle w:val="18"/>
      </w:pPr>
      <w:r>
        <w:t>(一)统一组织、规划、部署县直机关党的工作，提出加强和改进机关党的建设的意见和建议，研究制定工作规划，并抓好组织实施。</w:t>
      </w:r>
    </w:p>
    <w:p>
      <w:pPr>
        <w:pStyle w:val="18"/>
      </w:pPr>
      <w:r>
        <w:t>（二）指导县直机关党的政治建设、思想建设、组织建设、作风建设、纪律建设，把制度建设贯彻其中，深入推进反腐败斗争。</w:t>
      </w:r>
    </w:p>
    <w:p>
      <w:pPr>
        <w:pStyle w:val="18"/>
      </w:pPr>
      <w:r>
        <w:t>（三）指导县直机关各级党组织和广大党员学习马克思列宁主义、毛泽东思想、邓小平理论、“三个代表”重要思想、科学发展观、习近平新时代中国特色社会主义思想。</w:t>
      </w:r>
    </w:p>
    <w:p>
      <w:pPr>
        <w:pStyle w:val="18"/>
      </w:pPr>
      <w:r>
        <w:t>（四）对县直机关各级党组织、党员领导干部落实党建责任制、遵守政治纪律和政治规矩情况进行监督检查，并向县委报告。</w:t>
      </w:r>
    </w:p>
    <w:p>
      <w:pPr>
        <w:pStyle w:val="18"/>
      </w:pPr>
      <w:r>
        <w:t>（五）指导县直机关各级党组织实施对党员特别是党员领导干部的监督和管理，定期了解各部门党员和群众对领导干部的意见，及时向县委反映各部门领导班子、领导干部的情况。</w:t>
      </w:r>
    </w:p>
    <w:p>
      <w:pPr>
        <w:pStyle w:val="18"/>
      </w:pPr>
      <w:r>
        <w:t>（六）配合县委有关部门抓好县直机关各部门领导班子思想政治建设、参与对党员领导干部民主生活会和县直机关各部门党组（党委）理论学习中心组学习的督导检查和指导，了解掌握情况，按规定报送情况报告。</w:t>
      </w:r>
    </w:p>
    <w:p>
      <w:pPr>
        <w:pStyle w:val="18"/>
      </w:pPr>
      <w:r>
        <w:t>（七）督导指导县直机关各部门机关党组织按期换届，审批关于召开党员大会或党员代表大会的请示，审批县直机关个部门机关党委（总支、支部）领导班子的组成及书记、副书记的任免。</w:t>
      </w:r>
    </w:p>
    <w:p>
      <w:pPr>
        <w:pStyle w:val="18"/>
      </w:pPr>
      <w:r>
        <w:t>（八）指导各级党组织加强基层组织建设，做好党员发展、教育管理等工作。负责县直各部门机关党组织发展党员计划的审批，机关党委（总支、支部）发展党员和预备党员转正的审批，入党积极分子的培训。</w:t>
      </w:r>
    </w:p>
    <w:p>
      <w:pPr>
        <w:pStyle w:val="18"/>
      </w:pPr>
      <w:r>
        <w:t>（九）领导县直机关各部门机关党的纪律检查工作，审议党员干部违反党纪问题，审批科级及以下党员违反党纪的处理决定。</w:t>
      </w:r>
    </w:p>
    <w:p>
      <w:pPr>
        <w:pStyle w:val="18"/>
      </w:pPr>
      <w:r>
        <w:t>（十）了解掌握县直机关工作人员的思想状况，指导县直机关各级党组织加强思想政治工作和精神文明建设。</w:t>
      </w:r>
    </w:p>
    <w:p>
      <w:pPr>
        <w:pStyle w:val="18"/>
      </w:pPr>
      <w:r>
        <w:t>（十一）协同有关部门指导、规划、协调、监督县直机关干部教育培训工作，组织实施有关干部教育培训重点任务。</w:t>
      </w:r>
    </w:p>
    <w:p>
      <w:pPr>
        <w:pStyle w:val="18"/>
      </w:pPr>
      <w:r>
        <w:t>（十二）协助有关部门协调县直机关各部门做好维护稳定、离退休干部和老龄等工作</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（十三）完成县委交办的其他任务。</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中共曲阳县委县直机关工作委员会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10" w:name="_Toc24738"/>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按照预算管理有关规定，目前部门预算的编制实行综合预算管理，即全部收入和支出都反映在预算中。中共曲阳县委县直机关工作委员会机关及所属事业单位的收支包含在部门预算中。</w:t>
      </w:r>
    </w:p>
    <w:p>
      <w:pPr>
        <w:pStyle w:val="19"/>
      </w:pPr>
      <w:r>
        <w:t>1、收入说明</w:t>
      </w:r>
    </w:p>
    <w:p>
      <w:pPr>
        <w:pStyle w:val="19"/>
      </w:pPr>
      <w:r>
        <w:t>反映本部门当年全部收入。2025年预算收入68.26万元，其中：一般公共预算收入68.26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曲阳县委县直机关工作委员会年度部门预算中支出预算的总体情况。2025年支出预算68.26万元，其中基本支出59.64万元，包括人员经费53.55万元和日常公用经费6.09万元；项目支出8.62万元，主要为县直工委专项业务经费5万元，县直工委劳务派遣人员项目经费3.62万元。</w:t>
      </w:r>
    </w:p>
    <w:p>
      <w:pPr>
        <w:pStyle w:val="19"/>
      </w:pPr>
      <w:r>
        <w:t>3、比上年增减情况</w:t>
      </w:r>
    </w:p>
    <w:p>
      <w:pPr>
        <w:pStyle w:val="19"/>
      </w:pPr>
      <w:r>
        <w:t>2025年预算收支安排68.26万元，较2024年预算减少5.20万元，其中：基本支出减少4.99万元，主要为调出一名行政人员，工资、保险等相应经费减少。项目支出减少0.21万元，主要为县直工委劳务派遣人员项目经费减少往年工资支出0.21万元。</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1" w:name="_Toc30197"/>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6.09万元，主要用于日常维修、办公用房水电费、办公用房取暖费、 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20551"/>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三公”经费与上年持平，无增减变化</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1277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color w:val="000000"/>
          <w:sz w:val="28"/>
        </w:rPr>
        <w:t>（一）总体绩效目标</w:t>
      </w:r>
    </w:p>
    <w:p>
      <w:pPr>
        <w:pStyle w:val="22"/>
      </w:pPr>
      <w:r>
        <w:t>根据上级工作安排并结合工作实际，2025年县直工委将紧紧围绕基层党建重点任务清单，理清工作思路，明确工作措施。一是加强理论学习，学习习近平新时代中国特色社会主义思想及习近平总书记系列重要讲话精神，组织单位职工通过集中学习和个人自学、线上学习和线下学习相结合的方式强化理论武装；二是加强党的组织建设。强化党员教育培训，邀请优秀讲师、专家分层次、分门类举办基层党组织书记、党务干部、新党员、发展对象、入党积极分子培训班，并依托重要节点组织县直机关党员代表到红色教育基地接受革命传统教育；强化督导检查，全面检查基层党组织对“党员活动日”、“三会一课”、民主生活会、组织生活会、民主评议党员和党员领导干部双重组织生活等制度的落实情况；做好党员组织转接工作，定期对全国党员管理信息系统进行维护更新，规范党员组织关系转接操作流程，整理好组织关系转接台账；做好党费收缴工作，严格落实县委组织部有关要求，高质量高标准完成党费收缴任务。三是加强纪律建设，进一步加强廉政教育，深化党章党规党纪和法律法规宣传教育，加强对党员干部“四风”的监督，营造风清气正的机关政治生态。根据上级工作安排并结合工作实际，2024年县直工委将紧紧围绕基层党建重点任务清单，理清工作思路，明确工作措施。一是加强理论学习，学习习近平新时代中国特色社会主义思想及习近平总书记系列重要讲话精神，组织单位职工通过集中学习和个人自学、线上学习和线下学习相结合的方式强化理论武装；二是加强党的组织建设。强化党员教育培训，邀请优秀讲师、专家分层次、分门类举办基层党组织书记、党务干部、新党员、发展对象、入党积极分子培训班，并依托重要节点组织县直机关党员代表到红色教育基地接受革命传统教育；强化督导检查，全面检查基层党组织对“党员活动日”、“三会一课”、民主生活会、组织生活会、民主评议党员和党员领导干部双重组织生活等制度的落实情况；做好党员组织转接工作，定期对全国党员管理信息系统进行维护更新，规范党员组织关系转接操作流程，整理好组织关系转接台账；做好党费收缴工作，严格落实县委组织部有关要求，高质量高标准完成党费收缴任务。三是加强纪律建设，进一步加强廉政教育，深化党章党规党纪和法律法规宣传教育，加强对党员干部“四风”的监督，营造风清气正的机关政治生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1、县直机关党的建设</w:t>
      </w:r>
    </w:p>
    <w:p>
      <w:pPr>
        <w:pStyle w:val="23"/>
      </w:pPr>
      <w:r>
        <w:t>（1）政治建设：一是扎实开展学习贯彻习近平新时代中国特色社会主义思想主题教育，在“党员活动日”安排基层党组织通过召开党员大会或党小组会，采取书记领读导读、集体研读、观看视频讲座、交流学习体会等形式组织主题教育集中学习，准确把握习近平新时代中国特色社会主义思想的立场、观点、方法。二是组织开展“践行新时代保定干部特质”主题演讲比赛，并且组织县直机关广大党员开展“迎七一”主题党日活动，丰富党员组织生活。县直各基层党组织也结合单位实际，组织开展重温入党誓词、接受红色教育等形式多样的活动，进一步增强机关党员的归属感，加强党员的凝聚力和战斗力。</w:t>
      </w:r>
    </w:p>
    <w:p>
      <w:pPr>
        <w:pStyle w:val="23"/>
      </w:pPr>
      <w:r>
        <w:t>（2）组织建设：一是强化党员教育培训，夯实基层基础。举办基层党组织书记、党务干部、新党员、发展对象、入党积极分子培训班9期、700余人，提高了党员队伍素质。二是严肃党内政治生活，强化工作监督。列席31个单位接收预备党员、预备党员转正支部大会，审查会议议程和程序，监督发展党员全过程。三是建立规章制度，严格考核考评，全面检查基层党组织对“党员活动日”、“三会一课”、民主生活会、组织生活会、民主评议党员和党员领导干部双重组织生活等制度的落实情况，发放“曲阳县直机关党建问题整改通知书”25份，推动县直机关党组织对机关党建科学谋划、统筹安排的能力大幅提升。利用各种有效载体开展宣传教育活动,效果明显;各项活动普遍参加，精神文明创建活动参与广泛，公民道德素质、各项活动满意率明显提高。</w:t>
      </w:r>
    </w:p>
    <w:p>
      <w:pPr>
        <w:pStyle w:val="23"/>
      </w:pPr>
      <w:r>
        <w:t>（3）党风廉政建设：组织基层党组织开展以“清风伴行 廉洁润心”和“强化纪法意识”为主题的“党员活动日”活动，以观看《零容忍》《警钟》等廉政警示教育片和参观县廉政教育基地等方式，教育引导广大党员干部筑牢信仰之基、补足精神之钙、把稳思想之舵，永葆共产党员清正廉洁的政治本色。</w:t>
      </w:r>
    </w:p>
    <w:p>
      <w:pPr>
        <w:pStyle w:val="23"/>
      </w:pPr>
      <w:r>
        <w:t>2、工委事务管理</w:t>
      </w:r>
    </w:p>
    <w:p>
      <w:pPr>
        <w:pStyle w:val="23"/>
      </w:pPr>
      <w:r>
        <w:t>综合业务管理：做好县直机关党委培训等各项工作；活跃县直机关文化生活等。根据工作需要，我单位根光禹劳务派遣公司签订合同，招聘一名劳务派遣人员，配合完成我单位各项培训、日常业务，综合业务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我单位成立“四风”和纪律作风领导小组，下设办公室，由县直工委书记任组长，主抓全面作风和纪律工作，副书记任副组长，负责完善“四风”及纪律方面督导工作。小组成员负责上传下达，收集资料，配合领导认真完成各项工作任务。</w:t>
      </w:r>
    </w:p>
    <w:p>
      <w:pPr>
        <w:pStyle w:val="24"/>
      </w:pPr>
      <w:r>
        <w:t>2、每年三四月份定期开展积极分子、预备党员培训班，老师授课，课后考试达到预期效果，提高广大党员的理论水平。</w:t>
      </w:r>
    </w:p>
    <w:p>
      <w:pPr>
        <w:pStyle w:val="24"/>
      </w:pPr>
      <w:r>
        <w:t>3、县直工委全体定期学习“三会一课”制度，通过学习交流学习经验，武装头脑，达到了学习效果。另外由县直工委书记任组长，副书记任副组长，带队定期督导检查，落实“三会一课”的学习情况。</w:t>
      </w:r>
    </w:p>
    <w:p>
      <w:pPr>
        <w:pStyle w:val="24"/>
        <w:sectPr>
          <w:pgSz w:w="16840" w:h="11900" w:orient="landscape"/>
          <w:pgMar w:top="1361" w:right="1020" w:bottom="1361" w:left="1020" w:header="720" w:footer="720" w:gutter="0"/>
        </w:sectPr>
      </w:pPr>
      <w:r>
        <w:t>4、每年“七一”定期开展知识竞赛、演讲比赛等系列党员活动，丰富广大党员的组织生活。</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15611"/>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18134"/>
      <w:r>
        <w:rPr>
          <w:rFonts w:hint="eastAsia" w:ascii="Times New Roman" w:hAnsi="Times New Roman" w:eastAsia="方正仿宋_GBK" w:cs="Times New Roman"/>
          <w:sz w:val="28"/>
          <w:szCs w:val="24"/>
          <w:lang w:val="en-US" w:eastAsia="zh-CN" w:bidi="ar-SA"/>
        </w:rPr>
        <w:t>无</w:t>
      </w:r>
      <w:bookmarkEnd w:id="16"/>
    </w:p>
    <w:p>
      <w:pPr>
        <w:spacing w:before="10" w:after="10" w:line="360" w:lineRule="auto"/>
        <w:ind w:firstLine="640"/>
        <w:jc w:val="left"/>
        <w:outlineLvl w:val="2"/>
        <w:sectPr>
          <w:pgSz w:w="16840" w:h="11900" w:orient="landscape"/>
          <w:pgMar w:top="1361" w:right="1020" w:bottom="1134" w:left="1020" w:header="720" w:footer="720" w:gutter="0"/>
        </w:sectPr>
      </w:pPr>
      <w:bookmarkStart w:id="17" w:name="_Toc14119"/>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pPr>
        <w:spacing w:before="0" w:after="0"/>
        <w:ind w:firstLine="560"/>
        <w:jc w:val="left"/>
        <w:outlineLvl w:val="9"/>
      </w:pPr>
      <w:r>
        <w:rPr>
          <w:rFonts w:ascii="方正仿宋_GBK" w:hAnsi="方正仿宋_GBK" w:eastAsia="方正仿宋_GBK" w:cs="方正仿宋_GBK"/>
          <w:color w:val="000000"/>
          <w:sz w:val="28"/>
        </w:rPr>
        <w:t>1、县直工委劳务派遣人员项目经费绩效目标表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13063425P004C4910339U</w:t>
            </w:r>
          </w:p>
        </w:tc>
        <w:tc>
          <w:tcPr>
            <w:tcW w:w="2835" w:type="dxa"/>
            <w:vAlign w:val="center"/>
          </w:tcPr>
          <w:p>
            <w:pPr>
              <w:pStyle w:val="11"/>
            </w:pPr>
            <w:r>
              <w:t>项目名称</w:t>
            </w:r>
          </w:p>
        </w:tc>
        <w:tc>
          <w:tcPr>
            <w:tcW w:w="6095" w:type="dxa"/>
            <w:gridSpan w:val="3"/>
            <w:vAlign w:val="center"/>
          </w:tcPr>
          <w:p>
            <w:pPr>
              <w:pStyle w:val="13"/>
            </w:pPr>
            <w:r>
              <w:t>县直工委劳务派遣人员项目经费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预算数3.62万元，其中县级财政资金为3.62万元。主要用于我单位1名劳务派遣人员工资及保险，按月发放资金。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0.91</w:t>
            </w:r>
          </w:p>
        </w:tc>
        <w:tc>
          <w:tcPr>
            <w:tcW w:w="2835" w:type="dxa"/>
            <w:vAlign w:val="center"/>
          </w:tcPr>
          <w:p>
            <w:pPr>
              <w:pStyle w:val="14"/>
            </w:pPr>
            <w:r>
              <w:t>1.81</w:t>
            </w:r>
          </w:p>
        </w:tc>
        <w:tc>
          <w:tcPr>
            <w:tcW w:w="2551" w:type="dxa"/>
            <w:vAlign w:val="center"/>
          </w:tcPr>
          <w:p>
            <w:pPr>
              <w:pStyle w:val="14"/>
            </w:pPr>
            <w:r>
              <w:t>2.72</w:t>
            </w:r>
          </w:p>
        </w:tc>
        <w:tc>
          <w:tcPr>
            <w:tcW w:w="3544" w:type="dxa"/>
            <w:gridSpan w:val="2"/>
            <w:vAlign w:val="center"/>
          </w:tcPr>
          <w:p>
            <w:pPr>
              <w:pStyle w:val="14"/>
            </w:pPr>
            <w:r>
              <w:t>3.62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1.通过对劳务派遣人员及时足额发放工资、缴纳保险，保障劳务派遣人员正常工作和生活需要，使其更好的完成单位安排的各项工作。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劳务派遣补助发放完成时间</w:t>
            </w:r>
          </w:p>
        </w:tc>
        <w:tc>
          <w:tcPr>
            <w:tcW w:w="5386" w:type="dxa"/>
            <w:vAlign w:val="center"/>
          </w:tcPr>
          <w:p>
            <w:pPr>
              <w:pStyle w:val="13"/>
            </w:pPr>
            <w:r>
              <w:t>劳务派遣补助发放时间</w:t>
            </w:r>
          </w:p>
        </w:tc>
        <w:tc>
          <w:tcPr>
            <w:tcW w:w="2268" w:type="dxa"/>
            <w:vAlign w:val="center"/>
          </w:tcPr>
          <w:p>
            <w:pPr>
              <w:pStyle w:val="13"/>
            </w:pPr>
            <w:r>
              <w:t>每个月25日之前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268" w:type="dxa"/>
            <w:vAlign w:val="center"/>
          </w:tcPr>
          <w:p>
            <w:pPr>
              <w:pStyle w:val="13"/>
            </w:pPr>
            <w:r>
              <w:t>≥2959.64元/月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增加就业岗位</w:t>
            </w:r>
          </w:p>
        </w:tc>
        <w:tc>
          <w:tcPr>
            <w:tcW w:w="5386" w:type="dxa"/>
            <w:vAlign w:val="center"/>
          </w:tcPr>
          <w:p>
            <w:pPr>
              <w:pStyle w:val="13"/>
            </w:pPr>
            <w:r>
              <w:t>尽职尽责率</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2、县直工委专项业务经费绩效目标表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13063425P00368310003G</w:t>
            </w:r>
          </w:p>
        </w:tc>
        <w:tc>
          <w:tcPr>
            <w:tcW w:w="2835" w:type="dxa"/>
            <w:vAlign w:val="center"/>
          </w:tcPr>
          <w:p>
            <w:pPr>
              <w:pStyle w:val="11"/>
            </w:pPr>
            <w:r>
              <w:t>项目名称</w:t>
            </w:r>
          </w:p>
        </w:tc>
        <w:tc>
          <w:tcPr>
            <w:tcW w:w="6095" w:type="dxa"/>
            <w:gridSpan w:val="3"/>
            <w:vAlign w:val="center"/>
          </w:tcPr>
          <w:p>
            <w:pPr>
              <w:pStyle w:val="13"/>
            </w:pPr>
            <w:r>
              <w:t>县直工委专项业务经费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预算数为5万元，其中县级财政资金为5万元。主要用于我单位开展日常活动费用支出。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5.00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1.通过党务干部、积极分子培训等组织活动，极大地增强了广大党员干部的凝聚力和向心力，丰富了党员干部的组织生活，进一步提升曲阳县党员干部思想觉悟。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开展积极分子培训人数</w:t>
            </w:r>
          </w:p>
        </w:tc>
        <w:tc>
          <w:tcPr>
            <w:tcW w:w="2268" w:type="dxa"/>
            <w:vAlign w:val="center"/>
          </w:tcPr>
          <w:p>
            <w:pPr>
              <w:pStyle w:val="13"/>
            </w:pPr>
            <w:r>
              <w:t>≥350人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积极分子培训合格率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积极分子培训时间</w:t>
            </w:r>
          </w:p>
        </w:tc>
        <w:tc>
          <w:tcPr>
            <w:tcW w:w="5386" w:type="dxa"/>
            <w:vAlign w:val="center"/>
          </w:tcPr>
          <w:p>
            <w:pPr>
              <w:pStyle w:val="13"/>
            </w:pPr>
            <w:r>
              <w:t>积极分子培训时间</w:t>
            </w:r>
          </w:p>
        </w:tc>
        <w:tc>
          <w:tcPr>
            <w:tcW w:w="2268" w:type="dxa"/>
            <w:vAlign w:val="center"/>
          </w:tcPr>
          <w:p>
            <w:pPr>
              <w:pStyle w:val="13"/>
            </w:pPr>
            <w:r>
              <w:t>12月份</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积极分子人均培训成本</w:t>
            </w:r>
          </w:p>
        </w:tc>
        <w:tc>
          <w:tcPr>
            <w:tcW w:w="2268" w:type="dxa"/>
            <w:vAlign w:val="center"/>
          </w:tcPr>
          <w:p>
            <w:pPr>
              <w:pStyle w:val="13"/>
            </w:pPr>
            <w:r>
              <w:t>≤130元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培训合规率</w:t>
            </w:r>
          </w:p>
        </w:tc>
        <w:tc>
          <w:tcPr>
            <w:tcW w:w="5386" w:type="dxa"/>
            <w:vAlign w:val="center"/>
          </w:tcPr>
          <w:p>
            <w:pPr>
              <w:pStyle w:val="13"/>
            </w:pPr>
            <w:r>
              <w:t>培训合规率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受训学员满意度占总参训学员的满意度情况比率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8" w:name="_Toc20222"/>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1.28</w:t>
            </w:r>
          </w:p>
        </w:tc>
        <w:tc>
          <w:tcPr>
            <w:tcW w:w="964" w:type="dxa"/>
            <w:vAlign w:val="center"/>
          </w:tcPr>
          <w:p>
            <w:pPr>
              <w:pStyle w:val="16"/>
            </w:pPr>
            <w:r>
              <w:t>1.28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中共曲阳县委县直机关工作委员会小计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1.28</w:t>
            </w:r>
          </w:p>
        </w:tc>
        <w:tc>
          <w:tcPr>
            <w:tcW w:w="964" w:type="dxa"/>
            <w:vAlign w:val="center"/>
          </w:tcPr>
          <w:p>
            <w:pPr>
              <w:pStyle w:val="16"/>
            </w:pPr>
            <w:r>
              <w:t>1.28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w:t>
            </w:r>
          </w:p>
        </w:tc>
        <w:tc>
          <w:tcPr>
            <w:tcW w:w="850" w:type="dxa"/>
            <w:vAlign w:val="center"/>
          </w:tcPr>
          <w:p>
            <w:pPr>
              <w:pStyle w:val="12"/>
            </w:pPr>
            <w:r>
              <w:t>0.02</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县直工委专项业务经费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21960"/>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中共曲阳县委县直机关工作委员会（含所属单位）上年末固定资产金额为10.58万元（详见下表）。本年度拟购置固定资产总额为0.00万元，已按要求列入政府采购预算，详见政府采购预算表。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286中共曲阳县委县直机关工作委员会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68</w:t>
            </w:r>
          </w:p>
        </w:tc>
        <w:tc>
          <w:tcPr>
            <w:tcW w:w="2835" w:type="dxa"/>
            <w:vAlign w:val="center"/>
          </w:tcPr>
          <w:p>
            <w:pPr>
              <w:pStyle w:val="12"/>
            </w:pPr>
            <w:r>
              <w:t>10.58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31847"/>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9664"/>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80990"/>
    <w:rsid w:val="2DE8092A"/>
    <w:rsid w:val="4FA879B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2025-02-07T10:19:00Z</dcterms:created>
  <dc:creator>Administrator</dc:creator>
  <cp:lastModifiedBy>Ydh</cp:lastModifiedBy>
  <dcterms:modified xsi:type="dcterms:W3CDTF">2025-02-07T07:10:44Z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