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一、中共曲阳县委县直机关工作委员会收支预算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一、中共曲阳县委县直机关工作委员会收支预算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68.26</w:t>
            </w:r>
          </w:p>
        </w:tc>
        <w:tc>
          <w:tcPr>
            <w:tcW w:w="4535" w:type="dxa"/>
            <w:vAlign w:val="center"/>
          </w:tcPr>
          <w:p>
            <w:pPr>
              <w:pStyle w:val="12"/>
            </w:pPr>
            <w:r>
              <w:t>一、一般公共服务支出</w:t>
            </w:r>
          </w:p>
        </w:tc>
        <w:tc>
          <w:tcPr>
            <w:tcW w:w="2126" w:type="dxa"/>
            <w:vAlign w:val="center"/>
          </w:tcPr>
          <w:p>
            <w:pPr>
              <w:pStyle w:val="11"/>
            </w:pPr>
            <w:r>
              <w:t>48.04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68.26</w:t>
            </w:r>
          </w:p>
        </w:tc>
        <w:tc>
          <w:tcPr>
            <w:tcW w:w="4535" w:type="dxa"/>
            <w:vAlign w:val="center"/>
          </w:tcPr>
          <w:p>
            <w:pPr>
              <w:pStyle w:val="14"/>
            </w:pPr>
            <w:r>
              <w:t>本年支出合计</w:t>
            </w:r>
          </w:p>
        </w:tc>
        <w:tc>
          <w:tcPr>
            <w:tcW w:w="2126" w:type="dxa"/>
            <w:vAlign w:val="center"/>
          </w:tcPr>
          <w:p>
            <w:pPr>
              <w:pStyle w:val="15"/>
            </w:pPr>
            <w:r>
              <w:t>68.26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68.26</w:t>
            </w:r>
          </w:p>
        </w:tc>
        <w:tc>
          <w:tcPr>
            <w:tcW w:w="4535" w:type="dxa"/>
            <w:vAlign w:val="center"/>
          </w:tcPr>
          <w:p>
            <w:pPr>
              <w:pStyle w:val="14"/>
            </w:pPr>
            <w:r>
              <w:t>支出总计</w:t>
            </w:r>
          </w:p>
        </w:tc>
        <w:tc>
          <w:tcPr>
            <w:tcW w:w="2126" w:type="dxa"/>
            <w:vAlign w:val="center"/>
          </w:tcPr>
          <w:p>
            <w:pPr>
              <w:pStyle w:val="15"/>
            </w:pPr>
            <w:r>
              <w:t>68.26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68.26</w:t>
            </w:r>
          </w:p>
        </w:tc>
        <w:tc>
          <w:tcPr>
            <w:tcW w:w="1134" w:type="dxa"/>
            <w:vAlign w:val="center"/>
          </w:tcPr>
          <w:p>
            <w:pPr>
              <w:pStyle w:val="15"/>
            </w:pPr>
            <w:r>
              <w:t>68.26</w:t>
            </w:r>
          </w:p>
        </w:tc>
        <w:tc>
          <w:tcPr>
            <w:tcW w:w="1134" w:type="dxa"/>
            <w:vAlign w:val="center"/>
          </w:tcPr>
          <w:p>
            <w:pPr>
              <w:pStyle w:val="15"/>
            </w:pPr>
            <w:r>
              <w:t>68.26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39.42</w:t>
            </w:r>
          </w:p>
        </w:tc>
        <w:tc>
          <w:tcPr>
            <w:tcW w:w="1134" w:type="dxa"/>
            <w:vAlign w:val="center"/>
          </w:tcPr>
          <w:p>
            <w:pPr>
              <w:pStyle w:val="11"/>
            </w:pPr>
            <w:r>
              <w:t>39.42</w:t>
            </w:r>
          </w:p>
        </w:tc>
        <w:tc>
          <w:tcPr>
            <w:tcW w:w="1134" w:type="dxa"/>
            <w:vAlign w:val="center"/>
          </w:tcPr>
          <w:p>
            <w:pPr>
              <w:pStyle w:val="11"/>
            </w:pPr>
            <w:r>
              <w:t>39.42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8.62</w:t>
            </w:r>
          </w:p>
        </w:tc>
        <w:tc>
          <w:tcPr>
            <w:tcW w:w="1134" w:type="dxa"/>
            <w:vAlign w:val="center"/>
          </w:tcPr>
          <w:p>
            <w:pPr>
              <w:pStyle w:val="11"/>
            </w:pPr>
            <w:r>
              <w:t>8.62</w:t>
            </w:r>
          </w:p>
        </w:tc>
        <w:tc>
          <w:tcPr>
            <w:tcW w:w="1134" w:type="dxa"/>
            <w:vAlign w:val="center"/>
          </w:tcPr>
          <w:p>
            <w:pPr>
              <w:pStyle w:val="11"/>
            </w:pPr>
            <w:r>
              <w:t>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13.21</w:t>
            </w:r>
          </w:p>
        </w:tc>
        <w:tc>
          <w:tcPr>
            <w:tcW w:w="1134" w:type="dxa"/>
            <w:vAlign w:val="center"/>
          </w:tcPr>
          <w:p>
            <w:pPr>
              <w:pStyle w:val="11"/>
            </w:pPr>
            <w:r>
              <w:t>13.21</w:t>
            </w:r>
          </w:p>
        </w:tc>
        <w:tc>
          <w:tcPr>
            <w:tcW w:w="1134" w:type="dxa"/>
            <w:vAlign w:val="center"/>
          </w:tcPr>
          <w:p>
            <w:pPr>
              <w:pStyle w:val="11"/>
            </w:pPr>
            <w:r>
              <w:t>13.21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13.21</w:t>
            </w:r>
          </w:p>
        </w:tc>
        <w:tc>
          <w:tcPr>
            <w:tcW w:w="1134" w:type="dxa"/>
            <w:vAlign w:val="center"/>
          </w:tcPr>
          <w:p>
            <w:pPr>
              <w:pStyle w:val="11"/>
            </w:pPr>
            <w:r>
              <w:t>13.21</w:t>
            </w:r>
          </w:p>
        </w:tc>
        <w:tc>
          <w:tcPr>
            <w:tcW w:w="1134" w:type="dxa"/>
            <w:vAlign w:val="center"/>
          </w:tcPr>
          <w:p>
            <w:pPr>
              <w:pStyle w:val="11"/>
            </w:pPr>
            <w:r>
              <w:t>13.21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8.68</w:t>
            </w:r>
          </w:p>
        </w:tc>
        <w:tc>
          <w:tcPr>
            <w:tcW w:w="1134" w:type="dxa"/>
            <w:vAlign w:val="center"/>
          </w:tcPr>
          <w:p>
            <w:pPr>
              <w:pStyle w:val="11"/>
            </w:pPr>
            <w:r>
              <w:t>8.68</w:t>
            </w:r>
          </w:p>
        </w:tc>
        <w:tc>
          <w:tcPr>
            <w:tcW w:w="1134" w:type="dxa"/>
            <w:vAlign w:val="center"/>
          </w:tcPr>
          <w:p>
            <w:pPr>
              <w:pStyle w:val="11"/>
            </w:pPr>
            <w:r>
              <w:t>8.68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1.27</w:t>
            </w:r>
          </w:p>
        </w:tc>
        <w:tc>
          <w:tcPr>
            <w:tcW w:w="1134" w:type="dxa"/>
            <w:vAlign w:val="center"/>
          </w:tcPr>
          <w:p>
            <w:pPr>
              <w:pStyle w:val="11"/>
            </w:pPr>
            <w:r>
              <w:t>1.27</w:t>
            </w:r>
          </w:p>
        </w:tc>
        <w:tc>
          <w:tcPr>
            <w:tcW w:w="1134" w:type="dxa"/>
            <w:vAlign w:val="center"/>
          </w:tcPr>
          <w:p>
            <w:pPr>
              <w:pStyle w:val="11"/>
            </w:pPr>
            <w:r>
              <w:t>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68.26</w:t>
            </w:r>
          </w:p>
        </w:tc>
        <w:tc>
          <w:tcPr>
            <w:tcW w:w="1361" w:type="dxa"/>
            <w:vAlign w:val="center"/>
          </w:tcPr>
          <w:p>
            <w:pPr>
              <w:pStyle w:val="15"/>
            </w:pPr>
            <w:r>
              <w:t>59.64</w:t>
            </w:r>
          </w:p>
        </w:tc>
        <w:tc>
          <w:tcPr>
            <w:tcW w:w="1361" w:type="dxa"/>
            <w:vAlign w:val="center"/>
          </w:tcPr>
          <w:p>
            <w:pPr>
              <w:pStyle w:val="15"/>
            </w:pPr>
            <w:r>
              <w:t>8.62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48.04</w:t>
            </w:r>
          </w:p>
        </w:tc>
        <w:tc>
          <w:tcPr>
            <w:tcW w:w="1361" w:type="dxa"/>
            <w:vAlign w:val="center"/>
          </w:tcPr>
          <w:p>
            <w:pPr>
              <w:pStyle w:val="11"/>
            </w:pPr>
            <w:r>
              <w:t>39.42</w:t>
            </w:r>
          </w:p>
        </w:tc>
        <w:tc>
          <w:tcPr>
            <w:tcW w:w="1361" w:type="dxa"/>
            <w:vAlign w:val="center"/>
          </w:tcPr>
          <w:p>
            <w:pPr>
              <w:pStyle w:val="11"/>
            </w:pPr>
            <w:r>
              <w:t>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48.04</w:t>
            </w:r>
          </w:p>
        </w:tc>
        <w:tc>
          <w:tcPr>
            <w:tcW w:w="1361" w:type="dxa"/>
            <w:vAlign w:val="center"/>
          </w:tcPr>
          <w:p>
            <w:pPr>
              <w:pStyle w:val="11"/>
            </w:pPr>
            <w:r>
              <w:t>39.42</w:t>
            </w:r>
          </w:p>
        </w:tc>
        <w:tc>
          <w:tcPr>
            <w:tcW w:w="1361" w:type="dxa"/>
            <w:vAlign w:val="center"/>
          </w:tcPr>
          <w:p>
            <w:pPr>
              <w:pStyle w:val="11"/>
            </w:pPr>
            <w:r>
              <w:t>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39.42</w:t>
            </w:r>
          </w:p>
        </w:tc>
        <w:tc>
          <w:tcPr>
            <w:tcW w:w="1361" w:type="dxa"/>
            <w:vAlign w:val="center"/>
          </w:tcPr>
          <w:p>
            <w:pPr>
              <w:pStyle w:val="11"/>
            </w:pPr>
            <w:r>
              <w:t>39.42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8.62</w:t>
            </w:r>
          </w:p>
        </w:tc>
        <w:tc>
          <w:tcPr>
            <w:tcW w:w="1361" w:type="dxa"/>
            <w:vAlign w:val="center"/>
          </w:tcPr>
          <w:p>
            <w:pPr>
              <w:pStyle w:val="11"/>
            </w:pPr>
          </w:p>
        </w:tc>
        <w:tc>
          <w:tcPr>
            <w:tcW w:w="1361" w:type="dxa"/>
            <w:vAlign w:val="center"/>
          </w:tcPr>
          <w:p>
            <w:pPr>
              <w:pStyle w:val="11"/>
            </w:pPr>
            <w:r>
              <w:t>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13.21</w:t>
            </w: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13.21</w:t>
            </w: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8.68</w:t>
            </w:r>
          </w:p>
        </w:tc>
        <w:tc>
          <w:tcPr>
            <w:tcW w:w="1361" w:type="dxa"/>
            <w:vAlign w:val="center"/>
          </w:tcPr>
          <w:p>
            <w:pPr>
              <w:pStyle w:val="11"/>
            </w:pPr>
            <w:r>
              <w:t>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4.53</w:t>
            </w:r>
          </w:p>
        </w:tc>
        <w:tc>
          <w:tcPr>
            <w:tcW w:w="1361" w:type="dxa"/>
            <w:vAlign w:val="center"/>
          </w:tcPr>
          <w:p>
            <w:pPr>
              <w:pStyle w:val="11"/>
            </w:pPr>
            <w:r>
              <w:t>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3.60</w:t>
            </w:r>
          </w:p>
        </w:tc>
        <w:tc>
          <w:tcPr>
            <w:tcW w:w="1361" w:type="dxa"/>
            <w:vAlign w:val="center"/>
          </w:tcPr>
          <w:p>
            <w:pPr>
              <w:pStyle w:val="11"/>
            </w:pPr>
            <w:r>
              <w:t>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3.60</w:t>
            </w:r>
          </w:p>
        </w:tc>
        <w:tc>
          <w:tcPr>
            <w:tcW w:w="1361" w:type="dxa"/>
            <w:vAlign w:val="center"/>
          </w:tcPr>
          <w:p>
            <w:pPr>
              <w:pStyle w:val="11"/>
            </w:pPr>
            <w:r>
              <w:t>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2.33</w:t>
            </w:r>
          </w:p>
        </w:tc>
        <w:tc>
          <w:tcPr>
            <w:tcW w:w="1361" w:type="dxa"/>
            <w:vAlign w:val="center"/>
          </w:tcPr>
          <w:p>
            <w:pPr>
              <w:pStyle w:val="11"/>
            </w:pPr>
            <w:r>
              <w:t>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1.27</w:t>
            </w:r>
          </w:p>
        </w:tc>
        <w:tc>
          <w:tcPr>
            <w:tcW w:w="1361" w:type="dxa"/>
            <w:vAlign w:val="center"/>
          </w:tcPr>
          <w:p>
            <w:pPr>
              <w:pStyle w:val="11"/>
            </w:pPr>
            <w:r>
              <w:t>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68.26</w:t>
            </w:r>
          </w:p>
        </w:tc>
        <w:tc>
          <w:tcPr>
            <w:tcW w:w="3402" w:type="dxa"/>
            <w:vAlign w:val="center"/>
          </w:tcPr>
          <w:p>
            <w:pPr>
              <w:pStyle w:val="12"/>
            </w:pPr>
            <w:r>
              <w:t>一、一般公共服务支出</w:t>
            </w:r>
          </w:p>
        </w:tc>
        <w:tc>
          <w:tcPr>
            <w:tcW w:w="1474" w:type="dxa"/>
            <w:vAlign w:val="center"/>
          </w:tcPr>
          <w:p>
            <w:pPr>
              <w:pStyle w:val="11"/>
            </w:pPr>
            <w:r>
              <w:t>48.04</w:t>
            </w:r>
          </w:p>
        </w:tc>
        <w:tc>
          <w:tcPr>
            <w:tcW w:w="1474" w:type="dxa"/>
            <w:vAlign w:val="center"/>
          </w:tcPr>
          <w:p>
            <w:pPr>
              <w:pStyle w:val="11"/>
            </w:pPr>
            <w:r>
              <w:t>48.04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13.21</w:t>
            </w:r>
          </w:p>
        </w:tc>
        <w:tc>
          <w:tcPr>
            <w:tcW w:w="1474" w:type="dxa"/>
            <w:vAlign w:val="center"/>
          </w:tcPr>
          <w:p>
            <w:pPr>
              <w:pStyle w:val="11"/>
            </w:pPr>
            <w:r>
              <w:t>13.21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w:t>
            </w:r>
          </w:p>
        </w:tc>
        <w:tc>
          <w:tcPr>
            <w:tcW w:w="1474" w:type="dxa"/>
            <w:vAlign w:val="center"/>
          </w:tcPr>
          <w:p>
            <w:pPr>
              <w:pStyle w:val="11"/>
            </w:pPr>
            <w:r>
              <w:t>3.60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3.41</w:t>
            </w:r>
          </w:p>
        </w:tc>
        <w:tc>
          <w:tcPr>
            <w:tcW w:w="1474" w:type="dxa"/>
            <w:vAlign w:val="center"/>
          </w:tcPr>
          <w:p>
            <w:pPr>
              <w:pStyle w:val="11"/>
            </w:pPr>
            <w:r>
              <w:t>3.41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68.26</w:t>
            </w:r>
          </w:p>
        </w:tc>
        <w:tc>
          <w:tcPr>
            <w:tcW w:w="3402" w:type="dxa"/>
            <w:vAlign w:val="center"/>
          </w:tcPr>
          <w:p>
            <w:pPr>
              <w:pStyle w:val="14"/>
            </w:pPr>
            <w:r>
              <w:t>本年支出合计</w:t>
            </w:r>
          </w:p>
        </w:tc>
        <w:tc>
          <w:tcPr>
            <w:tcW w:w="1474" w:type="dxa"/>
            <w:vAlign w:val="center"/>
          </w:tcPr>
          <w:p>
            <w:pPr>
              <w:pStyle w:val="15"/>
            </w:pPr>
            <w:r>
              <w:t>68.26</w:t>
            </w:r>
          </w:p>
        </w:tc>
        <w:tc>
          <w:tcPr>
            <w:tcW w:w="1474" w:type="dxa"/>
            <w:vAlign w:val="center"/>
          </w:tcPr>
          <w:p>
            <w:pPr>
              <w:pStyle w:val="15"/>
            </w:pPr>
            <w:r>
              <w:t>68.26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68.26</w:t>
            </w:r>
          </w:p>
        </w:tc>
        <w:tc>
          <w:tcPr>
            <w:tcW w:w="3402" w:type="dxa"/>
            <w:vAlign w:val="center"/>
          </w:tcPr>
          <w:p>
            <w:pPr>
              <w:pStyle w:val="14"/>
            </w:pPr>
            <w:r>
              <w:t>支出总计</w:t>
            </w:r>
          </w:p>
        </w:tc>
        <w:tc>
          <w:tcPr>
            <w:tcW w:w="1474" w:type="dxa"/>
            <w:vAlign w:val="center"/>
          </w:tcPr>
          <w:p>
            <w:pPr>
              <w:pStyle w:val="15"/>
            </w:pPr>
            <w:r>
              <w:t>68.26</w:t>
            </w:r>
          </w:p>
        </w:tc>
        <w:tc>
          <w:tcPr>
            <w:tcW w:w="1474" w:type="dxa"/>
            <w:vAlign w:val="center"/>
          </w:tcPr>
          <w:p>
            <w:pPr>
              <w:pStyle w:val="15"/>
            </w:pPr>
            <w:r>
              <w:t>68.26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68.26</w:t>
            </w:r>
          </w:p>
        </w:tc>
        <w:tc>
          <w:tcPr>
            <w:tcW w:w="2551" w:type="dxa"/>
            <w:vAlign w:val="center"/>
          </w:tcPr>
          <w:p>
            <w:pPr>
              <w:pStyle w:val="15"/>
            </w:pPr>
            <w:r>
              <w:t>59.64</w:t>
            </w:r>
          </w:p>
        </w:tc>
        <w:tc>
          <w:tcPr>
            <w:tcW w:w="2551" w:type="dxa"/>
            <w:vAlign w:val="center"/>
          </w:tcPr>
          <w:p>
            <w:pPr>
              <w:pStyle w:val="15"/>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48.04</w:t>
            </w:r>
          </w:p>
        </w:tc>
        <w:tc>
          <w:tcPr>
            <w:tcW w:w="2551" w:type="dxa"/>
            <w:vAlign w:val="center"/>
          </w:tcPr>
          <w:p>
            <w:pPr>
              <w:pStyle w:val="11"/>
            </w:pPr>
            <w:r>
              <w:t>39.42</w:t>
            </w:r>
          </w:p>
        </w:tc>
        <w:tc>
          <w:tcPr>
            <w:tcW w:w="2551" w:type="dxa"/>
            <w:vAlign w:val="center"/>
          </w:tcPr>
          <w:p>
            <w:pPr>
              <w:pStyle w:val="11"/>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48.04</w:t>
            </w:r>
          </w:p>
        </w:tc>
        <w:tc>
          <w:tcPr>
            <w:tcW w:w="2551" w:type="dxa"/>
            <w:vAlign w:val="center"/>
          </w:tcPr>
          <w:p>
            <w:pPr>
              <w:pStyle w:val="11"/>
            </w:pPr>
            <w:r>
              <w:t>39.42</w:t>
            </w:r>
          </w:p>
        </w:tc>
        <w:tc>
          <w:tcPr>
            <w:tcW w:w="2551" w:type="dxa"/>
            <w:vAlign w:val="center"/>
          </w:tcPr>
          <w:p>
            <w:pPr>
              <w:pStyle w:val="11"/>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39.42</w:t>
            </w:r>
          </w:p>
        </w:tc>
        <w:tc>
          <w:tcPr>
            <w:tcW w:w="2551" w:type="dxa"/>
            <w:vAlign w:val="center"/>
          </w:tcPr>
          <w:p>
            <w:pPr>
              <w:pStyle w:val="11"/>
            </w:pPr>
            <w:r>
              <w:t>39.42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8.62</w:t>
            </w:r>
          </w:p>
        </w:tc>
        <w:tc>
          <w:tcPr>
            <w:tcW w:w="2551" w:type="dxa"/>
            <w:vAlign w:val="center"/>
          </w:tcPr>
          <w:p>
            <w:pPr>
              <w:pStyle w:val="11"/>
            </w:pPr>
          </w:p>
        </w:tc>
        <w:tc>
          <w:tcPr>
            <w:tcW w:w="2551" w:type="dxa"/>
            <w:vAlign w:val="center"/>
          </w:tcPr>
          <w:p>
            <w:pPr>
              <w:pStyle w:val="11"/>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13.21</w:t>
            </w:r>
          </w:p>
        </w:tc>
        <w:tc>
          <w:tcPr>
            <w:tcW w:w="2551" w:type="dxa"/>
            <w:vAlign w:val="center"/>
          </w:tcPr>
          <w:p>
            <w:pPr>
              <w:pStyle w:val="11"/>
            </w:pPr>
            <w:r>
              <w:t>13.21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13.21</w:t>
            </w:r>
          </w:p>
        </w:tc>
        <w:tc>
          <w:tcPr>
            <w:tcW w:w="2551" w:type="dxa"/>
            <w:vAlign w:val="center"/>
          </w:tcPr>
          <w:p>
            <w:pPr>
              <w:pStyle w:val="11"/>
            </w:pPr>
            <w:r>
              <w:t>13.21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8.68</w:t>
            </w:r>
          </w:p>
        </w:tc>
        <w:tc>
          <w:tcPr>
            <w:tcW w:w="2551" w:type="dxa"/>
            <w:vAlign w:val="center"/>
          </w:tcPr>
          <w:p>
            <w:pPr>
              <w:pStyle w:val="11"/>
            </w:pPr>
            <w:r>
              <w:t>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1.27</w:t>
            </w:r>
          </w:p>
        </w:tc>
        <w:tc>
          <w:tcPr>
            <w:tcW w:w="2551" w:type="dxa"/>
            <w:vAlign w:val="center"/>
          </w:tcPr>
          <w:p>
            <w:pPr>
              <w:pStyle w:val="11"/>
            </w:pPr>
            <w:r>
              <w:t>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59.64</w:t>
            </w:r>
          </w:p>
        </w:tc>
        <w:tc>
          <w:tcPr>
            <w:tcW w:w="2551" w:type="dxa"/>
            <w:vAlign w:val="center"/>
          </w:tcPr>
          <w:p>
            <w:pPr>
              <w:pStyle w:val="15"/>
            </w:pPr>
            <w:r>
              <w:t>53.55</w:t>
            </w:r>
          </w:p>
        </w:tc>
        <w:tc>
          <w:tcPr>
            <w:tcW w:w="2551" w:type="dxa"/>
            <w:vAlign w:val="center"/>
          </w:tcPr>
          <w:p>
            <w:pPr>
              <w:pStyle w:val="15"/>
            </w:pPr>
            <w:r>
              <w:t>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44.87</w:t>
            </w:r>
          </w:p>
        </w:tc>
        <w:tc>
          <w:tcPr>
            <w:tcW w:w="2551" w:type="dxa"/>
            <w:vAlign w:val="center"/>
          </w:tcPr>
          <w:p>
            <w:pPr>
              <w:pStyle w:val="11"/>
            </w:pPr>
            <w:r>
              <w:t>44.87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17.49</w:t>
            </w:r>
          </w:p>
        </w:tc>
        <w:tc>
          <w:tcPr>
            <w:tcW w:w="2551" w:type="dxa"/>
            <w:vAlign w:val="center"/>
          </w:tcPr>
          <w:p>
            <w:pPr>
              <w:pStyle w:val="11"/>
            </w:pPr>
            <w:r>
              <w:t>17.49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9.38</w:t>
            </w:r>
          </w:p>
        </w:tc>
        <w:tc>
          <w:tcPr>
            <w:tcW w:w="2551" w:type="dxa"/>
            <w:vAlign w:val="center"/>
          </w:tcPr>
          <w:p>
            <w:pPr>
              <w:pStyle w:val="11"/>
            </w:pPr>
            <w:r>
              <w:t>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1.27</w:t>
            </w:r>
          </w:p>
        </w:tc>
        <w:tc>
          <w:tcPr>
            <w:tcW w:w="2551" w:type="dxa"/>
            <w:vAlign w:val="center"/>
          </w:tcPr>
          <w:p>
            <w:pPr>
              <w:pStyle w:val="11"/>
            </w:pPr>
            <w:r>
              <w:t>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6.09</w:t>
            </w:r>
          </w:p>
        </w:tc>
        <w:tc>
          <w:tcPr>
            <w:tcW w:w="2551" w:type="dxa"/>
            <w:vAlign w:val="center"/>
          </w:tcPr>
          <w:p>
            <w:pPr>
              <w:pStyle w:val="11"/>
            </w:pPr>
          </w:p>
        </w:tc>
        <w:tc>
          <w:tcPr>
            <w:tcW w:w="2551" w:type="dxa"/>
            <w:vAlign w:val="center"/>
          </w:tcPr>
          <w:p>
            <w:pPr>
              <w:pStyle w:val="11"/>
            </w:pPr>
            <w:r>
              <w:t>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8.68</w:t>
            </w:r>
          </w:p>
        </w:tc>
        <w:tc>
          <w:tcPr>
            <w:tcW w:w="2551" w:type="dxa"/>
            <w:vAlign w:val="center"/>
          </w:tcPr>
          <w:p>
            <w:pPr>
              <w:pStyle w:val="11"/>
            </w:pPr>
            <w:r>
              <w:t>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8.68</w:t>
            </w:r>
          </w:p>
        </w:tc>
        <w:tc>
          <w:tcPr>
            <w:tcW w:w="2551" w:type="dxa"/>
            <w:vAlign w:val="center"/>
          </w:tcPr>
          <w:p>
            <w:pPr>
              <w:pStyle w:val="11"/>
            </w:pPr>
            <w:r>
              <w:t>8.68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中共曲阳县委县直机关工作委员会2025年单位预算信息公开情况说明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按照《中华人民共和国预算法》、《地方预决算公开操作规程》和《关于进一步推进预算公开工作的实施意见》规定，现将中共曲阳县委县直机关工作委员会2025年单位预算公开如下：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1"/>
        <w:jc w:val="left"/>
        <w:textAlignment w:val="auto"/>
        <w:outlineLvl w:val="9"/>
      </w:pPr>
      <w:r>
        <w:rPr>
          <w:rFonts w:ascii="方正楷体_GBK" w:hAnsi="方正楷体_GBK" w:eastAsia="方正楷体_GBK" w:cs="方正楷体_GBK"/>
          <w:b/>
          <w:color w:val="000000"/>
          <w:sz w:val="32"/>
        </w:rPr>
        <w:t>单位职责：</w:t>
      </w:r>
    </w:p>
    <w:p>
      <w:pPr>
        <w:pStyle w:val="17"/>
      </w:pPr>
      <w:r>
        <w:t>(一)统一组织、规划、部署县直机关党的工作，提出加强和改进机关党的建设的意见和建议，研究制定工作规划，并抓好组织实施。</w:t>
      </w:r>
    </w:p>
    <w:p>
      <w:pPr>
        <w:pStyle w:val="17"/>
      </w:pPr>
      <w:r>
        <w:t>（二）指导县直机关党的政治建设、思想建设、组织建设、作风建设、纪律建设，把制度建设贯彻其中，深入推进反腐败斗争。</w:t>
      </w:r>
    </w:p>
    <w:p>
      <w:pPr>
        <w:pStyle w:val="17"/>
      </w:pPr>
      <w:r>
        <w:t>（三）指导县直机关各级党组织和广大党员学习马克思列宁主义、毛泽东思想、邓小平理论、“三个代表”重要思想、科学发展观、习近平新时代中国特色社会主义思想。</w:t>
      </w:r>
    </w:p>
    <w:p>
      <w:pPr>
        <w:pStyle w:val="17"/>
      </w:pPr>
      <w:r>
        <w:t>（四）对县直机关各级党组织、党员领导干部落实党建责任制、遵守政治纪律和政治规矩情况进行监督检查，并向县委报告。</w:t>
      </w:r>
    </w:p>
    <w:p>
      <w:pPr>
        <w:pStyle w:val="17"/>
      </w:pPr>
      <w:r>
        <w:t>（五）指导县直机关各级党组织实施对党员特别是党员领导干部的监督和管理，定期了解各部门党员和群众对领导干部的意见，及时向县委反映各部门领导班子、领导干部的情况。</w:t>
      </w:r>
    </w:p>
    <w:p>
      <w:pPr>
        <w:pStyle w:val="17"/>
      </w:pPr>
      <w:r>
        <w:t>（六）配合县委有关部门抓好县直机关各部门领导班子思想政治建设、参与对党员领导干部民主生活会和县直机关各部门党组（党委）理论学习中心组学习的督导检查和指导，了解掌握情况，按规定报送情况报告。</w:t>
      </w:r>
    </w:p>
    <w:p>
      <w:pPr>
        <w:pStyle w:val="17"/>
      </w:pPr>
      <w:r>
        <w:t>（七）督导指导县直机关各部门机关党组织按期换届，审批关于召开党员大会或党员代表大会的请示，审批县直机关个部门机关党委（总支、支部）领导班子的组成及书记、副书记的任免。</w:t>
      </w:r>
    </w:p>
    <w:p>
      <w:pPr>
        <w:pStyle w:val="17"/>
      </w:pPr>
      <w:r>
        <w:t>（八）指导各级党组织加强基层组织建设，做好党员发展、教育管理等工作。负责县直各部门机关党组织发展党员计划的审批，机关党委（总支、支部）发展党员和预备党员转正的审批，入党积极分子的培训。</w:t>
      </w:r>
    </w:p>
    <w:p>
      <w:pPr>
        <w:pStyle w:val="17"/>
      </w:pPr>
      <w:r>
        <w:t>（九）领导县直机关各部门机关党的纪律检查工作，审议党员干部违反党纪问题，审批科级及以下党员违反党纪的处理决定。</w:t>
      </w:r>
    </w:p>
    <w:p>
      <w:pPr>
        <w:pStyle w:val="17"/>
      </w:pPr>
      <w:r>
        <w:t>（十）了解掌握县直机关工作人员的思想状况，指导县直机关各级党组织加强思想政治工作和精神文明建设。</w:t>
      </w:r>
    </w:p>
    <w:p>
      <w:pPr>
        <w:pStyle w:val="17"/>
      </w:pPr>
      <w:r>
        <w:t>（十一）协同有关部门指导、规划、协调、监督县直机关干部教育培训工作，组织实施有关干部教育培训重点任务。</w:t>
      </w:r>
    </w:p>
    <w:p>
      <w:pPr>
        <w:pStyle w:val="17"/>
      </w:pPr>
      <w:r>
        <w:t>（十二）协助有关部门协调县直机关各部门做好维护稳定、离退休干部和老龄等工作</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pPr>
      <w:r>
        <w:t>（十三）完成县委交办的其他任务。</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中共曲阳县委县直机关工作委员会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1、收入说明</w:t>
      </w:r>
    </w:p>
    <w:p>
      <w:pPr>
        <w:pStyle w:val="18"/>
      </w:pPr>
      <w:r>
        <w:t>反映本单位当年全部收入。2025年预算收入68.26万元，其中：一般公共预算收入68.26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县直机关工作委员会年度单位预算中支出预算的总体情况。2025年支出预算68.26万元，其中基本支出59.64万元，包括人员经费53.55万元和日常公用经费6.09万元；项目支出8.62万元，主要为县直工委专项业务经费5万元，县直工委劳务派遣人员项目经费3.62万元。</w:t>
      </w:r>
    </w:p>
    <w:p>
      <w:pPr>
        <w:pStyle w:val="18"/>
      </w:pPr>
      <w:r>
        <w:t>3、比上年增减情况</w:t>
      </w:r>
    </w:p>
    <w:p>
      <w:pPr>
        <w:pStyle w:val="18"/>
      </w:pPr>
      <w:r>
        <w:t>2025年预算收支安排68.26万元，较2024年预算减少5.20万元，其中：基本支出减少4.99万元，主要为调出一名行政人员，工资、保险等相应经费减少。项目支出减少0.21万元，主要为县直工委劳务派遣人员项目经费减少往年工资支出0.21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pPr>
      <w:r>
        <w:rPr>
          <w:rFonts w:ascii="Times New Roman" w:hAnsi="Times New Roman" w:eastAsia="方正仿宋_GBK" w:cs="Times New Roman"/>
          <w:sz w:val="28"/>
          <w:szCs w:val="24"/>
          <w:lang w:val="en-US" w:eastAsia="uk-UA" w:bidi="ar-SA"/>
        </w:rPr>
        <w:t>2025年，我</w:t>
      </w:r>
      <w:r>
        <w:rPr>
          <w:rFonts w:hint="eastAsia"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uk-UA" w:bidi="ar-SA"/>
        </w:rPr>
        <w:t>6.09万元，主要用于日常维修、办公用房水电费、办公用房取暖费、 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pPr>
      <w:r>
        <w:t>2025年，我单位财政拨款“三公”经费预算安排0.00万元，其中因公出国（境）费0.00万元；公务用车购置及运维费0.00万元（其中：公务用车购置费为0.00万元，公务用车运维费0.00万元)；公务接待费0.00万元。增减变化的主要原因是“三公”经费与上年持平，无增减变化</w:t>
      </w:r>
      <w:bookmarkStart w:id="1" w:name="_GoBack"/>
      <w:bookmarkEnd w:id="1"/>
      <w: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1、县直工委劳务派遣人员项目经费绩效目标表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13063425P004C4910339U</w:t>
            </w:r>
          </w:p>
        </w:tc>
        <w:tc>
          <w:tcPr>
            <w:tcW w:w="2835" w:type="dxa"/>
            <w:vAlign w:val="center"/>
          </w:tcPr>
          <w:p>
            <w:pPr>
              <w:pStyle w:val="10"/>
            </w:pPr>
            <w:r>
              <w:t>项目名称</w:t>
            </w:r>
          </w:p>
        </w:tc>
        <w:tc>
          <w:tcPr>
            <w:tcW w:w="6095" w:type="dxa"/>
            <w:gridSpan w:val="3"/>
            <w:vAlign w:val="center"/>
          </w:tcPr>
          <w:p>
            <w:pPr>
              <w:pStyle w:val="12"/>
            </w:pPr>
            <w:r>
              <w:t>县直工委劳务派遣人员项目经费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3.62</w:t>
            </w:r>
          </w:p>
        </w:tc>
        <w:tc>
          <w:tcPr>
            <w:tcW w:w="2835" w:type="dxa"/>
            <w:vAlign w:val="center"/>
          </w:tcPr>
          <w:p>
            <w:pPr>
              <w:pStyle w:val="10"/>
            </w:pPr>
            <w:r>
              <w:t>其中：财政资金</w:t>
            </w:r>
          </w:p>
        </w:tc>
        <w:tc>
          <w:tcPr>
            <w:tcW w:w="2551" w:type="dxa"/>
            <w:vAlign w:val="center"/>
          </w:tcPr>
          <w:p>
            <w:pPr>
              <w:pStyle w:val="12"/>
            </w:pPr>
            <w:r>
              <w:t>3.62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预算数3.62万元，其中县级财政资金为3.62万元。主要用于我单位1名劳务派遣人员工资及保险，按月发放资金。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0.91</w:t>
            </w:r>
          </w:p>
        </w:tc>
        <w:tc>
          <w:tcPr>
            <w:tcW w:w="2835" w:type="dxa"/>
            <w:vAlign w:val="center"/>
          </w:tcPr>
          <w:p>
            <w:pPr>
              <w:pStyle w:val="13"/>
            </w:pPr>
            <w:r>
              <w:t>1.81</w:t>
            </w:r>
          </w:p>
        </w:tc>
        <w:tc>
          <w:tcPr>
            <w:tcW w:w="2551" w:type="dxa"/>
            <w:vAlign w:val="center"/>
          </w:tcPr>
          <w:p>
            <w:pPr>
              <w:pStyle w:val="13"/>
            </w:pPr>
            <w:r>
              <w:t>2.72</w:t>
            </w:r>
          </w:p>
        </w:tc>
        <w:tc>
          <w:tcPr>
            <w:tcW w:w="3544" w:type="dxa"/>
            <w:gridSpan w:val="2"/>
            <w:vAlign w:val="center"/>
          </w:tcPr>
          <w:p>
            <w:pPr>
              <w:pStyle w:val="13"/>
            </w:pPr>
            <w:r>
              <w:t>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1.通过对劳务派遣人员及时足额发放工资、缴纳保险，保障劳务派遣人员正常工作和生活需要，使其更好的完成单位安排的各项工作。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劳务派遣补助发放时间</w:t>
            </w:r>
          </w:p>
        </w:tc>
        <w:tc>
          <w:tcPr>
            <w:tcW w:w="2268" w:type="dxa"/>
            <w:vAlign w:val="center"/>
          </w:tcPr>
          <w:p>
            <w:pPr>
              <w:pStyle w:val="12"/>
            </w:pPr>
            <w:r>
              <w:t>每个月25日之前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≥2959.64元/月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尽职尽责率</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2、县直工委专项业务经费绩效目标表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13063425P00368310003G</w:t>
            </w:r>
          </w:p>
        </w:tc>
        <w:tc>
          <w:tcPr>
            <w:tcW w:w="2835" w:type="dxa"/>
            <w:vAlign w:val="center"/>
          </w:tcPr>
          <w:p>
            <w:pPr>
              <w:pStyle w:val="10"/>
            </w:pPr>
            <w:r>
              <w:t>项目名称</w:t>
            </w:r>
          </w:p>
        </w:tc>
        <w:tc>
          <w:tcPr>
            <w:tcW w:w="6095" w:type="dxa"/>
            <w:gridSpan w:val="3"/>
            <w:vAlign w:val="center"/>
          </w:tcPr>
          <w:p>
            <w:pPr>
              <w:pStyle w:val="12"/>
            </w:pPr>
            <w:r>
              <w:t>县直工委专项业务经费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预算数为5万元，其中县级财政资金为5万元。主要用于我单位开展日常活动费用支出。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1.通过党务干部、积极分子培训等组织活动，极大地增强了广大党员干部的凝聚力和向心力，丰富了党员干部的组织生活，进一步提升曲阳县党员干部思想觉悟。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开展积极分子培训人数</w:t>
            </w:r>
          </w:p>
        </w:tc>
        <w:tc>
          <w:tcPr>
            <w:tcW w:w="2268" w:type="dxa"/>
            <w:vAlign w:val="center"/>
          </w:tcPr>
          <w:p>
            <w:pPr>
              <w:pStyle w:val="12"/>
            </w:pPr>
            <w:r>
              <w:t>≥350人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积极分子培训合格率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积极分子培训时间</w:t>
            </w:r>
          </w:p>
        </w:tc>
        <w:tc>
          <w:tcPr>
            <w:tcW w:w="5386" w:type="dxa"/>
            <w:vAlign w:val="center"/>
          </w:tcPr>
          <w:p>
            <w:pPr>
              <w:pStyle w:val="12"/>
            </w:pPr>
            <w:r>
              <w:t>积极分子培训时间</w:t>
            </w:r>
          </w:p>
        </w:tc>
        <w:tc>
          <w:tcPr>
            <w:tcW w:w="2268" w:type="dxa"/>
            <w:vAlign w:val="center"/>
          </w:tcPr>
          <w:p>
            <w:pPr>
              <w:pStyle w:val="12"/>
            </w:pPr>
            <w:r>
              <w:t>12月份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积极分子人均培训成本</w:t>
            </w:r>
          </w:p>
        </w:tc>
        <w:tc>
          <w:tcPr>
            <w:tcW w:w="2268" w:type="dxa"/>
            <w:vAlign w:val="center"/>
          </w:tcPr>
          <w:p>
            <w:pPr>
              <w:pStyle w:val="12"/>
            </w:pPr>
            <w:r>
              <w:t>≤130元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培训合规率</w:t>
            </w:r>
          </w:p>
        </w:tc>
        <w:tc>
          <w:tcPr>
            <w:tcW w:w="5386" w:type="dxa"/>
            <w:vAlign w:val="center"/>
          </w:tcPr>
          <w:p>
            <w:pPr>
              <w:pStyle w:val="12"/>
            </w:pPr>
            <w:r>
              <w:t>培训合规率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受训学员满意度占总参训学员的满意度情况比率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w:t>
            </w:r>
          </w:p>
        </w:tc>
        <w:tc>
          <w:tcPr>
            <w:tcW w:w="964" w:type="dxa"/>
            <w:vAlign w:val="center"/>
          </w:tcPr>
          <w:p>
            <w:pPr>
              <w:pStyle w:val="15"/>
            </w:pPr>
            <w:r>
              <w:t>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中共曲阳县委县直机关工作委员会小计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w:t>
            </w:r>
          </w:p>
        </w:tc>
        <w:tc>
          <w:tcPr>
            <w:tcW w:w="964" w:type="dxa"/>
            <w:vAlign w:val="center"/>
          </w:tcPr>
          <w:p>
            <w:pPr>
              <w:pStyle w:val="15"/>
            </w:pPr>
            <w:r>
              <w:t>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县直工委专项业务经费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中共曲阳县委县直机关工作委员会上年末固定资产金额为10.58万元（详见下表）。本年度拟购置固定资产总额为0.00万元，已按要求列入政府采购预算，详见政府采购预算表。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286001中共曲阳县委县直机关工作委员会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68</w:t>
            </w:r>
          </w:p>
        </w:tc>
        <w:tc>
          <w:tcPr>
            <w:tcW w:w="2835" w:type="dxa"/>
            <w:vAlign w:val="center"/>
          </w:tcPr>
          <w:p>
            <w:pPr>
              <w:pStyle w:val="11"/>
            </w:pPr>
            <w:r>
              <w:t>10.58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8427F"/>
    <w:rsid w:val="62773E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2025-02-07T10:38:00Z</dcterms:created>
  <dc:creator>Administrator</dc:creator>
  <cp:lastModifiedBy>Ydh</cp:lastModifiedBy>
  <dcterms:modified xsi:type="dcterms:W3CDTF">2025-02-07T07:11:10Z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