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rPr>
          <w:lang w:val="en-US" w:eastAsia="uk-UA"/>
        </w:rPr>
        <w:fldChar w:fldCharType="begin"/>
      </w:r>
      <w:r>
        <w:rPr>
          <w:lang w:val="en-US" w:eastAsia="uk-UA"/>
        </w:rPr>
        <w:instrText xml:space="preserve">TOC \o "3-3" \h \z \u</w:instrText>
      </w:r>
      <w:r>
        <w:rPr>
          <w:lang w:val="en-US" w:eastAsia="uk-UA"/>
        </w:rPr>
        <w:fldChar w:fldCharType="separate"/>
      </w:r>
      <w:r>
        <w:rPr>
          <w:lang w:val="en-US" w:eastAsia="uk-UA"/>
        </w:rPr>
        <w:fldChar w:fldCharType="begin"/>
      </w:r>
      <w:r>
        <w:rPr>
          <w:lang w:val="en-US" w:eastAsia="uk-UA"/>
        </w:rPr>
        <w:instrText xml:space="preserve"> HYPERLINK \l _Toc7069 </w:instrText>
      </w:r>
      <w:r>
        <w:rPr>
          <w:lang w:val="en-US" w:eastAsia="uk-UA"/>
        </w:rPr>
        <w:fldChar w:fldCharType="separate"/>
      </w:r>
      <w:r>
        <w:t>一、部门职责及机构设置情况</w:t>
      </w:r>
      <w:r>
        <w:tab/>
      </w:r>
      <w:r>
        <w:fldChar w:fldCharType="begin"/>
      </w:r>
      <w:r>
        <w:instrText xml:space="preserve"> PAGEREF _Toc7069 </w:instrText>
      </w:r>
      <w:r>
        <w:fldChar w:fldCharType="separate"/>
      </w:r>
      <w:r>
        <w:t>15</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_Toc12674 </w:instrText>
      </w:r>
      <w:r>
        <w:rPr>
          <w:lang w:val="en-US" w:eastAsia="uk-UA"/>
        </w:rPr>
        <w:fldChar w:fldCharType="separate"/>
      </w:r>
      <w:r>
        <w:t>二、部门预算安排的总体情况</w:t>
      </w:r>
      <w:r>
        <w:tab/>
      </w:r>
      <w:r>
        <w:fldChar w:fldCharType="begin"/>
      </w:r>
      <w:r>
        <w:instrText xml:space="preserve"> PAGEREF _Toc12674 </w:instrText>
      </w:r>
      <w:r>
        <w:fldChar w:fldCharType="separate"/>
      </w:r>
      <w:r>
        <w:t>16</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_Toc5152 </w:instrText>
      </w:r>
      <w:r>
        <w:rPr>
          <w:lang w:val="en-US" w:eastAsia="uk-UA"/>
        </w:rPr>
        <w:fldChar w:fldCharType="separate"/>
      </w:r>
      <w:r>
        <w:t>三、机关运行经费安排情况</w:t>
      </w:r>
      <w:r>
        <w:tab/>
      </w:r>
      <w:r>
        <w:fldChar w:fldCharType="begin"/>
      </w:r>
      <w:r>
        <w:instrText xml:space="preserve"> PAGEREF _Toc5152 </w:instrText>
      </w:r>
      <w:r>
        <w:fldChar w:fldCharType="separate"/>
      </w:r>
      <w:r>
        <w:t>17</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_Toc20175 </w:instrText>
      </w:r>
      <w:r>
        <w:rPr>
          <w:lang w:val="en-US" w:eastAsia="uk-UA"/>
        </w:rPr>
        <w:fldChar w:fldCharType="separate"/>
      </w:r>
      <w:r>
        <w:t>四、财政拨款“三公”经费预算情况及增减变化原因</w:t>
      </w:r>
      <w:r>
        <w:tab/>
      </w:r>
      <w:r>
        <w:fldChar w:fldCharType="begin"/>
      </w:r>
      <w:r>
        <w:instrText xml:space="preserve"> PAGEREF _Toc20175 </w:instrText>
      </w:r>
      <w:r>
        <w:fldChar w:fldCharType="separate"/>
      </w:r>
      <w:r>
        <w:t>17</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_Toc18648 </w:instrText>
      </w:r>
      <w:r>
        <w:rPr>
          <w:lang w:val="en-US" w:eastAsia="uk-UA"/>
        </w:rPr>
        <w:fldChar w:fldCharType="separate"/>
      </w:r>
      <w:r>
        <w:t>五、部门整体绩效目标</w:t>
      </w:r>
      <w:r>
        <w:tab/>
      </w:r>
      <w:r>
        <w:fldChar w:fldCharType="begin"/>
      </w:r>
      <w:r>
        <w:instrText xml:space="preserve"> PAGEREF _Toc18648 </w:instrText>
      </w:r>
      <w:r>
        <w:fldChar w:fldCharType="separate"/>
      </w:r>
      <w:r>
        <w:t>17</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_Toc10093 </w:instrText>
      </w:r>
      <w:r>
        <w:rPr>
          <w:lang w:val="en-US" w:eastAsia="uk-UA"/>
        </w:rPr>
        <w:fldChar w:fldCharType="separate"/>
      </w:r>
      <w:r>
        <w:t>六、部门主管专项资金预算安排情况及绩效目标</w:t>
      </w:r>
      <w:r>
        <w:tab/>
      </w:r>
      <w:r>
        <w:fldChar w:fldCharType="begin"/>
      </w:r>
      <w:r>
        <w:instrText xml:space="preserve"> PAGEREF _Toc10093 </w:instrText>
      </w:r>
      <w:r>
        <w:fldChar w:fldCharType="separate"/>
      </w:r>
      <w:r>
        <w:t>21</w:t>
      </w:r>
      <w:r>
        <w:fldChar w:fldCharType="end"/>
      </w:r>
      <w:r>
        <w:rPr>
          <w:lang w:val="en-US" w:eastAsia="uk-UA"/>
        </w:rPr>
        <w:fldChar w:fldCharType="end"/>
      </w:r>
    </w:p>
    <w:p>
      <w:pPr>
        <w:pStyle w:val="3"/>
        <w:tabs>
          <w:tab w:val="right" w:leader="dot" w:pos="14562"/>
        </w:tabs>
      </w:pPr>
      <w:bookmarkStart w:id="22" w:name="_GoBack"/>
      <w:bookmarkEnd w:id="22"/>
      <w:r>
        <w:rPr>
          <w:lang w:val="en-US" w:eastAsia="uk-UA"/>
        </w:rPr>
        <w:fldChar w:fldCharType="begin"/>
      </w:r>
      <w:r>
        <w:rPr>
          <w:lang w:val="en-US" w:eastAsia="uk-UA"/>
        </w:rPr>
        <w:instrText xml:space="preserve"> HYPERLINK \l _Toc9117 </w:instrText>
      </w:r>
      <w:r>
        <w:rPr>
          <w:lang w:val="en-US" w:eastAsia="uk-UA"/>
        </w:rPr>
        <w:fldChar w:fldCharType="separate"/>
      </w:r>
      <w:r>
        <w:rPr>
          <w:rFonts w:hint="eastAsia"/>
          <w:lang w:val="en-US" w:eastAsia="zh-CN"/>
        </w:rPr>
        <w:t>七</w:t>
      </w:r>
      <w:r>
        <w:t>、部门项目预算安排情况及绩效目标</w:t>
      </w:r>
      <w:r>
        <w:tab/>
      </w:r>
      <w:r>
        <w:fldChar w:fldCharType="begin"/>
      </w:r>
      <w:r>
        <w:instrText xml:space="preserve"> PAGEREF _Toc9117 </w:instrText>
      </w:r>
      <w:r>
        <w:fldChar w:fldCharType="separate"/>
      </w:r>
      <w:r>
        <w:t>22</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_Toc31477 </w:instrText>
      </w:r>
      <w:r>
        <w:rPr>
          <w:lang w:val="en-US" w:eastAsia="uk-UA"/>
        </w:rPr>
        <w:fldChar w:fldCharType="separate"/>
      </w:r>
      <w:r>
        <w:rPr>
          <w:rFonts w:hint="eastAsia"/>
          <w:lang w:val="en-US" w:eastAsia="zh-CN"/>
        </w:rPr>
        <w:t>八</w:t>
      </w:r>
      <w:r>
        <w:t>、政府采购预算情况</w:t>
      </w:r>
      <w:r>
        <w:tab/>
      </w:r>
      <w:r>
        <w:fldChar w:fldCharType="begin"/>
      </w:r>
      <w:r>
        <w:instrText xml:space="preserve"> PAGEREF _Toc31477 </w:instrText>
      </w:r>
      <w:r>
        <w:fldChar w:fldCharType="separate"/>
      </w:r>
      <w:r>
        <w:t>25</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_Toc4031 </w:instrText>
      </w:r>
      <w:r>
        <w:rPr>
          <w:lang w:val="en-US" w:eastAsia="uk-UA"/>
        </w:rPr>
        <w:fldChar w:fldCharType="separate"/>
      </w:r>
      <w:r>
        <w:rPr>
          <w:rFonts w:hint="eastAsia"/>
          <w:lang w:val="en-US" w:eastAsia="zh-CN"/>
        </w:rPr>
        <w:t>九</w:t>
      </w:r>
      <w:r>
        <w:t>、国有资产信息</w:t>
      </w:r>
      <w:r>
        <w:tab/>
      </w:r>
      <w:r>
        <w:fldChar w:fldCharType="begin"/>
      </w:r>
      <w:r>
        <w:instrText xml:space="preserve"> PAGEREF _Toc4031 </w:instrText>
      </w:r>
      <w:r>
        <w:fldChar w:fldCharType="separate"/>
      </w:r>
      <w:r>
        <w:t>25</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_Toc7965 </w:instrText>
      </w:r>
      <w:r>
        <w:rPr>
          <w:lang w:val="en-US" w:eastAsia="uk-UA"/>
        </w:rPr>
        <w:fldChar w:fldCharType="separate"/>
      </w:r>
      <w:r>
        <w:rPr>
          <w:rFonts w:hint="eastAsia"/>
          <w:lang w:val="en-US" w:eastAsia="zh-CN"/>
        </w:rPr>
        <w:t>十</w:t>
      </w:r>
      <w:r>
        <w:t>、名词解释</w:t>
      </w:r>
      <w:r>
        <w:tab/>
      </w:r>
      <w:r>
        <w:fldChar w:fldCharType="begin"/>
      </w:r>
      <w:r>
        <w:instrText xml:space="preserve"> PAGEREF _Toc7965 </w:instrText>
      </w:r>
      <w:r>
        <w:fldChar w:fldCharType="separate"/>
      </w:r>
      <w:r>
        <w:t>26</w:t>
      </w:r>
      <w:r>
        <w:fldChar w:fldCharType="end"/>
      </w:r>
      <w:r>
        <w:rPr>
          <w:lang w:val="en-US" w:eastAsia="uk-UA"/>
        </w:rPr>
        <w:fldChar w:fldCharType="end"/>
      </w:r>
    </w:p>
    <w:p>
      <w:pPr>
        <w:pStyle w:val="3"/>
        <w:tabs>
          <w:tab w:val="right" w:leader="dot" w:pos="14562"/>
        </w:tabs>
      </w:pPr>
      <w:r>
        <w:rPr>
          <w:lang w:val="en-US" w:eastAsia="uk-UA"/>
        </w:rPr>
        <w:fldChar w:fldCharType="begin"/>
      </w:r>
      <w:r>
        <w:rPr>
          <w:lang w:val="en-US" w:eastAsia="uk-UA"/>
        </w:rPr>
        <w:instrText xml:space="preserve"> HYPERLINK \l _Toc27971 </w:instrText>
      </w:r>
      <w:r>
        <w:rPr>
          <w:lang w:val="en-US" w:eastAsia="uk-UA"/>
        </w:rPr>
        <w:fldChar w:fldCharType="separate"/>
      </w:r>
      <w:r>
        <w:t>十</w:t>
      </w:r>
      <w:r>
        <w:rPr>
          <w:rFonts w:hint="eastAsia"/>
          <w:lang w:val="en-US" w:eastAsia="zh-CN"/>
        </w:rPr>
        <w:t>一</w:t>
      </w:r>
      <w:r>
        <w:t>、其他需要说明的事项</w:t>
      </w:r>
      <w:r>
        <w:tab/>
      </w:r>
      <w:r>
        <w:fldChar w:fldCharType="begin"/>
      </w:r>
      <w:r>
        <w:instrText xml:space="preserve"> PAGEREF _Toc27971 </w:instrText>
      </w:r>
      <w:r>
        <w:fldChar w:fldCharType="separate"/>
      </w:r>
      <w:r>
        <w:t>27</w:t>
      </w:r>
      <w:r>
        <w:fldChar w:fldCharType="end"/>
      </w:r>
      <w:r>
        <w:rPr>
          <w:lang w:val="en-US" w:eastAsia="uk-UA"/>
        </w:rPr>
        <w:fldChar w:fldCharType="end"/>
      </w:r>
    </w:p>
    <w:p>
      <w:pPr>
        <w:pStyle w:val="3"/>
        <w:tabs>
          <w:tab w:val="right" w:leader="dot" w:pos="14562"/>
        </w:tabs>
        <w:rPr>
          <w:lang w:val="en-US" w:eastAsia="uk-UA"/>
        </w:rPr>
        <w:sectPr>
          <w:pgSz w:w="16840" w:h="11900" w:orient="landscape"/>
          <w:pgMar w:top="1587" w:right="1134" w:bottom="1361" w:left="1134" w:header="720" w:footer="720" w:gutter="0"/>
          <w:pgNumType w:start="1"/>
        </w:sectPr>
      </w:pPr>
      <w:r>
        <w:rPr>
          <w:lang w:val="en-US" w:eastAsia="uk-UA"/>
        </w:rP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47.56</w:t>
            </w:r>
          </w:p>
        </w:tc>
        <w:tc>
          <w:tcPr>
            <w:tcW w:w="4535" w:type="dxa"/>
            <w:vAlign w:val="center"/>
          </w:tcPr>
          <w:p>
            <w:pPr>
              <w:pStyle w:val="13"/>
            </w:pPr>
            <w:r>
              <w:t>一、一般公共服务支出</w:t>
            </w:r>
          </w:p>
        </w:tc>
        <w:tc>
          <w:tcPr>
            <w:tcW w:w="2126" w:type="dxa"/>
            <w:vAlign w:val="center"/>
          </w:tcPr>
          <w:p>
            <w:pPr>
              <w:pStyle w:val="12"/>
            </w:pPr>
            <w:r>
              <w:t>30.58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47.56</w:t>
            </w:r>
          </w:p>
        </w:tc>
        <w:tc>
          <w:tcPr>
            <w:tcW w:w="4535" w:type="dxa"/>
            <w:vAlign w:val="center"/>
          </w:tcPr>
          <w:p>
            <w:pPr>
              <w:pStyle w:val="15"/>
            </w:pPr>
            <w:r>
              <w:t>本年支出合计</w:t>
            </w:r>
          </w:p>
        </w:tc>
        <w:tc>
          <w:tcPr>
            <w:tcW w:w="2126" w:type="dxa"/>
            <w:vAlign w:val="center"/>
          </w:tcPr>
          <w:p>
            <w:pPr>
              <w:pStyle w:val="16"/>
            </w:pPr>
            <w:r>
              <w:t>47.56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47.56</w:t>
            </w:r>
          </w:p>
        </w:tc>
        <w:tc>
          <w:tcPr>
            <w:tcW w:w="4535" w:type="dxa"/>
            <w:vAlign w:val="center"/>
          </w:tcPr>
          <w:p>
            <w:pPr>
              <w:pStyle w:val="15"/>
            </w:pPr>
            <w:r>
              <w:t>支出总计</w:t>
            </w:r>
          </w:p>
        </w:tc>
        <w:tc>
          <w:tcPr>
            <w:tcW w:w="2126" w:type="dxa"/>
            <w:vAlign w:val="center"/>
          </w:tcPr>
          <w:p>
            <w:pPr>
              <w:pStyle w:val="16"/>
            </w:pPr>
            <w:r>
              <w:t>47.56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47.56</w:t>
            </w:r>
          </w:p>
        </w:tc>
        <w:tc>
          <w:tcPr>
            <w:tcW w:w="1134" w:type="dxa"/>
            <w:vAlign w:val="center"/>
          </w:tcPr>
          <w:p>
            <w:pPr>
              <w:pStyle w:val="16"/>
            </w:pPr>
            <w:r>
              <w:t>47.56</w:t>
            </w:r>
          </w:p>
        </w:tc>
        <w:tc>
          <w:tcPr>
            <w:tcW w:w="1134" w:type="dxa"/>
            <w:vAlign w:val="center"/>
          </w:tcPr>
          <w:p>
            <w:pPr>
              <w:pStyle w:val="16"/>
            </w:pPr>
            <w:r>
              <w:t>47.56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30.58</w:t>
            </w:r>
          </w:p>
        </w:tc>
        <w:tc>
          <w:tcPr>
            <w:tcW w:w="1134" w:type="dxa"/>
            <w:vAlign w:val="center"/>
          </w:tcPr>
          <w:p>
            <w:pPr>
              <w:pStyle w:val="12"/>
            </w:pPr>
            <w:r>
              <w:t>30.58</w:t>
            </w:r>
          </w:p>
        </w:tc>
        <w:tc>
          <w:tcPr>
            <w:tcW w:w="1134" w:type="dxa"/>
            <w:vAlign w:val="center"/>
          </w:tcPr>
          <w:p>
            <w:pPr>
              <w:pStyle w:val="12"/>
            </w:pPr>
            <w:r>
              <w:t>30.58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30.58</w:t>
            </w:r>
          </w:p>
        </w:tc>
        <w:tc>
          <w:tcPr>
            <w:tcW w:w="1134" w:type="dxa"/>
            <w:vAlign w:val="center"/>
          </w:tcPr>
          <w:p>
            <w:pPr>
              <w:pStyle w:val="12"/>
            </w:pPr>
            <w:r>
              <w:t>30.58</w:t>
            </w:r>
          </w:p>
        </w:tc>
        <w:tc>
          <w:tcPr>
            <w:tcW w:w="1134" w:type="dxa"/>
            <w:vAlign w:val="center"/>
          </w:tcPr>
          <w:p>
            <w:pPr>
              <w:pStyle w:val="12"/>
            </w:pPr>
            <w:r>
              <w:t>30.58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25.58</w:t>
            </w:r>
          </w:p>
        </w:tc>
        <w:tc>
          <w:tcPr>
            <w:tcW w:w="1134" w:type="dxa"/>
            <w:vAlign w:val="center"/>
          </w:tcPr>
          <w:p>
            <w:pPr>
              <w:pStyle w:val="12"/>
            </w:pPr>
            <w:r>
              <w:t>25.58</w:t>
            </w:r>
          </w:p>
        </w:tc>
        <w:tc>
          <w:tcPr>
            <w:tcW w:w="1134" w:type="dxa"/>
            <w:vAlign w:val="center"/>
          </w:tcPr>
          <w:p>
            <w:pPr>
              <w:pStyle w:val="12"/>
            </w:pPr>
            <w:r>
              <w:t>25.58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r>
              <w:t>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r>
              <w:t>1.84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0.44</w:t>
            </w:r>
          </w:p>
        </w:tc>
        <w:tc>
          <w:tcPr>
            <w:tcW w:w="1134" w:type="dxa"/>
            <w:vAlign w:val="center"/>
          </w:tcPr>
          <w:p>
            <w:pPr>
              <w:pStyle w:val="12"/>
            </w:pPr>
            <w:r>
              <w:t>0.44</w:t>
            </w:r>
          </w:p>
        </w:tc>
        <w:tc>
          <w:tcPr>
            <w:tcW w:w="1134" w:type="dxa"/>
            <w:vAlign w:val="center"/>
          </w:tcPr>
          <w:p>
            <w:pPr>
              <w:pStyle w:val="12"/>
            </w:pPr>
            <w:r>
              <w:t>0.44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r>
              <w:t>2.14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47.56</w:t>
            </w:r>
          </w:p>
        </w:tc>
        <w:tc>
          <w:tcPr>
            <w:tcW w:w="1361" w:type="dxa"/>
            <w:vAlign w:val="center"/>
          </w:tcPr>
          <w:p>
            <w:pPr>
              <w:pStyle w:val="16"/>
            </w:pPr>
            <w:r>
              <w:t>32.42</w:t>
            </w:r>
          </w:p>
        </w:tc>
        <w:tc>
          <w:tcPr>
            <w:tcW w:w="1361" w:type="dxa"/>
            <w:vAlign w:val="center"/>
          </w:tcPr>
          <w:p>
            <w:pPr>
              <w:pStyle w:val="16"/>
            </w:pPr>
            <w:r>
              <w:t>15.14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30.58</w:t>
            </w:r>
          </w:p>
        </w:tc>
        <w:tc>
          <w:tcPr>
            <w:tcW w:w="1361" w:type="dxa"/>
            <w:vAlign w:val="center"/>
          </w:tcPr>
          <w:p>
            <w:pPr>
              <w:pStyle w:val="12"/>
            </w:pPr>
            <w:r>
              <w:t>25.58</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30.58</w:t>
            </w:r>
          </w:p>
        </w:tc>
        <w:tc>
          <w:tcPr>
            <w:tcW w:w="1361" w:type="dxa"/>
            <w:vAlign w:val="center"/>
          </w:tcPr>
          <w:p>
            <w:pPr>
              <w:pStyle w:val="12"/>
            </w:pPr>
            <w:r>
              <w:t>25.58</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25.58</w:t>
            </w:r>
          </w:p>
        </w:tc>
        <w:tc>
          <w:tcPr>
            <w:tcW w:w="1361" w:type="dxa"/>
            <w:vAlign w:val="center"/>
          </w:tcPr>
          <w:p>
            <w:pPr>
              <w:pStyle w:val="12"/>
            </w:pPr>
            <w:r>
              <w:t>25.58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2.86</w:t>
            </w:r>
          </w:p>
        </w:tc>
        <w:tc>
          <w:tcPr>
            <w:tcW w:w="1361" w:type="dxa"/>
            <w:vAlign w:val="center"/>
          </w:tcPr>
          <w:p>
            <w:pPr>
              <w:pStyle w:val="12"/>
            </w:pPr>
            <w:r>
              <w:t>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1.84</w:t>
            </w:r>
          </w:p>
        </w:tc>
        <w:tc>
          <w:tcPr>
            <w:tcW w:w="1361" w:type="dxa"/>
            <w:vAlign w:val="center"/>
          </w:tcPr>
          <w:p>
            <w:pPr>
              <w:pStyle w:val="12"/>
            </w:pPr>
            <w:r>
              <w:t>1.84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1.84</w:t>
            </w:r>
          </w:p>
        </w:tc>
        <w:tc>
          <w:tcPr>
            <w:tcW w:w="1361" w:type="dxa"/>
            <w:vAlign w:val="center"/>
          </w:tcPr>
          <w:p>
            <w:pPr>
              <w:pStyle w:val="12"/>
            </w:pPr>
            <w:r>
              <w:t>1.84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1.40</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0.44</w:t>
            </w:r>
          </w:p>
        </w:tc>
        <w:tc>
          <w:tcPr>
            <w:tcW w:w="1361" w:type="dxa"/>
            <w:vAlign w:val="center"/>
          </w:tcPr>
          <w:p>
            <w:pPr>
              <w:pStyle w:val="12"/>
            </w:pPr>
            <w:r>
              <w:t>0.44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2.14</w:t>
            </w:r>
          </w:p>
        </w:tc>
        <w:tc>
          <w:tcPr>
            <w:tcW w:w="1361" w:type="dxa"/>
            <w:vAlign w:val="center"/>
          </w:tcPr>
          <w:p>
            <w:pPr>
              <w:pStyle w:val="12"/>
            </w:pPr>
            <w:r>
              <w:t>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2.14</w:t>
            </w:r>
          </w:p>
        </w:tc>
        <w:tc>
          <w:tcPr>
            <w:tcW w:w="1361" w:type="dxa"/>
            <w:vAlign w:val="center"/>
          </w:tcPr>
          <w:p>
            <w:pPr>
              <w:pStyle w:val="12"/>
            </w:pPr>
            <w:r>
              <w:t>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2.14</w:t>
            </w:r>
          </w:p>
        </w:tc>
        <w:tc>
          <w:tcPr>
            <w:tcW w:w="1361" w:type="dxa"/>
            <w:vAlign w:val="center"/>
          </w:tcPr>
          <w:p>
            <w:pPr>
              <w:pStyle w:val="12"/>
            </w:pPr>
            <w:r>
              <w:t>2.14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47.56</w:t>
            </w:r>
          </w:p>
        </w:tc>
        <w:tc>
          <w:tcPr>
            <w:tcW w:w="3402" w:type="dxa"/>
            <w:vAlign w:val="center"/>
          </w:tcPr>
          <w:p>
            <w:pPr>
              <w:pStyle w:val="13"/>
            </w:pPr>
            <w:r>
              <w:t>一、一般公共服务支出</w:t>
            </w:r>
          </w:p>
        </w:tc>
        <w:tc>
          <w:tcPr>
            <w:tcW w:w="1474" w:type="dxa"/>
            <w:vAlign w:val="center"/>
          </w:tcPr>
          <w:p>
            <w:pPr>
              <w:pStyle w:val="12"/>
            </w:pPr>
            <w:r>
              <w:t>30.58</w:t>
            </w:r>
          </w:p>
        </w:tc>
        <w:tc>
          <w:tcPr>
            <w:tcW w:w="1474" w:type="dxa"/>
            <w:vAlign w:val="center"/>
          </w:tcPr>
          <w:p>
            <w:pPr>
              <w:pStyle w:val="12"/>
            </w:pPr>
            <w:r>
              <w:t>30.58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2.86</w:t>
            </w:r>
          </w:p>
        </w:tc>
        <w:tc>
          <w:tcPr>
            <w:tcW w:w="1474" w:type="dxa"/>
            <w:vAlign w:val="center"/>
          </w:tcPr>
          <w:p>
            <w:pPr>
              <w:pStyle w:val="12"/>
            </w:pPr>
            <w:r>
              <w:t>2.86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1.84</w:t>
            </w:r>
          </w:p>
        </w:tc>
        <w:tc>
          <w:tcPr>
            <w:tcW w:w="1474" w:type="dxa"/>
            <w:vAlign w:val="center"/>
          </w:tcPr>
          <w:p>
            <w:pPr>
              <w:pStyle w:val="12"/>
            </w:pPr>
            <w:r>
              <w:t>1.84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10.14</w:t>
            </w:r>
          </w:p>
        </w:tc>
        <w:tc>
          <w:tcPr>
            <w:tcW w:w="1474" w:type="dxa"/>
            <w:vAlign w:val="center"/>
          </w:tcPr>
          <w:p>
            <w:pPr>
              <w:pStyle w:val="12"/>
            </w:pPr>
            <w:r>
              <w:t>10.14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2.14</w:t>
            </w:r>
          </w:p>
        </w:tc>
        <w:tc>
          <w:tcPr>
            <w:tcW w:w="1474" w:type="dxa"/>
            <w:vAlign w:val="center"/>
          </w:tcPr>
          <w:p>
            <w:pPr>
              <w:pStyle w:val="12"/>
            </w:pPr>
            <w:r>
              <w:t>2.14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47.56</w:t>
            </w:r>
          </w:p>
        </w:tc>
        <w:tc>
          <w:tcPr>
            <w:tcW w:w="3402" w:type="dxa"/>
            <w:vAlign w:val="center"/>
          </w:tcPr>
          <w:p>
            <w:pPr>
              <w:pStyle w:val="15"/>
            </w:pPr>
            <w:r>
              <w:t>本年支出合计</w:t>
            </w:r>
          </w:p>
        </w:tc>
        <w:tc>
          <w:tcPr>
            <w:tcW w:w="1474" w:type="dxa"/>
            <w:vAlign w:val="center"/>
          </w:tcPr>
          <w:p>
            <w:pPr>
              <w:pStyle w:val="16"/>
            </w:pPr>
            <w:r>
              <w:t>47.56</w:t>
            </w:r>
          </w:p>
        </w:tc>
        <w:tc>
          <w:tcPr>
            <w:tcW w:w="1474" w:type="dxa"/>
            <w:vAlign w:val="center"/>
          </w:tcPr>
          <w:p>
            <w:pPr>
              <w:pStyle w:val="16"/>
            </w:pPr>
            <w:r>
              <w:t>47.56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47.56</w:t>
            </w:r>
          </w:p>
        </w:tc>
        <w:tc>
          <w:tcPr>
            <w:tcW w:w="3402" w:type="dxa"/>
            <w:vAlign w:val="center"/>
          </w:tcPr>
          <w:p>
            <w:pPr>
              <w:pStyle w:val="15"/>
            </w:pPr>
            <w:r>
              <w:t>支出总计</w:t>
            </w:r>
          </w:p>
        </w:tc>
        <w:tc>
          <w:tcPr>
            <w:tcW w:w="1474" w:type="dxa"/>
            <w:vAlign w:val="center"/>
          </w:tcPr>
          <w:p>
            <w:pPr>
              <w:pStyle w:val="16"/>
            </w:pPr>
            <w:r>
              <w:t>47.56</w:t>
            </w:r>
          </w:p>
        </w:tc>
        <w:tc>
          <w:tcPr>
            <w:tcW w:w="1474" w:type="dxa"/>
            <w:vAlign w:val="center"/>
          </w:tcPr>
          <w:p>
            <w:pPr>
              <w:pStyle w:val="16"/>
            </w:pPr>
            <w:r>
              <w:t>47.56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47.56</w:t>
            </w:r>
          </w:p>
        </w:tc>
        <w:tc>
          <w:tcPr>
            <w:tcW w:w="2551" w:type="dxa"/>
            <w:vAlign w:val="center"/>
          </w:tcPr>
          <w:p>
            <w:pPr>
              <w:pStyle w:val="16"/>
            </w:pPr>
            <w:r>
              <w:t>32.42</w:t>
            </w:r>
          </w:p>
        </w:tc>
        <w:tc>
          <w:tcPr>
            <w:tcW w:w="2551" w:type="dxa"/>
            <w:vAlign w:val="center"/>
          </w:tcPr>
          <w:p>
            <w:pPr>
              <w:pStyle w:val="16"/>
            </w:pPr>
            <w:r>
              <w:t>15.14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30.58</w:t>
            </w:r>
          </w:p>
        </w:tc>
        <w:tc>
          <w:tcPr>
            <w:tcW w:w="2551" w:type="dxa"/>
            <w:vAlign w:val="center"/>
          </w:tcPr>
          <w:p>
            <w:pPr>
              <w:pStyle w:val="12"/>
            </w:pPr>
            <w:r>
              <w:t>25.58</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30.58</w:t>
            </w:r>
          </w:p>
        </w:tc>
        <w:tc>
          <w:tcPr>
            <w:tcW w:w="2551" w:type="dxa"/>
            <w:vAlign w:val="center"/>
          </w:tcPr>
          <w:p>
            <w:pPr>
              <w:pStyle w:val="12"/>
            </w:pPr>
            <w:r>
              <w:t>25.58</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25.58</w:t>
            </w:r>
          </w:p>
        </w:tc>
        <w:tc>
          <w:tcPr>
            <w:tcW w:w="2551" w:type="dxa"/>
            <w:vAlign w:val="center"/>
          </w:tcPr>
          <w:p>
            <w:pPr>
              <w:pStyle w:val="12"/>
            </w:pPr>
            <w:r>
              <w:t>25.58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1.84</w:t>
            </w:r>
          </w:p>
        </w:tc>
        <w:tc>
          <w:tcPr>
            <w:tcW w:w="2551" w:type="dxa"/>
            <w:vAlign w:val="center"/>
          </w:tcPr>
          <w:p>
            <w:pPr>
              <w:pStyle w:val="12"/>
            </w:pPr>
            <w:r>
              <w:t>1.84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0.44</w:t>
            </w:r>
          </w:p>
        </w:tc>
        <w:tc>
          <w:tcPr>
            <w:tcW w:w="2551" w:type="dxa"/>
            <w:vAlign w:val="center"/>
          </w:tcPr>
          <w:p>
            <w:pPr>
              <w:pStyle w:val="12"/>
            </w:pPr>
            <w:r>
              <w:t>0.44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10.14</w:t>
            </w:r>
          </w:p>
        </w:tc>
        <w:tc>
          <w:tcPr>
            <w:tcW w:w="2551" w:type="dxa"/>
            <w:vAlign w:val="center"/>
          </w:tcPr>
          <w:p>
            <w:pPr>
              <w:pStyle w:val="12"/>
            </w:pPr>
          </w:p>
        </w:tc>
        <w:tc>
          <w:tcPr>
            <w:tcW w:w="2551" w:type="dxa"/>
            <w:vAlign w:val="center"/>
          </w:tcPr>
          <w:p>
            <w:pPr>
              <w:pStyle w:val="12"/>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10.14</w:t>
            </w:r>
          </w:p>
        </w:tc>
        <w:tc>
          <w:tcPr>
            <w:tcW w:w="2551" w:type="dxa"/>
            <w:vAlign w:val="center"/>
          </w:tcPr>
          <w:p>
            <w:pPr>
              <w:pStyle w:val="12"/>
            </w:pPr>
          </w:p>
        </w:tc>
        <w:tc>
          <w:tcPr>
            <w:tcW w:w="2551" w:type="dxa"/>
            <w:vAlign w:val="center"/>
          </w:tcPr>
          <w:p>
            <w:pPr>
              <w:pStyle w:val="12"/>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10.14</w:t>
            </w:r>
          </w:p>
        </w:tc>
        <w:tc>
          <w:tcPr>
            <w:tcW w:w="2551" w:type="dxa"/>
            <w:vAlign w:val="center"/>
          </w:tcPr>
          <w:p>
            <w:pPr>
              <w:pStyle w:val="12"/>
            </w:pPr>
          </w:p>
        </w:tc>
        <w:tc>
          <w:tcPr>
            <w:tcW w:w="2551" w:type="dxa"/>
            <w:vAlign w:val="center"/>
          </w:tcPr>
          <w:p>
            <w:pPr>
              <w:pStyle w:val="12"/>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2.14</w:t>
            </w:r>
          </w:p>
        </w:tc>
        <w:tc>
          <w:tcPr>
            <w:tcW w:w="2551" w:type="dxa"/>
            <w:vAlign w:val="center"/>
          </w:tcPr>
          <w:p>
            <w:pPr>
              <w:pStyle w:val="12"/>
            </w:pPr>
            <w:r>
              <w:t>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2.14</w:t>
            </w:r>
          </w:p>
        </w:tc>
        <w:tc>
          <w:tcPr>
            <w:tcW w:w="2551" w:type="dxa"/>
            <w:vAlign w:val="center"/>
          </w:tcPr>
          <w:p>
            <w:pPr>
              <w:pStyle w:val="12"/>
            </w:pPr>
            <w:r>
              <w:t>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2.14</w:t>
            </w:r>
          </w:p>
        </w:tc>
        <w:tc>
          <w:tcPr>
            <w:tcW w:w="2551" w:type="dxa"/>
            <w:vAlign w:val="center"/>
          </w:tcPr>
          <w:p>
            <w:pPr>
              <w:pStyle w:val="12"/>
            </w:pPr>
            <w:r>
              <w:t>2.14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32.42</w:t>
            </w:r>
          </w:p>
        </w:tc>
        <w:tc>
          <w:tcPr>
            <w:tcW w:w="2551" w:type="dxa"/>
            <w:vAlign w:val="center"/>
          </w:tcPr>
          <w:p>
            <w:pPr>
              <w:pStyle w:val="16"/>
            </w:pPr>
            <w:r>
              <w:t>27.76</w:t>
            </w:r>
          </w:p>
        </w:tc>
        <w:tc>
          <w:tcPr>
            <w:tcW w:w="2551" w:type="dxa"/>
            <w:vAlign w:val="center"/>
          </w:tcPr>
          <w:p>
            <w:pPr>
              <w:pStyle w:val="16"/>
            </w:pPr>
            <w:r>
              <w:t>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27.76</w:t>
            </w:r>
          </w:p>
        </w:tc>
        <w:tc>
          <w:tcPr>
            <w:tcW w:w="2551" w:type="dxa"/>
            <w:vAlign w:val="center"/>
          </w:tcPr>
          <w:p>
            <w:pPr>
              <w:pStyle w:val="12"/>
            </w:pPr>
            <w:r>
              <w:t>27.76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11.11</w:t>
            </w:r>
          </w:p>
        </w:tc>
        <w:tc>
          <w:tcPr>
            <w:tcW w:w="2551" w:type="dxa"/>
            <w:vAlign w:val="center"/>
          </w:tcPr>
          <w:p>
            <w:pPr>
              <w:pStyle w:val="12"/>
            </w:pPr>
            <w:r>
              <w:t>11.11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5.77</w:t>
            </w:r>
          </w:p>
        </w:tc>
        <w:tc>
          <w:tcPr>
            <w:tcW w:w="2551" w:type="dxa"/>
            <w:vAlign w:val="center"/>
          </w:tcPr>
          <w:p>
            <w:pPr>
              <w:pStyle w:val="12"/>
            </w:pPr>
            <w:r>
              <w:t>5.77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3.92</w:t>
            </w:r>
          </w:p>
        </w:tc>
        <w:tc>
          <w:tcPr>
            <w:tcW w:w="2551" w:type="dxa"/>
            <w:vAlign w:val="center"/>
          </w:tcPr>
          <w:p>
            <w:pPr>
              <w:pStyle w:val="12"/>
            </w:pPr>
            <w:r>
              <w:t>3.92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0.44</w:t>
            </w:r>
          </w:p>
        </w:tc>
        <w:tc>
          <w:tcPr>
            <w:tcW w:w="2551" w:type="dxa"/>
            <w:vAlign w:val="center"/>
          </w:tcPr>
          <w:p>
            <w:pPr>
              <w:pStyle w:val="12"/>
            </w:pPr>
            <w:r>
              <w:t>0.44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2.14</w:t>
            </w:r>
          </w:p>
        </w:tc>
        <w:tc>
          <w:tcPr>
            <w:tcW w:w="2551" w:type="dxa"/>
            <w:vAlign w:val="center"/>
          </w:tcPr>
          <w:p>
            <w:pPr>
              <w:pStyle w:val="12"/>
            </w:pPr>
            <w:r>
              <w:t>2.14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4.66</w:t>
            </w:r>
          </w:p>
        </w:tc>
        <w:tc>
          <w:tcPr>
            <w:tcW w:w="2551" w:type="dxa"/>
            <w:vAlign w:val="center"/>
          </w:tcPr>
          <w:p>
            <w:pPr>
              <w:pStyle w:val="12"/>
            </w:pPr>
          </w:p>
        </w:tc>
        <w:tc>
          <w:tcPr>
            <w:tcW w:w="2551" w:type="dxa"/>
            <w:vAlign w:val="center"/>
          </w:tcPr>
          <w:p>
            <w:pPr>
              <w:pStyle w:val="12"/>
            </w:pPr>
            <w:r>
              <w:t>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0.38</w:t>
            </w:r>
          </w:p>
        </w:tc>
        <w:tc>
          <w:tcPr>
            <w:tcW w:w="2551" w:type="dxa"/>
            <w:vAlign w:val="center"/>
          </w:tcPr>
          <w:p>
            <w:pPr>
              <w:pStyle w:val="12"/>
            </w:pPr>
          </w:p>
        </w:tc>
        <w:tc>
          <w:tcPr>
            <w:tcW w:w="2551" w:type="dxa"/>
            <w:vAlign w:val="center"/>
          </w:tcPr>
          <w:p>
            <w:pPr>
              <w:pStyle w:val="12"/>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1.52</w:t>
            </w:r>
          </w:p>
        </w:tc>
        <w:tc>
          <w:tcPr>
            <w:tcW w:w="2551" w:type="dxa"/>
            <w:vAlign w:val="center"/>
          </w:tcPr>
          <w:p>
            <w:pPr>
              <w:pStyle w:val="12"/>
            </w:pPr>
          </w:p>
        </w:tc>
        <w:tc>
          <w:tcPr>
            <w:tcW w:w="2551" w:type="dxa"/>
            <w:vAlign w:val="center"/>
          </w:tcPr>
          <w:p>
            <w:pPr>
              <w:pStyle w:val="12"/>
            </w:pPr>
            <w:r>
              <w:t>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0.12</w:t>
            </w:r>
          </w:p>
        </w:tc>
        <w:tc>
          <w:tcPr>
            <w:tcW w:w="2551" w:type="dxa"/>
            <w:vAlign w:val="center"/>
          </w:tcPr>
          <w:p>
            <w:pPr>
              <w:pStyle w:val="12"/>
            </w:pPr>
          </w:p>
        </w:tc>
        <w:tc>
          <w:tcPr>
            <w:tcW w:w="2551" w:type="dxa"/>
            <w:vAlign w:val="center"/>
          </w:tcPr>
          <w:p>
            <w:pPr>
              <w:pStyle w:val="12"/>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1.98</w:t>
            </w:r>
          </w:p>
        </w:tc>
        <w:tc>
          <w:tcPr>
            <w:tcW w:w="2551" w:type="dxa"/>
            <w:vAlign w:val="center"/>
          </w:tcPr>
          <w:p>
            <w:pPr>
              <w:pStyle w:val="12"/>
            </w:pPr>
          </w:p>
        </w:tc>
        <w:tc>
          <w:tcPr>
            <w:tcW w:w="2551" w:type="dxa"/>
            <w:vAlign w:val="center"/>
          </w:tcPr>
          <w:p>
            <w:pPr>
              <w:pStyle w:val="12"/>
            </w:pPr>
            <w:r>
              <w:t>1.98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中国共产主义青年团曲阳县委员会2025年部门预算信息公开情况说明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中国共产主义青年团曲阳县委员会2025年部门预算信息公开情况说明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按照《中华人民共和国预算法》、《地方预决算公开操作规程》和《关于进一步推进预算公开工作的实施意见》规定，现将中国共产主义青年团曲阳县委员会2025年部门预算公开如下：</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2"/>
      </w:pPr>
      <w:bookmarkStart w:id="9" w:name="_Toc7069"/>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outlineLvl w:val="9"/>
      </w:pPr>
      <w:r>
        <w:rPr>
          <w:rFonts w:ascii="方正楷体_GBK" w:hAnsi="方正楷体_GBK" w:eastAsia="方正楷体_GBK" w:cs="方正楷体_GBK"/>
          <w:b/>
          <w:color w:val="000000"/>
          <w:sz w:val="32"/>
        </w:rPr>
        <w:t>部门职责：</w:t>
      </w:r>
    </w:p>
    <w:p>
      <w:pPr>
        <w:pStyle w:val="18"/>
      </w:pPr>
      <w:r>
        <w:t>(一）指导县青联、学联、少工委开展工作，对全县青年的新团组织进行指导和管理。</w:t>
      </w:r>
    </w:p>
    <w:p>
      <w:pPr>
        <w:pStyle w:val="18"/>
      </w:pPr>
      <w:r>
        <w:t>（二）参与制定曲阳县的青少年事业发展规划，对青年工作院校、青少年活动陈地、青年报刊和青少年服务机构的建设等事务进行规划和管理。</w:t>
      </w:r>
    </w:p>
    <w:p>
      <w:pPr>
        <w:pStyle w:val="18"/>
      </w:pPr>
      <w:r>
        <w:t>（三）参与曲阳县有关事务的地方性法规的制定和实施；协助县委和县政府处理、协调与青少年利益相关的事务。</w:t>
      </w:r>
    </w:p>
    <w:p>
      <w:pPr>
        <w:pStyle w:val="18"/>
      </w:pPr>
      <w:r>
        <w:t>（四）调查青年思想动态和青年工作状况，研究青少年运动、青少年工作理论和思想教育问题，提出相应对策，开展各种活动。</w:t>
      </w:r>
    </w:p>
    <w:p>
      <w:pPr>
        <w:pStyle w:val="18"/>
      </w:pPr>
      <w:r>
        <w:t>（五）协助县政府教育部门做好大、中、小学生的教育管理工作，维护学校和社会的稳定与团结。</w:t>
      </w:r>
    </w:p>
    <w:p>
      <w:pPr>
        <w:pStyle w:val="18"/>
      </w:pPr>
      <w:r>
        <w:t>（六）在国家经济建设中，组织和带领青年发挥生力军和突击队作用。</w:t>
      </w:r>
    </w:p>
    <w:p>
      <w:pPr>
        <w:pStyle w:val="18"/>
      </w:pPr>
      <w:r>
        <w:t>（七）贯彻落实中央、省市统战工作方针政策，做好青年统战对象的团结教育培养工作，维护和促进祖国统一和民族团结。</w:t>
      </w:r>
    </w:p>
    <w:p>
      <w:pPr>
        <w:pStyle w:val="18"/>
      </w:pPr>
      <w:r>
        <w:t>（八）承担曲阳县委、县政府和共青团保定市委交办的其他事项。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中国共产主义青年团曲阳县委员会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0" w:name="_Toc12674"/>
      <w:r>
        <w:rPr>
          <w:rFonts w:ascii="黑体" w:hAnsi="黑体" w:eastAsia="黑体" w:cs="黑体"/>
          <w:color w:val="000000"/>
          <w:sz w:val="32"/>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按照预算管理有关规定，目前部门预算的编制实行综合预算管理，即全部收入和支出都反映在预算中。中国共产主义青年团曲阳县委员会机关及所属事业单位的收支包含在部门预算中。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1、收入说明</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反映本部门当年全部收入。2025年预算收入47.56万元，其中：一般公共预算收入47.56万元，基金预算收入0.00万元，国有资本经营预算收入0.00万元，财政专户核拨收入0.00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2、支出说明</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收支预算总表支出栏、基本支出表、项目支出表按经济分类和支出功能分类科目编制，反映中国共产主义青年团曲阳县委员会年度部门预算中支出预算的总体情况。2025年支出预算47.56万元，其中基本支出32.42万元，包括人员经费27.76万元和日常公用经费4.66万元；项目支出15.14万元，主要为团县委业务活动经费5万元，团县委乡村振兴志愿者经费10.14万元。</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3、比上年增减情况</w:t>
      </w:r>
    </w:p>
    <w:p>
      <w:pPr>
        <w:pStyle w:val="19"/>
        <w:keepNext w:val="0"/>
        <w:keepLines w:val="0"/>
        <w:pageBreakBefore w:val="0"/>
        <w:widowControl/>
        <w:kinsoku/>
        <w:wordWrap/>
        <w:overflowPunct/>
        <w:topLinePunct w:val="0"/>
        <w:autoSpaceDE/>
        <w:autoSpaceDN/>
        <w:bidi w:val="0"/>
        <w:adjustRightInd/>
        <w:snapToGrid/>
        <w:spacing w:before="0" w:after="0" w:line="560" w:lineRule="exact"/>
        <w:textAlignment w:val="auto"/>
      </w:pPr>
      <w:r>
        <w:t>2025年预算收支安排47.56万元，较2024年预算减少3.08万元，其中：基本支出减少0.85万元，主要为主要为我部门行政人员变动，工资、保险、津贴补贴、办公费、工会经费、福利费等相应变动。项目支出减少2.23万元，主要为主要为我部门新增团县委乡村振兴志愿者经费，只包含本年度人员生活补贴和各项保险费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1" w:name="_Toc5152"/>
      <w:r>
        <w:rPr>
          <w:rFonts w:ascii="黑体" w:hAnsi="黑体" w:eastAsia="黑体" w:cs="黑体"/>
          <w:color w:val="000000"/>
          <w:sz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pPr>
      <w:r>
        <w:t>2025年，我部门机关运行经费共计安排4.66万元，主要用于日常维修、办公用房水电费、办公用房取暖费、办公用房物业管理费等日常运行支出。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2" w:name="_Toc20175"/>
      <w:r>
        <w:rPr>
          <w:rFonts w:ascii="黑体" w:hAnsi="黑体" w:eastAsia="黑体" w:cs="黑体"/>
          <w:color w:val="000000"/>
          <w:sz w:val="32"/>
        </w:rPr>
        <w:t>四、财政拨款“三公”经费预算情况及增减变化原因</w:t>
      </w:r>
      <w:bookmarkEnd w:id="12"/>
    </w:p>
    <w:p>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三公”经费与上年持平，无增减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2"/>
      </w:pPr>
      <w:bookmarkStart w:id="13" w:name="_Toc18648"/>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textAlignment w:val="auto"/>
      </w:pPr>
      <w:r>
        <w:t>2025年，中国共产主义青年团曲阳县委员会深化基层组织改革，注重强化传统领域团的工作效能,以青春友好城市建设为着力点，引领广大团员青年立足岗位、奋勇拼搏，为加快建设现代化中国雕刻文化名城贡献青春力量。一是大力开展评先树优工作。面向全县各级团青组织、各界青年开展“两红两优”和“新时代曲阳好青年”选树活动，围绕各个领域、各条战线青年工作者树选先进典范，引领全县青年锐意进取，勇于担当。二是推动青少年群体全面发展。坚常态化开展“微心愿”“小橘灯”系列活动。深化“乡村振兴·团青建功”行动，重点实施“桑梓计划”，吸引在外优秀人才反哺家乡。三是护航青少年。开展家庭教育讲座、蓝焰法制进校园等活动，全身心全方位护航青少年健康成长。四是聚焦基层改革。优化志愿服务工作格局，选拔各行业优秀青少年参与青年工作，助力青年积极参与基层团组织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1、组织建设和宣传教育</w:t>
      </w:r>
    </w:p>
    <w:p>
      <w:pPr>
        <w:pStyle w:val="23"/>
      </w:pPr>
      <w:r>
        <w:t>绩效目标：强化团干部教育培训，加强思想和作风建设；加强青联、学联、少工委组织建设，加强青年志愿组织和青年社会组织及青少年活动阵地的指导和管理；基层团组织服务能力不断提高，构建团的网络新媒体工作阵地，运用新媒体全方位推进团的工作；利用重要节点节日、各类阵地、各种形式进行思想引导。</w:t>
      </w:r>
    </w:p>
    <w:p>
      <w:pPr>
        <w:pStyle w:val="23"/>
      </w:pPr>
      <w:r>
        <w:t>绩效指标：202</w:t>
      </w:r>
      <w:r>
        <w:rPr>
          <w:rFonts w:hint="eastAsia"/>
          <w:lang w:val="en-US" w:eastAsia="zh-CN"/>
        </w:rPr>
        <w:t>5</w:t>
      </w:r>
      <w:r>
        <w:t>年推优入团率不低于99%，“智慧团建”系统专题理论学习录入不低于99%，开展迎五四青年节系列主题教育活动，表彰优秀团员、团干部及青年岗位能手150余人；开展主题教育活动等各类思想引导类活动2次以上，发放各类宣传册、明白纸2000余份。</w:t>
      </w:r>
    </w:p>
    <w:p>
      <w:pPr>
        <w:pStyle w:val="23"/>
      </w:pPr>
      <w:r>
        <w:t>2、服务、引导青少年工作</w:t>
      </w:r>
    </w:p>
    <w:p>
      <w:pPr>
        <w:pStyle w:val="23"/>
      </w:pPr>
      <w:r>
        <w:t>绩效目标：做好青年统战对象的团结教育、引导、服务工作，为全县经济社会发展贡献力量。调查研究青年思想动态，服务青年创新创业、社会融入等需求，组织和带领青年及青年社会组织为全县经济和社会发展作贡献。</w:t>
      </w:r>
    </w:p>
    <w:p>
      <w:pPr>
        <w:pStyle w:val="23"/>
      </w:pPr>
      <w:r>
        <w:t>绩效指标：开展大学生返家乡社会实践、服务高考志愿服务等活动2余次，累计发动青年志愿者500余人次，发放各类宣传册、明白纸2000余份；开展特色品牌读书活动3次，引导团员和青年多读书、读好书。乡村振兴志愿者发放补贴人数2人，按照时间节点对乡村振兴计划志愿者发放补贴的完成比率达到85%以上，志愿者参与基层工作水平有效提升。</w:t>
      </w:r>
    </w:p>
    <w:p>
      <w:pPr>
        <w:pStyle w:val="23"/>
      </w:pPr>
      <w:r>
        <w:t>3、维护青少年权益工作</w:t>
      </w:r>
    </w:p>
    <w:p>
      <w:pPr>
        <w:pStyle w:val="23"/>
      </w:pPr>
      <w:r>
        <w:t>绩效目标：通过开展预防青少年违法犯罪活动，加强青少年法制宣传教育,尊法守法用法意识，为青少年提供法律保护。</w:t>
      </w:r>
    </w:p>
    <w:p>
      <w:pPr>
        <w:pStyle w:val="23"/>
      </w:pPr>
      <w:r>
        <w:t>绩效指标：加强青少年法治宣传教育，开展法治进校园不少于3次，宣传覆盖人数达到500人以上，积极开展青少年安全教育宣传，参与活动青少年对活动组织、效果、形式的满意度较上年提升。联合县检察院蓝焰宣讲团开展巡讲活动，线上线下巡讲活动次数不少于3次，线上线下活动参加人员受益群体2000余人。</w:t>
      </w:r>
    </w:p>
    <w:p>
      <w:pPr>
        <w:pStyle w:val="23"/>
      </w:pPr>
      <w:r>
        <w:t>4、团委事务管理</w:t>
      </w:r>
    </w:p>
    <w:p>
      <w:pPr>
        <w:pStyle w:val="23"/>
      </w:pPr>
      <w:r>
        <w:t>绩效目标：高质量完成全县青少年发展规划和方针政策的制定，圆满完成县委、县政府和省市团委交办的各项任务。</w:t>
      </w:r>
    </w:p>
    <w:p>
      <w:pPr>
        <w:pStyle w:val="23"/>
      </w:pPr>
      <w:r>
        <w:t>绩效指标：参与制定全县的青少年事业发展规划和青少年工作方针、政策;承担县委、县政府和省市团委交办的有关事项。</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创新为先，务实为要。中国共产主义青年团曲阳县委员会深刻把握新时代新发展形势下共青团工作特点，坚持以创新为驱动，以务实为落脚点，着力打破固有工作思维，多方借鉴、深入调研，努力以更新颖的思想、更有效的方式、更务实的精神引领全县青年，推动全县青年工作落地见效。探索建立县级团委向党组织推荐团的优秀基层工作骨干的有效机制, 畅通成长通道。以强健有力的团干部队伍，推动全县共青团事业向好、向上不断发展，争创一流，充分发挥好党的助手和后备军作用。</w:t>
      </w:r>
    </w:p>
    <w:p>
      <w:pPr>
        <w:pStyle w:val="24"/>
      </w:pPr>
      <w:r>
        <w:t>2、多方联动，有效发声。中国共产主义青年团曲阳县委员会始终坚持把提升三力一度和共青团影响力作为工作重心，着力摆脱工作中长期存在的单打独斗思想，破解团委经费、人力、社会资源不足的桎梏，多方联动，扩大了声势，提升了效果，有效发挥了群团组织作用。一是加大同各机关单位间协调联动,二是加大同社会组织、企业间协调联动。</w:t>
      </w:r>
    </w:p>
    <w:p>
      <w:pPr>
        <w:pStyle w:val="24"/>
        <w:sectPr>
          <w:pgSz w:w="16840" w:h="11900" w:orient="landscape"/>
          <w:pgMar w:top="1361" w:right="1020" w:bottom="1361" w:left="1020" w:header="720" w:footer="720" w:gutter="0"/>
        </w:sectPr>
      </w:pPr>
      <w:r>
        <w:t>3、锚定中心，坚定站位。中国共产主义青年团曲阳县委员会牢牢坚持县委领导，坚持为党育人初心，坚持围绕中心、服务大局，有力发挥了党的助手和后备军作用。一是加强青少年政治引领，完成县少工委换届工作，强化少先队组织领导，结合基层组织改革，健全党团队一体化育人链条，筑牢青少年群体思想政治基础。二是始终坚定理想信念，时刻同党站在一起，坚定不移带领全县青年投身到疫情防控、创城创卫、经济发展、应急保障等工作中来，面对急难险重任务，有效发挥了凝聚青年、引领青年的作用。</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10093"/>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1236"/>
      <w:r>
        <w:rPr>
          <w:rFonts w:hint="eastAsia" w:ascii="Times New Roman" w:hAnsi="Times New Roman" w:eastAsia="方正仿宋_GBK" w:cs="Times New Roman"/>
          <w:sz w:val="28"/>
          <w:szCs w:val="24"/>
          <w:lang w:val="en-US" w:eastAsia="zh-CN" w:bidi="ar-SA"/>
        </w:rPr>
        <w:t>无</w:t>
      </w:r>
      <w:bookmarkEnd w:id="16"/>
    </w:p>
    <w:p>
      <w:pPr>
        <w:spacing w:before="10" w:after="10" w:line="360" w:lineRule="auto"/>
        <w:ind w:firstLine="640"/>
        <w:jc w:val="left"/>
        <w:outlineLvl w:val="2"/>
        <w:sectPr>
          <w:pgSz w:w="16840" w:h="11900" w:orient="landscape"/>
          <w:pgMar w:top="1361" w:right="1020" w:bottom="1134" w:left="1020" w:header="720" w:footer="720" w:gutter="0"/>
        </w:sectPr>
      </w:pPr>
      <w:bookmarkStart w:id="17" w:name="_Toc9117"/>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pPr>
        <w:spacing w:before="0" w:after="0"/>
        <w:ind w:firstLine="560"/>
        <w:jc w:val="left"/>
        <w:outlineLvl w:val="9"/>
      </w:pPr>
      <w:r>
        <w:rPr>
          <w:rFonts w:ascii="方正仿宋_GBK" w:hAnsi="方正仿宋_GBK" w:eastAsia="方正仿宋_GBK" w:cs="方正仿宋_GBK"/>
          <w:color w:val="000000"/>
          <w:sz w:val="28"/>
        </w:rPr>
        <w:t>1、团县委乡村振兴志愿者经费绩效目标表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13063425P004C49102477</w:t>
            </w:r>
          </w:p>
        </w:tc>
        <w:tc>
          <w:tcPr>
            <w:tcW w:w="2835" w:type="dxa"/>
            <w:vAlign w:val="center"/>
          </w:tcPr>
          <w:p>
            <w:pPr>
              <w:pStyle w:val="11"/>
            </w:pPr>
            <w:r>
              <w:t>项目名称</w:t>
            </w:r>
          </w:p>
        </w:tc>
        <w:tc>
          <w:tcPr>
            <w:tcW w:w="6095" w:type="dxa"/>
            <w:gridSpan w:val="3"/>
            <w:vAlign w:val="center"/>
          </w:tcPr>
          <w:p>
            <w:pPr>
              <w:pStyle w:val="13"/>
            </w:pPr>
            <w:r>
              <w:t>团县委乡村振兴志愿者经费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10.14</w:t>
            </w:r>
          </w:p>
        </w:tc>
        <w:tc>
          <w:tcPr>
            <w:tcW w:w="2835" w:type="dxa"/>
            <w:vAlign w:val="center"/>
          </w:tcPr>
          <w:p>
            <w:pPr>
              <w:pStyle w:val="11"/>
            </w:pPr>
            <w:r>
              <w:t>其中：财政资金</w:t>
            </w:r>
          </w:p>
        </w:tc>
        <w:tc>
          <w:tcPr>
            <w:tcW w:w="2551" w:type="dxa"/>
            <w:vAlign w:val="center"/>
          </w:tcPr>
          <w:p>
            <w:pPr>
              <w:pStyle w:val="13"/>
            </w:pPr>
            <w:r>
              <w:t>10.14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预算数为10.14万元，其中县级财政资金10.14万元。主要用于我单位2名乡村振兴志愿者人员工资及保险，按月发放资金。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2.53</w:t>
            </w:r>
          </w:p>
        </w:tc>
        <w:tc>
          <w:tcPr>
            <w:tcW w:w="2835" w:type="dxa"/>
            <w:vAlign w:val="center"/>
          </w:tcPr>
          <w:p>
            <w:pPr>
              <w:pStyle w:val="14"/>
            </w:pPr>
            <w:r>
              <w:t>5.07</w:t>
            </w:r>
          </w:p>
        </w:tc>
        <w:tc>
          <w:tcPr>
            <w:tcW w:w="2551" w:type="dxa"/>
            <w:vAlign w:val="center"/>
          </w:tcPr>
          <w:p>
            <w:pPr>
              <w:pStyle w:val="14"/>
            </w:pPr>
            <w:r>
              <w:t>7.61</w:t>
            </w:r>
          </w:p>
        </w:tc>
        <w:tc>
          <w:tcPr>
            <w:tcW w:w="3544" w:type="dxa"/>
            <w:gridSpan w:val="2"/>
            <w:vAlign w:val="center"/>
          </w:tcPr>
          <w:p>
            <w:pPr>
              <w:pStyle w:val="14"/>
            </w:pPr>
            <w:r>
              <w:t>10.14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1.通过引导和鼓励高校毕业生到基层工作，服务乡村，投身乡村振兴，拓宽高校毕业生就业领域。</w:t>
            </w:r>
          </w:p>
          <w:p>
            <w:pPr>
              <w:pStyle w:val="13"/>
            </w:pPr>
            <w:r>
              <w:t>2.通过对乡村振兴志愿者人员及时足额发放工资、缴纳保险，保障志愿者正常工作和生活需要，更好的完成单位交代的各项工作。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乡村振兴志愿者人数</w:t>
            </w:r>
          </w:p>
        </w:tc>
        <w:tc>
          <w:tcPr>
            <w:tcW w:w="5386" w:type="dxa"/>
            <w:vAlign w:val="center"/>
          </w:tcPr>
          <w:p>
            <w:pPr>
              <w:pStyle w:val="13"/>
            </w:pPr>
            <w:r>
              <w:t>乡村振兴志愿者人数</w:t>
            </w:r>
          </w:p>
        </w:tc>
        <w:tc>
          <w:tcPr>
            <w:tcW w:w="2268" w:type="dxa"/>
            <w:vAlign w:val="center"/>
          </w:tcPr>
          <w:p>
            <w:pPr>
              <w:pStyle w:val="13"/>
            </w:pPr>
            <w:r>
              <w:t>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乡村振兴志愿者补助发放到位率</w:t>
            </w:r>
          </w:p>
        </w:tc>
        <w:tc>
          <w:tcPr>
            <w:tcW w:w="5386" w:type="dxa"/>
            <w:vAlign w:val="center"/>
          </w:tcPr>
          <w:p>
            <w:pPr>
              <w:pStyle w:val="13"/>
            </w:pPr>
            <w:r>
              <w:t>乡村振兴志愿者补助发放到位率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乡村振兴志愿者补助发放时间</w:t>
            </w:r>
          </w:p>
        </w:tc>
        <w:tc>
          <w:tcPr>
            <w:tcW w:w="5386" w:type="dxa"/>
            <w:vAlign w:val="center"/>
          </w:tcPr>
          <w:p>
            <w:pPr>
              <w:pStyle w:val="13"/>
            </w:pPr>
            <w:r>
              <w:t>乡村振兴志愿者补助发放时间</w:t>
            </w:r>
          </w:p>
        </w:tc>
        <w:tc>
          <w:tcPr>
            <w:tcW w:w="2268" w:type="dxa"/>
            <w:vAlign w:val="center"/>
          </w:tcPr>
          <w:p>
            <w:pPr>
              <w:pStyle w:val="13"/>
            </w:pPr>
            <w:r>
              <w:t>每月25号之前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乡村振兴志愿者月均补助成本</w:t>
            </w:r>
          </w:p>
        </w:tc>
        <w:tc>
          <w:tcPr>
            <w:tcW w:w="5386" w:type="dxa"/>
            <w:vAlign w:val="center"/>
          </w:tcPr>
          <w:p>
            <w:pPr>
              <w:pStyle w:val="13"/>
            </w:pPr>
            <w:r>
              <w:t>乡村振兴志愿者人均补助成本</w:t>
            </w:r>
          </w:p>
        </w:tc>
        <w:tc>
          <w:tcPr>
            <w:tcW w:w="2268" w:type="dxa"/>
            <w:vAlign w:val="center"/>
          </w:tcPr>
          <w:p>
            <w:pPr>
              <w:pStyle w:val="13"/>
            </w:pPr>
            <w:r>
              <w:t>3100元/月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增加高效毕业生就业岗位</w:t>
            </w:r>
          </w:p>
        </w:tc>
        <w:tc>
          <w:tcPr>
            <w:tcW w:w="5386" w:type="dxa"/>
            <w:vAlign w:val="center"/>
          </w:tcPr>
          <w:p>
            <w:pPr>
              <w:pStyle w:val="13"/>
            </w:pPr>
            <w:r>
              <w:t>增加高效毕业生就业岗位</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乡村振兴志愿者服务满意度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2、团县委业务活动经费绩效目标表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13063425P009XM910007G</w:t>
            </w:r>
          </w:p>
        </w:tc>
        <w:tc>
          <w:tcPr>
            <w:tcW w:w="2835" w:type="dxa"/>
            <w:vAlign w:val="center"/>
          </w:tcPr>
          <w:p>
            <w:pPr>
              <w:pStyle w:val="11"/>
            </w:pPr>
            <w:r>
              <w:t>项目名称</w:t>
            </w:r>
          </w:p>
        </w:tc>
        <w:tc>
          <w:tcPr>
            <w:tcW w:w="6095" w:type="dxa"/>
            <w:gridSpan w:val="3"/>
            <w:vAlign w:val="center"/>
          </w:tcPr>
          <w:p>
            <w:pPr>
              <w:pStyle w:val="13"/>
            </w:pPr>
            <w:r>
              <w:t>团县委业务活动经费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预算数为5万元，其中县级财政资金为5万元。主要用于为我单位日常开展活动的费用支出等。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3.00</w:t>
            </w:r>
          </w:p>
        </w:tc>
        <w:tc>
          <w:tcPr>
            <w:tcW w:w="2551" w:type="dxa"/>
            <w:vAlign w:val="center"/>
          </w:tcPr>
          <w:p>
            <w:pPr>
              <w:pStyle w:val="14"/>
            </w:pPr>
            <w:r>
              <w:t>5.00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五四评比表彰大会，评选优秀共青团员、优秀共青团干部、五四红旗团委、青年文明号、青年岗位能手等，激励引导广大青年，不断引领巩固和扩大党执政的青年群众基层，引领凝聚全县青年锐意进取、勇于担当。</w:t>
            </w:r>
          </w:p>
          <w:p>
            <w:pPr>
              <w:pStyle w:val="13"/>
            </w:pPr>
            <w:r>
              <w:t>2.通过开展预防青少年违法犯罪活动，加强青少年法制宣传教育,尊法守法用法意识，为青少年提供法律保护。</w:t>
            </w:r>
          </w:p>
          <w:p>
            <w:pPr>
              <w:pStyle w:val="13"/>
            </w:pPr>
            <w:r>
              <w:t>3.通过开展基层组织建设和宣传教育工作，强化团干部教育，加强基层团组织建设，建立完善基层党建带团建的长效机制。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参加五四表彰人数</w:t>
            </w:r>
          </w:p>
        </w:tc>
        <w:tc>
          <w:tcPr>
            <w:tcW w:w="5386" w:type="dxa"/>
            <w:vAlign w:val="center"/>
          </w:tcPr>
          <w:p>
            <w:pPr>
              <w:pStyle w:val="13"/>
            </w:pPr>
            <w:r>
              <w:t>参加五四表彰人数</w:t>
            </w:r>
          </w:p>
        </w:tc>
        <w:tc>
          <w:tcPr>
            <w:tcW w:w="2268" w:type="dxa"/>
            <w:vAlign w:val="center"/>
          </w:tcPr>
          <w:p>
            <w:pPr>
              <w:pStyle w:val="13"/>
            </w:pPr>
            <w:r>
              <w:t>≥150人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印刷品的数量</w:t>
            </w:r>
          </w:p>
        </w:tc>
        <w:tc>
          <w:tcPr>
            <w:tcW w:w="5386" w:type="dxa"/>
            <w:vAlign w:val="center"/>
          </w:tcPr>
          <w:p>
            <w:pPr>
              <w:pStyle w:val="13"/>
            </w:pPr>
            <w:r>
              <w:t>印刷品的数量</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团县委业务活动开展宣传品数量</w:t>
            </w:r>
          </w:p>
        </w:tc>
        <w:tc>
          <w:tcPr>
            <w:tcW w:w="2268" w:type="dxa"/>
            <w:vAlign w:val="center"/>
          </w:tcPr>
          <w:p>
            <w:pPr>
              <w:pStyle w:val="13"/>
            </w:pPr>
            <w:r>
              <w:t>≥200本</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印刷品和宣传品制作合格率</w:t>
            </w:r>
          </w:p>
        </w:tc>
        <w:tc>
          <w:tcPr>
            <w:tcW w:w="5386" w:type="dxa"/>
            <w:vAlign w:val="center"/>
          </w:tcPr>
          <w:p>
            <w:pPr>
              <w:pStyle w:val="13"/>
            </w:pPr>
            <w:r>
              <w:t>印刷品和宣传品制作合格率</w:t>
            </w:r>
          </w:p>
        </w:tc>
        <w:tc>
          <w:tcPr>
            <w:tcW w:w="2268" w:type="dxa"/>
            <w:vAlign w:val="center"/>
          </w:tcPr>
          <w:p>
            <w:pPr>
              <w:pStyle w:val="13"/>
            </w:pPr>
            <w:r>
              <w:t>≥97%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表彰会召开时间</w:t>
            </w:r>
          </w:p>
        </w:tc>
        <w:tc>
          <w:tcPr>
            <w:tcW w:w="5386" w:type="dxa"/>
            <w:vAlign w:val="center"/>
          </w:tcPr>
          <w:p>
            <w:pPr>
              <w:pStyle w:val="13"/>
            </w:pPr>
            <w:r>
              <w:t>表彰会召开时间</w:t>
            </w:r>
          </w:p>
        </w:tc>
        <w:tc>
          <w:tcPr>
            <w:tcW w:w="2268" w:type="dxa"/>
            <w:vAlign w:val="center"/>
          </w:tcPr>
          <w:p>
            <w:pPr>
              <w:pStyle w:val="13"/>
            </w:pPr>
            <w:r>
              <w:t>5月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团县委业务活动开展宣传工作完成时限</w:t>
            </w:r>
          </w:p>
        </w:tc>
        <w:tc>
          <w:tcPr>
            <w:tcW w:w="5386" w:type="dxa"/>
            <w:vAlign w:val="center"/>
          </w:tcPr>
          <w:p>
            <w:pPr>
              <w:pStyle w:val="13"/>
            </w:pPr>
            <w:r>
              <w:t>团县委业务活动开展宣传工作完成时限</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表彰会人均成本</w:t>
            </w:r>
          </w:p>
        </w:tc>
        <w:tc>
          <w:tcPr>
            <w:tcW w:w="5386" w:type="dxa"/>
            <w:vAlign w:val="center"/>
          </w:tcPr>
          <w:p>
            <w:pPr>
              <w:pStyle w:val="13"/>
            </w:pPr>
            <w:r>
              <w:t>表彰会人均成本</w:t>
            </w:r>
          </w:p>
        </w:tc>
        <w:tc>
          <w:tcPr>
            <w:tcW w:w="2268" w:type="dxa"/>
            <w:vAlign w:val="center"/>
          </w:tcPr>
          <w:p>
            <w:pPr>
              <w:pStyle w:val="13"/>
            </w:pPr>
            <w:r>
              <w:t>≤130元/人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青少年法律知识普及率</w:t>
            </w:r>
          </w:p>
        </w:tc>
        <w:tc>
          <w:tcPr>
            <w:tcW w:w="5386" w:type="dxa"/>
            <w:vAlign w:val="center"/>
          </w:tcPr>
          <w:p>
            <w:pPr>
              <w:pStyle w:val="13"/>
            </w:pPr>
            <w:r>
              <w:t>青少年法律知识普及率</w:t>
            </w:r>
          </w:p>
        </w:tc>
        <w:tc>
          <w:tcPr>
            <w:tcW w:w="2268" w:type="dxa"/>
            <w:vAlign w:val="center"/>
          </w:tcPr>
          <w:p>
            <w:pPr>
              <w:pStyle w:val="13"/>
            </w:pPr>
            <w:r>
              <w:t>≥91%</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青少年服务满意度</w:t>
            </w:r>
          </w:p>
        </w:tc>
        <w:tc>
          <w:tcPr>
            <w:tcW w:w="5386" w:type="dxa"/>
            <w:vAlign w:val="center"/>
          </w:tcPr>
          <w:p>
            <w:pPr>
              <w:pStyle w:val="13"/>
            </w:pPr>
            <w:r>
              <w:t>调查的青少年占全部青少年服务满意度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8" w:name="_Toc3147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1.38</w:t>
            </w:r>
          </w:p>
        </w:tc>
        <w:tc>
          <w:tcPr>
            <w:tcW w:w="964" w:type="dxa"/>
            <w:vAlign w:val="center"/>
          </w:tcPr>
          <w:p>
            <w:pPr>
              <w:pStyle w:val="16"/>
            </w:pPr>
            <w:r>
              <w:t>1.38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中国共产主义青年团曲阳县委员会小计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1.38</w:t>
            </w:r>
          </w:p>
        </w:tc>
        <w:tc>
          <w:tcPr>
            <w:tcW w:w="964" w:type="dxa"/>
            <w:vAlign w:val="center"/>
          </w:tcPr>
          <w:p>
            <w:pPr>
              <w:pStyle w:val="16"/>
            </w:pPr>
            <w:r>
              <w:t>1.38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0.90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w:t>
            </w:r>
          </w:p>
        </w:tc>
        <w:tc>
          <w:tcPr>
            <w:tcW w:w="850" w:type="dxa"/>
            <w:vAlign w:val="center"/>
          </w:tcPr>
          <w:p>
            <w:pPr>
              <w:pStyle w:val="12"/>
            </w:pPr>
            <w:r>
              <w:t>0.02</w:t>
            </w:r>
          </w:p>
        </w:tc>
        <w:tc>
          <w:tcPr>
            <w:tcW w:w="964" w:type="dxa"/>
            <w:vAlign w:val="center"/>
          </w:tcPr>
          <w:p>
            <w:pPr>
              <w:pStyle w:val="12"/>
            </w:pPr>
            <w:r>
              <w:t>0.06</w:t>
            </w:r>
          </w:p>
        </w:tc>
        <w:tc>
          <w:tcPr>
            <w:tcW w:w="964" w:type="dxa"/>
            <w:vAlign w:val="center"/>
          </w:tcPr>
          <w:p>
            <w:pPr>
              <w:pStyle w:val="12"/>
            </w:pPr>
            <w:r>
              <w:t>0.06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0.90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团县委业务活动经费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1.12</w:t>
            </w:r>
          </w:p>
        </w:tc>
        <w:tc>
          <w:tcPr>
            <w:tcW w:w="964" w:type="dxa"/>
            <w:vAlign w:val="center"/>
          </w:tcPr>
          <w:p>
            <w:pPr>
              <w:pStyle w:val="12"/>
            </w:pPr>
            <w:r>
              <w:t>1.12</w:t>
            </w:r>
          </w:p>
        </w:tc>
        <w:tc>
          <w:tcPr>
            <w:tcW w:w="964" w:type="dxa"/>
            <w:vAlign w:val="center"/>
          </w:tcPr>
          <w:p>
            <w:pPr>
              <w:pStyle w:val="12"/>
            </w:pPr>
            <w:r>
              <w:t>1.12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4031"/>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中国共产主义青年团曲阳县委员会（含所属单位）上年末固定资产金额为6.04万元（详见下表）。本年度拟购置固定资产总额为0.00万元，已按要求列入政府采购预算，详见政府采购预算表。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712中国共产主义青年团曲阳县委员会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rPr>
                <w:rFonts w:hint="eastAsia" w:eastAsia="方正书宋_GBK"/>
                <w:lang w:val="en-US" w:eastAsia="zh-CN"/>
              </w:rPr>
            </w:pPr>
          </w:p>
        </w:tc>
        <w:tc>
          <w:tcPr>
            <w:tcW w:w="2835" w:type="dxa"/>
            <w:vAlign w:val="center"/>
          </w:tcPr>
          <w:p>
            <w:pPr>
              <w:pStyle w:val="12"/>
              <w:rPr>
                <w:rFonts w:hint="default" w:eastAsia="方正书宋_GBK"/>
                <w:lang w:val="en-US" w:eastAsia="zh-CN"/>
              </w:rPr>
            </w:pPr>
            <w:r>
              <w:rPr>
                <w:rFonts w:hint="eastAsia"/>
                <w:lang w:val="en-US" w:eastAsia="zh-CN"/>
              </w:rPr>
              <w:t>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eastAsia" w:eastAsia="方正书宋_GBK"/>
                <w:lang w:eastAsia="zh-CN"/>
              </w:rPr>
            </w:pPr>
            <w:r>
              <w:rPr>
                <w:rFonts w:hint="eastAsia"/>
                <w:lang w:val="en-US" w:eastAsia="zh-CN"/>
              </w:rPr>
              <w:t>6</w:t>
            </w:r>
          </w:p>
        </w:tc>
        <w:tc>
          <w:tcPr>
            <w:tcW w:w="2835" w:type="dxa"/>
            <w:vAlign w:val="center"/>
          </w:tcPr>
          <w:p>
            <w:pPr>
              <w:pStyle w:val="12"/>
              <w:rPr>
                <w:rFonts w:hint="default" w:eastAsia="方正书宋_GBK"/>
                <w:lang w:val="en-US" w:eastAsia="zh-CN"/>
              </w:rPr>
            </w:pPr>
            <w:r>
              <w:rPr>
                <w:rFonts w:hint="eastAsia"/>
                <w:lang w:val="en-US" w:eastAsia="zh-CN"/>
              </w:rPr>
              <w:t>3.02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7965"/>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27971"/>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9112E"/>
    <w:rsid w:val="3E734450"/>
    <w:rsid w:val="596E347C"/>
    <w:rsid w:val="59940F95"/>
    <w:rsid w:val="5B2D0729"/>
    <w:rsid w:val="73DE1498"/>
    <w:rsid w:val="7F3100F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2025-02-06T14:52:00Z</dcterms:created>
  <dc:creator>Administrator</dc:creator>
  <cp:lastModifiedBy>Ydh</cp:lastModifiedBy>
  <dcterms:modified xsi:type="dcterms:W3CDTF">2025-02-07T01:18:38Z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